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集团公司关于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恒源煤矿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“4.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14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”运输事故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处理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各单位：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班，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恒源煤矿机运保障工区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发生一起工伤事故，现将事故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处理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通报如下：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一、事故经过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2024年4月1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日夜班，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恒源煤矿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机运保障工区运转队出勤12人，班长胡奇安排在-960m水平井底车场打运框架式起吊装置大件车至-960东翼集中供液硐室，1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日22时10分胡奇驾驶电瓶车到达起吊装置大件车处，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违章指挥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北副井下口北门把钩工潘明太将直道联动阻车器前阻打开，后阻关闭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，胡奇在北副井出车侧直道内的电瓶车与起吊装置大件车之间进行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违规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挂车链作业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22时19分，副井东侧宽罐打运装有锚杆的箱体车进入副井出车侧直道，滑行64m后撞击车场内的黄沙料车，黄沙料车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撞击大件车滑行前移，大件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碰到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胡奇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腹部，造成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其左侧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第5、6前肋及右侧第5-7、9肋骨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共计6处骨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小肠挫伤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恒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源煤矿未认真吸取2023年恒昇煤业“4.22”运输事故教训，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造成类似事故重复发生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且抢救过程不规范抬运伤员。</w:t>
      </w:r>
    </w:p>
    <w:p>
      <w:pPr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事故原因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伤者胡奇违章指挥潘明太将直道联动阻车器前阻打开，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违规进行摘挂钩作业，是导致本次事故的直接原因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2.现场安全管理基础不牢，员工尤其是班队长安全意识淡薄、岗位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安全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责任不落实、习惯性违章是本次事故的深层次原因。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、事故性质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皖北煤电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集团公司安全管理制度体系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》第五篇第七章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生产性工伤伤情界定标准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，经事故调查认定为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重伤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事故。</w:t>
      </w:r>
    </w:p>
    <w:p>
      <w:pPr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、处理意见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依据《皖北煤电集团公司关于加强 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年安全管理工作的决定》（皖北煤电安〔202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〕1 号）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对相关责任人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处理如下：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1.给予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恒源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煤矿党政主要负责人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刘迎春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张育红，分管安全负责人陈强威各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扣减绩效工资0.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2.给予分管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机运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工作负责人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程伟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扣减绩效工资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0.6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并做反思检查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3.责成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恒源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煤矿按照人事管理权限和相关规定，对该起工伤事故进行追责，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拍摄干部反省警示教育片，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并10日内将问责结果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和教育片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报集团公司安监局备案。</w:t>
      </w:r>
    </w:p>
    <w:p>
      <w:pPr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立即将事故通报传达到科区、班组、员工，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深刻吸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取事故教训，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切实加强大件运输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等关键工序和环节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对人机交叉混合作业、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五位一体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岗位作业标准执行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进行排查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，对于存在隐患的环节和地点，立即停止作业进行整改。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各单位要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认真落实集团公司“三基”建设现场会精神，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切实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推动全员安全生产责任制和“无视频不作业”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理念落实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。进一步开展视频管理系统排查，特别是副井上下口、斜巷运输、车场等辅助运输作业关键地点，必须确保在视频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监控下作业。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要强化“五级”视频筛查，对关键工序不在视频有效监控下作业一律按照停止作业处理。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.加强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全员自救互救培训，掌握止血、搬运、心肺复苏等现场应急处置基本技能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，尤其对于肋骨骨折、脊柱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、颈部等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受伤人员抢救，严禁生拉硬拽抬运，必须采用担架或硬质木板运送伤员，防止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造成二次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0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6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皖北煤电集团公司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6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年4月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1NWNiOWEzYzA0NTBiZGM1NjIyMzAyOTE0NmY5NzUifQ=="/>
  </w:docVars>
  <w:rsids>
    <w:rsidRoot w:val="000F6282"/>
    <w:rsid w:val="000F6282"/>
    <w:rsid w:val="00213ED3"/>
    <w:rsid w:val="00380828"/>
    <w:rsid w:val="00671801"/>
    <w:rsid w:val="006A3AA7"/>
    <w:rsid w:val="00790419"/>
    <w:rsid w:val="00881F41"/>
    <w:rsid w:val="00960D55"/>
    <w:rsid w:val="00967E62"/>
    <w:rsid w:val="00BF1CCD"/>
    <w:rsid w:val="00C36162"/>
    <w:rsid w:val="00C958C2"/>
    <w:rsid w:val="00CD7F5D"/>
    <w:rsid w:val="00DA6703"/>
    <w:rsid w:val="00ED289E"/>
    <w:rsid w:val="00F01F1E"/>
    <w:rsid w:val="00F46BE8"/>
    <w:rsid w:val="00F95B7C"/>
    <w:rsid w:val="00FD071D"/>
    <w:rsid w:val="04F25C61"/>
    <w:rsid w:val="0548762F"/>
    <w:rsid w:val="086A1FB2"/>
    <w:rsid w:val="09216B15"/>
    <w:rsid w:val="0B9B0DB6"/>
    <w:rsid w:val="117417AC"/>
    <w:rsid w:val="11B83D8F"/>
    <w:rsid w:val="15C31281"/>
    <w:rsid w:val="16846935"/>
    <w:rsid w:val="17321EED"/>
    <w:rsid w:val="19EB5B32"/>
    <w:rsid w:val="1A0A0EFF"/>
    <w:rsid w:val="1BE7599C"/>
    <w:rsid w:val="1CBA4E5F"/>
    <w:rsid w:val="21717AB6"/>
    <w:rsid w:val="22477195"/>
    <w:rsid w:val="22500F98"/>
    <w:rsid w:val="22521329"/>
    <w:rsid w:val="24247062"/>
    <w:rsid w:val="244A2F6C"/>
    <w:rsid w:val="2F254CE5"/>
    <w:rsid w:val="301B742A"/>
    <w:rsid w:val="331A61CD"/>
    <w:rsid w:val="348334BA"/>
    <w:rsid w:val="35906305"/>
    <w:rsid w:val="38A722E3"/>
    <w:rsid w:val="3A176FF5"/>
    <w:rsid w:val="3B9A612F"/>
    <w:rsid w:val="3C957F6D"/>
    <w:rsid w:val="3E5A7DF8"/>
    <w:rsid w:val="444F55DD"/>
    <w:rsid w:val="44D97CC8"/>
    <w:rsid w:val="457C68A6"/>
    <w:rsid w:val="4B904E59"/>
    <w:rsid w:val="4DD21759"/>
    <w:rsid w:val="50D2381E"/>
    <w:rsid w:val="51556929"/>
    <w:rsid w:val="51C8534D"/>
    <w:rsid w:val="58387355"/>
    <w:rsid w:val="59585BB6"/>
    <w:rsid w:val="5A430151"/>
    <w:rsid w:val="5A8B5169"/>
    <w:rsid w:val="5C4C6B7A"/>
    <w:rsid w:val="631A1780"/>
    <w:rsid w:val="634C56B2"/>
    <w:rsid w:val="63D7141F"/>
    <w:rsid w:val="68800D3A"/>
    <w:rsid w:val="693370F8"/>
    <w:rsid w:val="69935DE8"/>
    <w:rsid w:val="6A33719C"/>
    <w:rsid w:val="6B8F0831"/>
    <w:rsid w:val="6E641B01"/>
    <w:rsid w:val="6F616041"/>
    <w:rsid w:val="72005FE5"/>
    <w:rsid w:val="77AE0291"/>
    <w:rsid w:val="79386064"/>
    <w:rsid w:val="79F04B91"/>
    <w:rsid w:val="7A0D129F"/>
    <w:rsid w:val="7AE57A88"/>
    <w:rsid w:val="7EA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1283</Words>
  <Characters>1349</Characters>
  <Lines>5</Lines>
  <Paragraphs>1</Paragraphs>
  <TotalTime>29</TotalTime>
  <ScaleCrop>false</ScaleCrop>
  <LinksUpToDate>false</LinksUpToDate>
  <CharactersWithSpaces>1355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2023-04-23T06:15:00Z</dcterms:created>
  <dc:creator>顾晓闯</dc:creator>
  <cp:lastModifiedBy>论文～专利～15956188223</cp:lastModifiedBy>
  <cp:lastPrinted>2024-04-18T03:22:33Z</cp:lastPrinted>
  <dcterms:modified xsi:type="dcterms:W3CDTF">2024-04-18T03:22:36Z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3386F5F1741F49929A7BF78DBA99C2E0</vt:lpwstr>
  </property>
</Properties>
</file>