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ind w:firstLine="0" w:firstLineChars="0"/>
        <w:jc w:val="center"/>
        <w:rPr>
          <w:rFonts w:ascii="黑体" w:hAnsi="黑体" w:eastAsia="黑体" w:cs="黑体"/>
          <w:b/>
          <w:bCs/>
          <w:color w:val="000000" w:themeColor="text1"/>
          <w:sz w:val="30"/>
          <w:szCs w:val="30"/>
          <w14:textFill>
            <w14:solidFill>
              <w14:schemeClr w14:val="tx1"/>
            </w14:solidFill>
          </w14:textFill>
        </w:rPr>
      </w:pPr>
      <w:bookmarkStart w:id="0" w:name="_Toc496212743"/>
      <w:bookmarkStart w:id="1" w:name="_Toc18332"/>
      <w:bookmarkStart w:id="2" w:name="_Toc20103"/>
      <w:bookmarkStart w:id="3" w:name="_Toc20547"/>
      <w:bookmarkStart w:id="4" w:name="_Toc319057484"/>
      <w:r>
        <w:rPr>
          <w:rFonts w:hint="eastAsia" w:ascii="黑体" w:hAnsi="黑体" w:eastAsia="黑体" w:cs="黑体"/>
          <w:b/>
          <w:bCs/>
          <w:color w:val="000000" w:themeColor="text1"/>
          <w:sz w:val="30"/>
          <w:szCs w:val="30"/>
          <w14:textFill>
            <w14:solidFill>
              <w14:schemeClr w14:val="tx1"/>
            </w14:solidFill>
          </w14:textFill>
        </w:rPr>
        <w:t>第一章  概况</w:t>
      </w:r>
      <w:bookmarkEnd w:id="0"/>
    </w:p>
    <w:p>
      <w:pPr>
        <w:pStyle w:val="12"/>
        <w:snapToGrid w:val="0"/>
        <w:spacing w:after="0"/>
        <w:ind w:firstLine="0" w:firstLineChars="0"/>
        <w:jc w:val="center"/>
        <w:rPr>
          <w:rFonts w:ascii="黑体" w:hAnsi="黑体" w:eastAsia="黑体" w:cs="黑体"/>
          <w:b/>
          <w:bCs/>
          <w:color w:val="000000" w:themeColor="text1"/>
          <w:sz w:val="28"/>
          <w:szCs w:val="28"/>
          <w14:textFill>
            <w14:solidFill>
              <w14:schemeClr w14:val="tx1"/>
            </w14:solidFill>
          </w14:textFill>
        </w:rPr>
      </w:pPr>
      <w:r>
        <w:rPr>
          <w:rFonts w:hint="eastAsia" w:ascii="黑体" w:hAnsi="黑体" w:eastAsia="黑体" w:cs="黑体"/>
          <w:b/>
          <w:bCs/>
          <w:color w:val="000000" w:themeColor="text1"/>
          <w:sz w:val="28"/>
          <w:szCs w:val="28"/>
          <w14:textFill>
            <w14:solidFill>
              <w14:schemeClr w14:val="tx1"/>
            </w14:solidFill>
          </w14:textFill>
        </w:rPr>
        <w:t>第一节  编制依据</w:t>
      </w:r>
    </w:p>
    <w:p>
      <w:pPr>
        <w:pStyle w:val="12"/>
        <w:adjustRightInd w:val="0"/>
        <w:snapToGrid w:val="0"/>
        <w:spacing w:after="0"/>
        <w:ind w:firstLine="0" w:firstLineChars="0"/>
        <w:jc w:val="left"/>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一、根据《1303工作面回采前安全风险辨识报告》；</w:t>
      </w:r>
    </w:p>
    <w:p>
      <w:pPr>
        <w:pStyle w:val="12"/>
        <w:adjustRightInd w:val="0"/>
        <w:snapToGrid w:val="0"/>
        <w:spacing w:after="0"/>
        <w:ind w:firstLine="0" w:firstLineChars="0"/>
        <w:jc w:val="left"/>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二、招贤矿业有限公司生产技术业务联系单（编号：ZXJS2022-10-18）；</w:t>
      </w:r>
    </w:p>
    <w:p>
      <w:pPr>
        <w:pStyle w:val="13"/>
        <w:snapToGrid w:val="0"/>
        <w:spacing w:line="360" w:lineRule="auto"/>
        <w:ind w:firstLine="0" w:firstLineChars="0"/>
        <w:rPr>
          <w:rFonts w:ascii="仿宋" w:hAnsi="仿宋" w:eastAsia="仿宋"/>
          <w:sz w:val="24"/>
          <w:szCs w:val="24"/>
        </w:rPr>
      </w:pPr>
      <w:r>
        <w:rPr>
          <w:rFonts w:hint="eastAsia" w:ascii="仿宋" w:hAnsi="仿宋" w:eastAsia="仿宋"/>
          <w:sz w:val="24"/>
          <w:szCs w:val="24"/>
        </w:rPr>
        <w:t>三、陕招技术〔2022〕4号《招贤矿业生产技术管理规定》；</w:t>
      </w:r>
    </w:p>
    <w:p>
      <w:pPr>
        <w:pStyle w:val="12"/>
        <w:adjustRightInd w:val="0"/>
        <w:snapToGrid w:val="0"/>
        <w:spacing w:after="0"/>
        <w:ind w:firstLine="0" w:firstLineChars="0"/>
        <w:jc w:val="left"/>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四、根据《煤矿安全规程》2022版；</w:t>
      </w:r>
    </w:p>
    <w:p>
      <w:pPr>
        <w:pStyle w:val="12"/>
        <w:adjustRightInd w:val="0"/>
        <w:snapToGrid w:val="0"/>
        <w:spacing w:after="0"/>
        <w:ind w:firstLine="0" w:firstLineChars="0"/>
        <w:jc w:val="left"/>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五、《煤矿安全生产标准化管理体系基本要求及评分方法（试行）》；</w:t>
      </w:r>
    </w:p>
    <w:p>
      <w:pPr>
        <w:pStyle w:val="12"/>
        <w:adjustRightInd w:val="0"/>
        <w:snapToGrid w:val="0"/>
        <w:spacing w:after="0"/>
        <w:ind w:firstLine="0" w:firstLineChars="0"/>
        <w:jc w:val="left"/>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六、《安全生产岗位责任制》及《安全技术操作规程》；</w:t>
      </w:r>
    </w:p>
    <w:p>
      <w:pPr>
        <w:pStyle w:val="13"/>
        <w:snapToGrid w:val="0"/>
        <w:spacing w:line="360" w:lineRule="auto"/>
        <w:ind w:firstLine="0" w:firstLineChars="0"/>
        <w:rPr>
          <w:rFonts w:ascii="仿宋" w:hAnsi="仿宋" w:eastAsia="仿宋"/>
          <w:sz w:val="24"/>
          <w:szCs w:val="24"/>
        </w:rPr>
      </w:pPr>
      <w:r>
        <w:rPr>
          <w:rFonts w:hint="eastAsia" w:ascii="仿宋" w:hAnsi="仿宋" w:eastAsia="仿宋"/>
          <w:sz w:val="24"/>
          <w:szCs w:val="24"/>
        </w:rPr>
        <w:t>七、《招贤矿业井下文明生产（定置化）管理有关规定》；</w:t>
      </w:r>
    </w:p>
    <w:p>
      <w:pPr>
        <w:pStyle w:val="12"/>
        <w:adjustRightInd w:val="0"/>
        <w:snapToGrid w:val="0"/>
        <w:spacing w:after="0"/>
        <w:ind w:firstLine="0" w:firstLineChars="0"/>
        <w:jc w:val="left"/>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八、皖北煤电集团及招贤矿业有限公司有关技术管理规定等。</w:t>
      </w:r>
    </w:p>
    <w:p>
      <w:pPr>
        <w:pStyle w:val="13"/>
        <w:snapToGrid w:val="0"/>
        <w:spacing w:line="360" w:lineRule="auto"/>
        <w:rPr>
          <w:color w:val="000000" w:themeColor="text1"/>
          <w:sz w:val="28"/>
          <w:szCs w:val="28"/>
          <w14:textFill>
            <w14:solidFill>
              <w14:schemeClr w14:val="tx1"/>
            </w14:solidFill>
          </w14:textFill>
        </w:rPr>
      </w:pPr>
    </w:p>
    <w:p>
      <w:pPr>
        <w:snapToGrid w:val="0"/>
        <w:ind w:firstLine="0" w:firstLineChars="0"/>
        <w:jc w:val="center"/>
        <w:rPr>
          <w:rFonts w:ascii="黑体" w:hAnsi="黑体" w:eastAsia="黑体" w:cs="黑体"/>
          <w:b/>
          <w:bCs/>
          <w:color w:val="000000" w:themeColor="text1"/>
          <w:sz w:val="28"/>
          <w:szCs w:val="28"/>
          <w:lang w:val="zh-CN"/>
          <w14:textFill>
            <w14:solidFill>
              <w14:schemeClr w14:val="tx1"/>
            </w14:solidFill>
          </w14:textFill>
        </w:rPr>
      </w:pPr>
      <w:bookmarkStart w:id="5" w:name="_Toc496212744"/>
      <w:r>
        <w:rPr>
          <w:rFonts w:hint="eastAsia" w:ascii="黑体" w:hAnsi="黑体" w:eastAsia="黑体" w:cs="黑体"/>
          <w:b/>
          <w:bCs/>
          <w:color w:val="000000" w:themeColor="text1"/>
          <w:sz w:val="28"/>
          <w:szCs w:val="28"/>
          <w14:textFill>
            <w14:solidFill>
              <w14:schemeClr w14:val="tx1"/>
            </w14:solidFill>
          </w14:textFill>
        </w:rPr>
        <w:t>第二节  工作面概况</w:t>
      </w:r>
      <w:bookmarkEnd w:id="5"/>
    </w:p>
    <w:p>
      <w:pPr>
        <w:snapToGrid w:val="0"/>
        <w:ind w:firstLine="0" w:firstLineChars="0"/>
        <w:rPr>
          <w:rFonts w:ascii="仿宋" w:hAnsi="仿宋" w:eastAsia="仿宋" w:cs="仿宋"/>
          <w:b/>
          <w:bCs/>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lang w:val="zh-CN"/>
          <w14:textFill>
            <w14:solidFill>
              <w14:schemeClr w14:val="tx1"/>
            </w14:solidFill>
          </w14:textFill>
        </w:rPr>
        <w:t>一、工作面基本情况</w:t>
      </w:r>
    </w:p>
    <w:p>
      <w:pPr>
        <w:snapToGrid w:val="0"/>
        <w:ind w:firstLine="520"/>
        <w:jc w:val="left"/>
        <w:rPr>
          <w:rFonts w:ascii="仿宋" w:hAnsi="仿宋" w:eastAsia="仿宋" w:cs="仿宋_GB2312"/>
          <w:color w:val="000000" w:themeColor="text1"/>
          <w:sz w:val="24"/>
          <w14:textFill>
            <w14:solidFill>
              <w14:schemeClr w14:val="tx1"/>
            </w14:solidFill>
          </w14:textFill>
        </w:rPr>
      </w:pPr>
      <w:bookmarkStart w:id="6" w:name="_Toc53470936"/>
      <w:bookmarkStart w:id="7" w:name="_Toc51050657"/>
      <w:bookmarkStart w:id="8" w:name="_Toc52260073"/>
      <w:bookmarkStart w:id="9" w:name="_Toc289271166"/>
      <w:r>
        <w:rPr>
          <w:rFonts w:hint="eastAsia" w:ascii="仿宋" w:hAnsi="仿宋" w:eastAsia="仿宋" w:cs="仿宋_GB2312"/>
          <w:color w:val="000000" w:themeColor="text1"/>
          <w:spacing w:val="10"/>
          <w:sz w:val="24"/>
          <w14:textFill>
            <w14:solidFill>
              <w14:schemeClr w14:val="tx1"/>
            </w14:solidFill>
          </w14:textFill>
        </w:rPr>
        <w:t>1303工作面为一采区第五个工作面，位于一采区东翼。该面东至</w:t>
      </w:r>
      <w:r>
        <w:rPr>
          <w:rFonts w:hint="eastAsia" w:ascii="仿宋" w:hAnsi="仿宋" w:eastAsia="仿宋" w:cs="仿宋_GB2312"/>
          <w:color w:val="000000" w:themeColor="text1"/>
          <w:sz w:val="24"/>
          <w14:textFill>
            <w14:solidFill>
              <w14:schemeClr w14:val="tx1"/>
            </w14:solidFill>
          </w14:textFill>
        </w:rPr>
        <w:t>DF14-2 断层</w:t>
      </w:r>
      <w:r>
        <w:rPr>
          <w:rFonts w:hint="eastAsia" w:ascii="仿宋" w:hAnsi="仿宋" w:eastAsia="仿宋" w:cs="仿宋_GB2312"/>
          <w:color w:val="000000" w:themeColor="text1"/>
          <w:spacing w:val="10"/>
          <w:sz w:val="24"/>
          <w14:textFill>
            <w14:solidFill>
              <w14:schemeClr w14:val="tx1"/>
            </w14:solidFill>
          </w14:textFill>
        </w:rPr>
        <w:t>；西至北翼带式输送机大巷，北至DF7 断层保护煤柱线；南至</w:t>
      </w:r>
      <w:r>
        <w:rPr>
          <w:rFonts w:ascii="仿宋" w:hAnsi="仿宋" w:eastAsia="仿宋" w:cs="仿宋_GB2312"/>
          <w:color w:val="000000" w:themeColor="text1"/>
          <w:spacing w:val="10"/>
          <w:sz w:val="24"/>
          <w14:textFill>
            <w14:solidFill>
              <w14:schemeClr w14:val="tx1"/>
            </w14:solidFill>
          </w14:textFill>
        </w:rPr>
        <w:t>130</w:t>
      </w:r>
      <w:r>
        <w:rPr>
          <w:rFonts w:hint="eastAsia" w:ascii="仿宋" w:hAnsi="仿宋" w:eastAsia="仿宋" w:cs="仿宋_GB2312"/>
          <w:color w:val="000000" w:themeColor="text1"/>
          <w:spacing w:val="10"/>
          <w:sz w:val="24"/>
          <w14:textFill>
            <w14:solidFill>
              <w14:schemeClr w14:val="tx1"/>
            </w14:solidFill>
          </w14:textFill>
        </w:rPr>
        <w:t>5工作面采空区</w:t>
      </w:r>
      <w:r>
        <w:rPr>
          <w:rFonts w:hint="eastAsia" w:ascii="仿宋" w:hAnsi="仿宋" w:eastAsia="仿宋" w:cs="仿宋_GB2312"/>
          <w:color w:val="000000" w:themeColor="text1"/>
          <w:sz w:val="24"/>
          <w14:textFill>
            <w14:solidFill>
              <w14:schemeClr w14:val="tx1"/>
            </w14:solidFill>
          </w14:textFill>
        </w:rPr>
        <w:t>。工作面回采侏罗纪延安组3煤层，机、风巷高度为4m,宽度为5.5m；掘进期间机巷顶煤3.5～13.2m，风巷顶煤5.0～11.2m。工作面回采上下限标高：+786m～+890m，煤层埋深：553m～622m。工作面走向长755m（平距），倾向宽180m（平距），面积135900m</w:t>
      </w:r>
      <w:r>
        <w:rPr>
          <w:rFonts w:hint="eastAsia" w:ascii="仿宋" w:hAnsi="仿宋" w:eastAsia="仿宋" w:cs="仿宋_GB2312"/>
          <w:color w:val="000000" w:themeColor="text1"/>
          <w:sz w:val="24"/>
          <w:vertAlign w:val="superscript"/>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；煤层倾角4°～11°，平均倾角7°；煤层厚度8.9～16.5m，平均厚度12.3m；地质储量235.8万吨，可采储量219.3万吨（按厚煤层工作面回采率的93%计算）。</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二、地表情况</w:t>
      </w:r>
      <w:bookmarkEnd w:id="6"/>
      <w:bookmarkEnd w:id="7"/>
      <w:bookmarkEnd w:id="8"/>
    </w:p>
    <w:bookmarkEnd w:id="9"/>
    <w:p>
      <w:pPr>
        <w:snapToGrid w:val="0"/>
        <w:ind w:firstLine="480"/>
        <w:rPr>
          <w:rFonts w:ascii="仿宋" w:hAnsi="仿宋" w:eastAsia="仿宋"/>
          <w:sz w:val="24"/>
        </w:rPr>
      </w:pPr>
      <w:bookmarkStart w:id="10" w:name="_Toc63263021"/>
      <w:r>
        <w:rPr>
          <w:rFonts w:hint="eastAsia" w:ascii="仿宋" w:hAnsi="仿宋" w:eastAsia="仿宋"/>
          <w:sz w:val="24"/>
        </w:rPr>
        <w:t>该工作面地表为丘陵沟壑区，地形变化较大,地面地形主要为山地，地面标高1371～1510m，大部分为耕地、果园，树木茂密，草本、灌木植被较为发育。丈招公路位于工作面切眼外侧，在本工作面采动影响范围内。根据1305及1307工作面地表沉降观测成果资料，工作面回采对其影响较小。</w:t>
      </w:r>
    </w:p>
    <w:p>
      <w:pPr>
        <w:snapToGrid w:val="0"/>
        <w:ind w:firstLine="520"/>
        <w:rPr>
          <w:rFonts w:hint="eastAsia" w:ascii="黑体" w:hAnsi="黑体" w:eastAsia="黑体" w:cs="黑体"/>
          <w:b/>
          <w:bCs/>
          <w:color w:val="000000" w:themeColor="text1"/>
          <w:sz w:val="28"/>
          <w:szCs w:val="28"/>
          <w14:textFill>
            <w14:solidFill>
              <w14:schemeClr w14:val="tx1"/>
            </w14:solidFill>
          </w14:textFill>
        </w:rPr>
      </w:pPr>
      <w:r>
        <w:rPr>
          <w:rFonts w:hint="eastAsia" w:ascii="仿宋" w:hAnsi="仿宋" w:eastAsia="仿宋" w:cs="仿宋_GB2312"/>
          <w:color w:val="000000" w:themeColor="text1"/>
          <w:spacing w:val="10"/>
          <w:sz w:val="24"/>
          <w14:textFill>
            <w14:solidFill>
              <w14:schemeClr w14:val="tx1"/>
            </w14:solidFill>
          </w14:textFill>
        </w:rPr>
        <w:t>工作面内及周边钻孔九个：G6、B20、B2、</w:t>
      </w:r>
      <w:r>
        <w:rPr>
          <w:rFonts w:ascii="仿宋" w:hAnsi="仿宋" w:eastAsia="仿宋" w:cs="仿宋_GB2312"/>
          <w:color w:val="000000" w:themeColor="text1"/>
          <w:spacing w:val="10"/>
          <w:sz w:val="24"/>
          <w14:textFill>
            <w14:solidFill>
              <w14:schemeClr w14:val="tx1"/>
            </w14:solidFill>
          </w14:textFill>
        </w:rPr>
        <w:t>ZK05-</w:t>
      </w:r>
      <w:r>
        <w:rPr>
          <w:rFonts w:hint="eastAsia" w:ascii="仿宋" w:hAnsi="仿宋" w:eastAsia="仿宋" w:cs="仿宋_GB2312"/>
          <w:color w:val="000000" w:themeColor="text1"/>
          <w:spacing w:val="10"/>
          <w:sz w:val="24"/>
          <w14:textFill>
            <w14:solidFill>
              <w14:schemeClr w14:val="tx1"/>
            </w14:solidFill>
          </w14:textFill>
        </w:rPr>
        <w:t>34、</w:t>
      </w:r>
      <w:r>
        <w:rPr>
          <w:rFonts w:ascii="仿宋" w:hAnsi="仿宋" w:eastAsia="仿宋" w:cs="仿宋_GB2312"/>
          <w:color w:val="000000" w:themeColor="text1"/>
          <w:spacing w:val="10"/>
          <w:sz w:val="24"/>
          <w14:textFill>
            <w14:solidFill>
              <w14:schemeClr w14:val="tx1"/>
            </w14:solidFill>
          </w14:textFill>
        </w:rPr>
        <w:t>B</w:t>
      </w:r>
      <w:r>
        <w:rPr>
          <w:rFonts w:hint="eastAsia" w:ascii="仿宋" w:hAnsi="仿宋" w:eastAsia="仿宋" w:cs="仿宋_GB2312"/>
          <w:color w:val="000000" w:themeColor="text1"/>
          <w:spacing w:val="10"/>
          <w:sz w:val="24"/>
          <w14:textFill>
            <w14:solidFill>
              <w14:schemeClr w14:val="tx1"/>
            </w14:solidFill>
          </w14:textFill>
        </w:rPr>
        <w:t>22、</w:t>
      </w:r>
      <w:r>
        <w:rPr>
          <w:rFonts w:ascii="仿宋" w:hAnsi="仿宋" w:eastAsia="仿宋"/>
          <w:color w:val="000000" w:themeColor="text1"/>
          <w:sz w:val="24"/>
          <w14:textFill>
            <w14:solidFill>
              <w14:schemeClr w14:val="tx1"/>
            </w14:solidFill>
          </w14:textFill>
        </w:rPr>
        <w:t>Y1</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Z5-95</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Z17-93</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B4</w:t>
      </w:r>
      <w:r>
        <w:rPr>
          <w:rFonts w:hint="eastAsia" w:ascii="仿宋" w:hAnsi="仿宋" w:eastAsia="仿宋" w:cs="仿宋_GB2312"/>
          <w:color w:val="000000" w:themeColor="text1"/>
          <w:spacing w:val="10"/>
          <w:sz w:val="24"/>
          <w14:textFill>
            <w14:solidFill>
              <w14:schemeClr w14:val="tx1"/>
            </w14:solidFill>
          </w14:textFill>
        </w:rPr>
        <w:t>钻孔；其中G6在工作面内，其余在周边，根据勘探资料，钻孔封孔质量合格,九个钻孔等级均为甲级。</w:t>
      </w:r>
    </w:p>
    <w:p>
      <w:pPr>
        <w:snapToGrid w:val="0"/>
        <w:ind w:firstLine="0" w:firstLineChars="0"/>
        <w:jc w:val="center"/>
        <w:rPr>
          <w:rFonts w:ascii="黑体" w:hAnsi="黑体" w:eastAsia="黑体" w:cs="黑体"/>
          <w:b/>
          <w:bCs/>
          <w:color w:val="000000" w:themeColor="text1"/>
          <w:sz w:val="28"/>
          <w:szCs w:val="28"/>
          <w14:textFill>
            <w14:solidFill>
              <w14:schemeClr w14:val="tx1"/>
            </w14:solidFill>
          </w14:textFill>
        </w:rPr>
      </w:pPr>
      <w:r>
        <w:rPr>
          <w:rFonts w:hint="eastAsia" w:ascii="黑体" w:hAnsi="黑体" w:eastAsia="黑体" w:cs="黑体"/>
          <w:b/>
          <w:bCs/>
          <w:color w:val="000000" w:themeColor="text1"/>
          <w:sz w:val="28"/>
          <w:szCs w:val="28"/>
          <w14:textFill>
            <w14:solidFill>
              <w14:schemeClr w14:val="tx1"/>
            </w14:solidFill>
          </w14:textFill>
        </w:rPr>
        <w:t>第三节  煤层</w:t>
      </w:r>
      <w:bookmarkEnd w:id="10"/>
      <w:bookmarkStart w:id="11" w:name="_Toc299796862"/>
      <w:bookmarkStart w:id="12" w:name="_Toc51050660"/>
      <w:bookmarkStart w:id="13" w:name="_Toc53470939"/>
      <w:bookmarkStart w:id="14" w:name="_Toc52260076"/>
      <w:bookmarkStart w:id="15" w:name="_Toc63263022"/>
    </w:p>
    <w:p>
      <w:pPr>
        <w:snapToGrid w:val="0"/>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一、煤层厚度、结构、稳定性</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（一）3煤煤层</w:t>
      </w:r>
      <w:bookmarkEnd w:id="11"/>
      <w:r>
        <w:rPr>
          <w:rFonts w:hint="eastAsia" w:ascii="仿宋" w:hAnsi="仿宋" w:eastAsia="仿宋" w:cs="仿宋"/>
          <w:b/>
          <w:bCs/>
          <w:color w:val="000000" w:themeColor="text1"/>
          <w:sz w:val="24"/>
          <w14:textFill>
            <w14:solidFill>
              <w14:schemeClr w14:val="tx1"/>
            </w14:solidFill>
          </w14:textFill>
        </w:rPr>
        <w:t>厚度及结构</w:t>
      </w:r>
      <w:bookmarkEnd w:id="12"/>
      <w:bookmarkEnd w:id="13"/>
      <w:bookmarkEnd w:id="14"/>
    </w:p>
    <w:p>
      <w:pPr>
        <w:snapToGrid w:val="0"/>
        <w:ind w:firstLine="480"/>
        <w:rPr>
          <w:rFonts w:ascii="仿宋" w:hAnsi="仿宋" w:eastAsia="仿宋" w:cs="仿宋_GB2312"/>
          <w:color w:val="000000" w:themeColor="text1"/>
          <w:sz w:val="24"/>
          <w14:textFill>
            <w14:solidFill>
              <w14:schemeClr w14:val="tx1"/>
            </w14:solidFill>
          </w14:textFill>
        </w:rPr>
      </w:pPr>
      <w:bookmarkStart w:id="16" w:name="_Toc52260077"/>
      <w:bookmarkStart w:id="17" w:name="_Toc51050661"/>
      <w:bookmarkStart w:id="18" w:name="_Toc53470940"/>
      <w:r>
        <w:rPr>
          <w:rFonts w:hint="eastAsia" w:ascii="仿宋" w:hAnsi="仿宋" w:eastAsia="仿宋" w:cs="仿宋_GB2312"/>
          <w:color w:val="000000" w:themeColor="text1"/>
          <w:sz w:val="24"/>
          <w14:textFill>
            <w14:solidFill>
              <w14:schemeClr w14:val="tx1"/>
            </w14:solidFill>
          </w14:textFill>
        </w:rPr>
        <w:t>本工作面所回采的煤层为侏罗系中统延安组3煤层，3</w:t>
      </w:r>
      <w:r>
        <w:rPr>
          <w:rFonts w:ascii="仿宋" w:hAnsi="仿宋" w:eastAsia="仿宋" w:cs="仿宋_GB2312"/>
          <w:color w:val="000000" w:themeColor="text1"/>
          <w:sz w:val="24"/>
          <w14:textFill>
            <w14:solidFill>
              <w14:schemeClr w14:val="tx1"/>
            </w14:solidFill>
          </w14:textFill>
        </w:rPr>
        <w:t>煤层</w:t>
      </w:r>
      <w:r>
        <w:rPr>
          <w:rFonts w:hint="eastAsia" w:ascii="仿宋" w:hAnsi="仿宋" w:eastAsia="仿宋" w:cs="仿宋_GB2312"/>
          <w:color w:val="000000" w:themeColor="text1"/>
          <w:sz w:val="24"/>
          <w14:textFill>
            <w14:solidFill>
              <w14:schemeClr w14:val="tx1"/>
            </w14:solidFill>
          </w14:textFill>
        </w:rPr>
        <w:t>整体趋势西厚东薄，煤厚8.9～16.5m，平均厚度12.3m</w:t>
      </w:r>
      <w:r>
        <w:rPr>
          <w:rFonts w:ascii="仿宋" w:hAnsi="仿宋" w:eastAsia="仿宋" w:cs="仿宋_GB2312"/>
          <w:color w:val="000000" w:themeColor="text1"/>
          <w:sz w:val="24"/>
          <w14:textFill>
            <w14:solidFill>
              <w14:schemeClr w14:val="tx1"/>
            </w14:solidFill>
          </w14:textFill>
        </w:rPr>
        <w:t>；煤层</w:t>
      </w:r>
      <w:r>
        <w:rPr>
          <w:rFonts w:hint="eastAsia" w:ascii="仿宋" w:hAnsi="仿宋" w:eastAsia="仿宋" w:cs="仿宋_GB2312"/>
          <w:color w:val="000000" w:themeColor="text1"/>
          <w:sz w:val="24"/>
          <w14:textFill>
            <w14:solidFill>
              <w14:schemeClr w14:val="tx1"/>
            </w14:solidFill>
          </w14:textFill>
        </w:rPr>
        <w:t>赋存较稳定，煤层结构条带状、均一状、线理状，层</w:t>
      </w:r>
      <w:r>
        <w:rPr>
          <w:rFonts w:ascii="仿宋" w:hAnsi="仿宋" w:eastAsia="仿宋" w:cs="仿宋_GB2312"/>
          <w:color w:val="000000" w:themeColor="text1"/>
          <w:sz w:val="24"/>
          <w14:textFill>
            <w14:solidFill>
              <w14:schemeClr w14:val="tx1"/>
            </w14:solidFill>
          </w14:textFill>
        </w:rPr>
        <w:t>状构造，</w:t>
      </w:r>
      <w:r>
        <w:rPr>
          <w:rFonts w:hint="eastAsia" w:ascii="仿宋" w:hAnsi="仿宋" w:eastAsia="仿宋" w:cs="仿宋_GB2312"/>
          <w:color w:val="000000" w:themeColor="text1"/>
          <w:sz w:val="24"/>
          <w14:textFill>
            <w14:solidFill>
              <w14:schemeClr w14:val="tx1"/>
            </w14:solidFill>
          </w14:textFill>
        </w:rPr>
        <w:t>条痕棕色，具沥青光泽，</w:t>
      </w:r>
      <w:r>
        <w:rPr>
          <w:rFonts w:ascii="仿宋" w:hAnsi="仿宋" w:eastAsia="仿宋" w:cs="仿宋_GB2312"/>
          <w:color w:val="000000" w:themeColor="text1"/>
          <w:sz w:val="24"/>
          <w14:textFill>
            <w14:solidFill>
              <w14:schemeClr w14:val="tx1"/>
            </w14:solidFill>
          </w14:textFill>
        </w:rPr>
        <w:t>煤以半亮煤为主</w:t>
      </w:r>
      <w:r>
        <w:rPr>
          <w:rFonts w:hint="eastAsia" w:ascii="仿宋" w:hAnsi="仿宋" w:eastAsia="仿宋" w:cs="仿宋_GB2312"/>
          <w:color w:val="000000" w:themeColor="text1"/>
          <w:sz w:val="24"/>
          <w14:textFill>
            <w14:solidFill>
              <w14:schemeClr w14:val="tx1"/>
            </w14:solidFill>
          </w14:textFill>
        </w:rPr>
        <w:t>，贝壳状、阶梯状断口，</w:t>
      </w:r>
      <w:r>
        <w:rPr>
          <w:rFonts w:ascii="仿宋" w:hAnsi="仿宋" w:eastAsia="仿宋" w:cs="仿宋_GB2312"/>
          <w:color w:val="000000" w:themeColor="text1"/>
          <w:sz w:val="24"/>
          <w14:textFill>
            <w14:solidFill>
              <w14:schemeClr w14:val="tx1"/>
            </w14:solidFill>
          </w14:textFill>
        </w:rPr>
        <w:t>主要为</w:t>
      </w:r>
      <w:r>
        <w:rPr>
          <w:rFonts w:hint="eastAsia" w:ascii="仿宋" w:hAnsi="仿宋" w:eastAsia="仿宋" w:cs="仿宋_GB2312"/>
          <w:color w:val="000000" w:themeColor="text1"/>
          <w:sz w:val="24"/>
          <w14:textFill>
            <w14:solidFill>
              <w14:schemeClr w14:val="tx1"/>
            </w14:solidFill>
          </w14:textFill>
        </w:rPr>
        <w:t>长焰煤（CY41）及不粘煤(BN31)。</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根据钻孔及工作面两巷探煤资料显示，煤层上部发育1层夹矸，为泥岩，厚度约0.3m；煤层下部发育2层夹矸，总厚度在0.3m左右，对煤质带来一定的影响。</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（二）工作面内2煤赋存情况</w:t>
      </w:r>
      <w:bookmarkEnd w:id="16"/>
      <w:bookmarkEnd w:id="17"/>
      <w:bookmarkEnd w:id="18"/>
    </w:p>
    <w:p>
      <w:pPr>
        <w:snapToGrid w:val="0"/>
        <w:ind w:firstLine="480"/>
        <w:rPr>
          <w:rFonts w:ascii="仿宋" w:hAnsi="仿宋" w:eastAsia="仿宋" w:cs="仿宋_GB2312"/>
          <w:color w:val="000000" w:themeColor="text1"/>
          <w:sz w:val="24"/>
          <w14:textFill>
            <w14:solidFill>
              <w14:schemeClr w14:val="tx1"/>
            </w14:solidFill>
          </w14:textFill>
        </w:rPr>
      </w:pPr>
      <w:bookmarkStart w:id="19" w:name="_Toc53470941"/>
      <w:bookmarkStart w:id="20" w:name="_Toc51050662"/>
      <w:bookmarkStart w:id="21" w:name="_Toc52260078"/>
      <w:r>
        <w:rPr>
          <w:rFonts w:hint="eastAsia" w:ascii="仿宋" w:hAnsi="仿宋" w:eastAsia="仿宋" w:cs="仿宋_GB2312"/>
          <w:color w:val="000000" w:themeColor="text1"/>
          <w:sz w:val="24"/>
          <w14:textFill>
            <w14:solidFill>
              <w14:schemeClr w14:val="tx1"/>
            </w14:solidFill>
          </w14:textFill>
        </w:rPr>
        <w:t>2煤为不稳定煤层，全区局部发育。2煤在该工作面上部局部赋存，2煤与3煤在风巷f8点前10.0m处开始分叉，向切眼方向层间距逐渐增大至40.0米，2煤最大厚度6.0m；2煤与3煤在机巷j10测点处开始分叉，向切眼方向层间距逐渐增大至30m，2煤最大厚度5.3m；夹矸以灰白色粗砂岩为主；切眼中部2煤厚度4.7m，2煤与3煤层间距28m,整体趋势是由东向西逐渐变薄至中部合并。</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（三）临近工作面煤层情况</w:t>
      </w:r>
      <w:bookmarkEnd w:id="19"/>
      <w:bookmarkEnd w:id="20"/>
      <w:bookmarkEnd w:id="21"/>
    </w:p>
    <w:p>
      <w:pPr>
        <w:snapToGrid w:val="0"/>
        <w:ind w:firstLine="520"/>
        <w:rPr>
          <w:rFonts w:ascii="仿宋" w:hAnsi="仿宋" w:eastAsia="仿宋" w:cs="仿宋_GB2312"/>
          <w:color w:val="000000" w:themeColor="text1"/>
          <w:spacing w:val="10"/>
          <w:sz w:val="24"/>
          <w14:textFill>
            <w14:solidFill>
              <w14:schemeClr w14:val="tx1"/>
            </w14:solidFill>
          </w14:textFill>
        </w:rPr>
      </w:pPr>
      <w:bookmarkStart w:id="22" w:name="_Toc53470942"/>
      <w:bookmarkStart w:id="23" w:name="_Toc51050663"/>
      <w:bookmarkStart w:id="24" w:name="_Toc52260079"/>
      <w:r>
        <w:rPr>
          <w:rFonts w:hint="eastAsia" w:ascii="仿宋" w:hAnsi="仿宋" w:eastAsia="仿宋" w:cs="仿宋_GB2312"/>
          <w:color w:val="000000" w:themeColor="text1"/>
          <w:spacing w:val="10"/>
          <w:sz w:val="24"/>
          <w14:textFill>
            <w14:solidFill>
              <w14:schemeClr w14:val="tx1"/>
            </w14:solidFill>
          </w14:textFill>
        </w:rPr>
        <w:t>临近</w:t>
      </w:r>
      <w:r>
        <w:rPr>
          <w:rFonts w:ascii="仿宋" w:hAnsi="仿宋" w:eastAsia="仿宋" w:cs="仿宋_GB2312"/>
          <w:color w:val="000000" w:themeColor="text1"/>
          <w:spacing w:val="10"/>
          <w:sz w:val="24"/>
          <w14:textFill>
            <w14:solidFill>
              <w14:schemeClr w14:val="tx1"/>
            </w14:solidFill>
          </w14:textFill>
        </w:rPr>
        <w:t>130</w:t>
      </w:r>
      <w:r>
        <w:rPr>
          <w:rFonts w:hint="eastAsia" w:ascii="仿宋" w:hAnsi="仿宋" w:eastAsia="仿宋" w:cs="仿宋_GB2312"/>
          <w:color w:val="000000" w:themeColor="text1"/>
          <w:spacing w:val="10"/>
          <w:sz w:val="24"/>
          <w14:textFill>
            <w14:solidFill>
              <w14:schemeClr w14:val="tx1"/>
            </w14:solidFill>
          </w14:textFill>
        </w:rPr>
        <w:t>5工作面已收作，回采煤层为侏罗系中统延安组</w:t>
      </w:r>
      <w:r>
        <w:rPr>
          <w:rFonts w:ascii="仿宋" w:hAnsi="仿宋" w:eastAsia="仿宋" w:cs="仿宋_GB2312"/>
          <w:color w:val="000000" w:themeColor="text1"/>
          <w:spacing w:val="10"/>
          <w:sz w:val="24"/>
          <w14:textFill>
            <w14:solidFill>
              <w14:schemeClr w14:val="tx1"/>
            </w14:solidFill>
          </w14:textFill>
        </w:rPr>
        <w:t>3</w:t>
      </w:r>
      <w:r>
        <w:rPr>
          <w:rFonts w:hint="eastAsia" w:ascii="仿宋" w:hAnsi="仿宋" w:eastAsia="仿宋" w:cs="仿宋_GB2312"/>
          <w:color w:val="000000" w:themeColor="text1"/>
          <w:spacing w:val="10"/>
          <w:sz w:val="24"/>
          <w14:textFill>
            <w14:solidFill>
              <w14:schemeClr w14:val="tx1"/>
            </w14:solidFill>
          </w14:textFill>
        </w:rPr>
        <w:t>煤层，煤厚7.9～</w:t>
      </w:r>
      <w:r>
        <w:rPr>
          <w:rFonts w:ascii="仿宋" w:hAnsi="仿宋" w:eastAsia="仿宋" w:cs="仿宋_GB2312"/>
          <w:color w:val="000000" w:themeColor="text1"/>
          <w:spacing w:val="10"/>
          <w:sz w:val="24"/>
          <w14:textFill>
            <w14:solidFill>
              <w14:schemeClr w14:val="tx1"/>
            </w14:solidFill>
          </w14:textFill>
        </w:rPr>
        <w:t>1</w:t>
      </w:r>
      <w:r>
        <w:rPr>
          <w:rFonts w:hint="eastAsia" w:ascii="仿宋" w:hAnsi="仿宋" w:eastAsia="仿宋" w:cs="仿宋_GB2312"/>
          <w:color w:val="000000" w:themeColor="text1"/>
          <w:spacing w:val="10"/>
          <w:sz w:val="24"/>
          <w14:textFill>
            <w14:solidFill>
              <w14:schemeClr w14:val="tx1"/>
            </w14:solidFill>
          </w14:textFill>
        </w:rPr>
        <w:t>7.0</w:t>
      </w:r>
      <w:r>
        <w:rPr>
          <w:rFonts w:ascii="仿宋" w:hAnsi="仿宋" w:eastAsia="仿宋" w:cs="仿宋_GB2312"/>
          <w:color w:val="000000" w:themeColor="text1"/>
          <w:spacing w:val="10"/>
          <w:sz w:val="24"/>
          <w14:textFill>
            <w14:solidFill>
              <w14:schemeClr w14:val="tx1"/>
            </w14:solidFill>
          </w14:textFill>
        </w:rPr>
        <w:t>m</w:t>
      </w:r>
      <w:r>
        <w:rPr>
          <w:rFonts w:hint="eastAsia" w:ascii="仿宋" w:hAnsi="仿宋" w:eastAsia="仿宋" w:cs="仿宋_GB2312"/>
          <w:color w:val="000000" w:themeColor="text1"/>
          <w:spacing w:val="10"/>
          <w:sz w:val="24"/>
          <w14:textFill>
            <w14:solidFill>
              <w14:schemeClr w14:val="tx1"/>
            </w14:solidFill>
          </w14:textFill>
        </w:rPr>
        <w:t>，平均厚度</w:t>
      </w:r>
      <w:r>
        <w:rPr>
          <w:rFonts w:ascii="仿宋" w:hAnsi="仿宋" w:eastAsia="仿宋" w:cs="仿宋_GB2312"/>
          <w:color w:val="000000" w:themeColor="text1"/>
          <w:spacing w:val="10"/>
          <w:sz w:val="24"/>
          <w14:textFill>
            <w14:solidFill>
              <w14:schemeClr w14:val="tx1"/>
            </w14:solidFill>
          </w14:textFill>
        </w:rPr>
        <w:t>1</w:t>
      </w:r>
      <w:r>
        <w:rPr>
          <w:rFonts w:hint="eastAsia" w:ascii="仿宋" w:hAnsi="仿宋" w:eastAsia="仿宋" w:cs="仿宋_GB2312"/>
          <w:color w:val="000000" w:themeColor="text1"/>
          <w:spacing w:val="10"/>
          <w:sz w:val="24"/>
          <w14:textFill>
            <w14:solidFill>
              <w14:schemeClr w14:val="tx1"/>
            </w14:solidFill>
          </w14:textFill>
        </w:rPr>
        <w:t>4.0</w:t>
      </w:r>
      <w:r>
        <w:rPr>
          <w:rFonts w:ascii="仿宋" w:hAnsi="仿宋" w:eastAsia="仿宋" w:cs="仿宋_GB2312"/>
          <w:color w:val="000000" w:themeColor="text1"/>
          <w:spacing w:val="10"/>
          <w:sz w:val="24"/>
          <w14:textFill>
            <w14:solidFill>
              <w14:schemeClr w14:val="tx1"/>
            </w14:solidFill>
          </w14:textFill>
        </w:rPr>
        <w:t>m</w:t>
      </w:r>
      <w:r>
        <w:rPr>
          <w:rFonts w:hint="eastAsia" w:ascii="仿宋" w:hAnsi="仿宋" w:eastAsia="仿宋" w:cs="仿宋_GB2312"/>
          <w:color w:val="000000" w:themeColor="text1"/>
          <w:spacing w:val="10"/>
          <w:sz w:val="24"/>
          <w14:textFill>
            <w14:solidFill>
              <w14:schemeClr w14:val="tx1"/>
            </w14:solidFill>
          </w14:textFill>
        </w:rPr>
        <w:t>；煤层赋存稳定，煤层结构条带状、均一状、线理状，煤以碎块状及粉末状为主，条痕棕色，具沥青光泽。</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（四）煤层稳定性</w:t>
      </w:r>
      <w:bookmarkEnd w:id="22"/>
      <w:bookmarkEnd w:id="23"/>
      <w:bookmarkEnd w:id="24"/>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本工作面煤厚赋存较稳定，煤层厚度在8.9～16.5m之间，平均厚度为M=12.3，煤层倾角为4°～11°，平均倾角α=7°</w:t>
      </w:r>
      <w:r>
        <w:rPr>
          <w:rFonts w:hint="eastAsia" w:ascii="仿宋" w:hAnsi="仿宋" w:eastAsia="仿宋" w:cs="仿宋"/>
          <w:color w:val="000000" w:themeColor="text1"/>
          <w:sz w:val="24"/>
          <w14:textFill>
            <w14:solidFill>
              <w14:schemeClr w14:val="tx1"/>
            </w14:solidFill>
          </w14:textFill>
        </w:rPr>
        <w:t>。</w:t>
      </w:r>
      <w:bookmarkStart w:id="25" w:name="_Toc53470945"/>
      <w:bookmarkStart w:id="26" w:name="_Toc51050666"/>
      <w:bookmarkStart w:id="27" w:name="_Toc52260082"/>
      <w:r>
        <w:rPr>
          <w:rFonts w:ascii="仿宋" w:hAnsi="仿宋" w:eastAsia="仿宋" w:cs="仿宋_GB2312"/>
          <w:color w:val="000000" w:themeColor="text1"/>
          <w:sz w:val="24"/>
          <w14:textFill>
            <w14:solidFill>
              <w14:schemeClr w14:val="tx1"/>
            </w14:solidFill>
          </w14:textFill>
        </w:rPr>
        <w:t>根据《煤层稳定性评定条件表》规定，变异系数</w:t>
      </w:r>
      <w:r>
        <w:rPr>
          <w:rFonts w:hint="eastAsia" w:ascii="仿宋" w:hAnsi="仿宋" w:eastAsia="仿宋" w:cs="仿宋_GB2312"/>
          <w:color w:val="000000" w:themeColor="text1"/>
          <w:sz w:val="24"/>
          <w14:textFill>
            <w14:solidFill>
              <w14:schemeClr w14:val="tx1"/>
            </w14:solidFill>
          </w14:textFill>
        </w:rPr>
        <w:t>≤30%、</w:t>
      </w:r>
      <w:r>
        <w:rPr>
          <w:rFonts w:ascii="仿宋" w:hAnsi="仿宋" w:eastAsia="仿宋" w:cs="仿宋_GB2312"/>
          <w:color w:val="000000" w:themeColor="text1"/>
          <w:sz w:val="24"/>
          <w14:textFill>
            <w14:solidFill>
              <w14:schemeClr w14:val="tx1"/>
            </w14:solidFill>
          </w14:textFill>
        </w:rPr>
        <w:t>可采性指数Km=1</w:t>
      </w:r>
      <w:r>
        <w:rPr>
          <w:rFonts w:hint="eastAsia" w:ascii="仿宋" w:hAnsi="仿宋" w:eastAsia="仿宋" w:cs="仿宋_GB2312"/>
          <w:color w:val="000000" w:themeColor="text1"/>
          <w:sz w:val="24"/>
          <w14:textFill>
            <w14:solidFill>
              <w14:schemeClr w14:val="tx1"/>
            </w14:solidFill>
          </w14:textFill>
        </w:rPr>
        <w:t>，</w:t>
      </w:r>
      <w:r>
        <w:rPr>
          <w:rFonts w:ascii="仿宋" w:hAnsi="仿宋" w:eastAsia="仿宋" w:cs="仿宋_GB2312"/>
          <w:color w:val="000000" w:themeColor="text1"/>
          <w:sz w:val="24"/>
          <w14:textFill>
            <w14:solidFill>
              <w14:schemeClr w14:val="tx1"/>
            </w14:solidFill>
          </w14:textFill>
        </w:rPr>
        <w:t>属于稳定煤层</w:t>
      </w:r>
      <w:r>
        <w:rPr>
          <w:rFonts w:hint="eastAsia" w:ascii="仿宋" w:hAnsi="仿宋" w:eastAsia="仿宋" w:cs="仿宋_GB2312"/>
          <w:color w:val="000000" w:themeColor="text1"/>
          <w:sz w:val="24"/>
          <w14:textFill>
            <w14:solidFill>
              <w14:schemeClr w14:val="tx1"/>
            </w14:solidFill>
          </w14:textFill>
        </w:rPr>
        <w:t>，</w:t>
      </w:r>
      <w:r>
        <w:rPr>
          <w:rFonts w:ascii="仿宋" w:hAnsi="仿宋" w:eastAsia="仿宋" w:cs="仿宋_GB2312"/>
          <w:color w:val="000000" w:themeColor="text1"/>
          <w:sz w:val="24"/>
          <w14:textFill>
            <w14:solidFill>
              <w14:schemeClr w14:val="tx1"/>
            </w14:solidFill>
          </w14:textFill>
        </w:rPr>
        <w:t>所以工作面3煤层为稳定煤层。</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二、煤层顶底板岩性</w:t>
      </w:r>
      <w:bookmarkEnd w:id="25"/>
      <w:bookmarkEnd w:id="26"/>
      <w:bookmarkEnd w:id="27"/>
    </w:p>
    <w:p>
      <w:pPr>
        <w:snapToGrid w:val="0"/>
        <w:ind w:firstLine="520"/>
        <w:rPr>
          <w:rFonts w:ascii="仿宋" w:hAnsi="仿宋" w:eastAsia="仿宋" w:cs="仿宋_GB2312"/>
          <w:color w:val="000000" w:themeColor="text1"/>
          <w:spacing w:val="10"/>
          <w:sz w:val="24"/>
          <w14:textFill>
            <w14:solidFill>
              <w14:schemeClr w14:val="tx1"/>
            </w14:solidFill>
          </w14:textFill>
        </w:rPr>
      </w:pPr>
      <w:bookmarkStart w:id="28" w:name="_Toc53470946"/>
      <w:bookmarkStart w:id="29" w:name="_Toc52260083"/>
      <w:bookmarkStart w:id="30" w:name="_Toc51050667"/>
      <w:bookmarkStart w:id="31" w:name="_Toc10018"/>
      <w:bookmarkStart w:id="32" w:name="_Toc484103737"/>
      <w:bookmarkStart w:id="33" w:name="_Toc9013"/>
      <w:bookmarkStart w:id="34" w:name="_Toc289271178"/>
      <w:r>
        <w:rPr>
          <w:rFonts w:hint="eastAsia" w:ascii="仿宋" w:hAnsi="仿宋" w:eastAsia="仿宋" w:cs="仿宋_GB2312"/>
          <w:color w:val="000000" w:themeColor="text1"/>
          <w:spacing w:val="10"/>
          <w:sz w:val="24"/>
          <w14:textFill>
            <w14:solidFill>
              <w14:schemeClr w14:val="tx1"/>
            </w14:solidFill>
          </w14:textFill>
        </w:rPr>
        <w:t>依据G6、</w:t>
      </w:r>
      <w:r>
        <w:rPr>
          <w:rFonts w:ascii="仿宋" w:hAnsi="仿宋" w:eastAsia="仿宋"/>
          <w:color w:val="000000" w:themeColor="text1"/>
          <w:sz w:val="24"/>
          <w14:textFill>
            <w14:solidFill>
              <w14:schemeClr w14:val="tx1"/>
            </w14:solidFill>
          </w14:textFill>
        </w:rPr>
        <w:t>B4</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s="仿宋_GB2312"/>
          <w:color w:val="000000" w:themeColor="text1"/>
          <w:spacing w:val="10"/>
          <w:sz w:val="24"/>
          <w14:textFill>
            <w14:solidFill>
              <w14:schemeClr w14:val="tx1"/>
            </w14:solidFill>
          </w14:textFill>
        </w:rPr>
        <w:t>B20、B2、</w:t>
      </w:r>
      <w:r>
        <w:rPr>
          <w:rFonts w:ascii="仿宋" w:hAnsi="仿宋" w:eastAsia="仿宋" w:cs="仿宋_GB2312"/>
          <w:color w:val="000000" w:themeColor="text1"/>
          <w:spacing w:val="10"/>
          <w:sz w:val="24"/>
          <w14:textFill>
            <w14:solidFill>
              <w14:schemeClr w14:val="tx1"/>
            </w14:solidFill>
          </w14:textFill>
        </w:rPr>
        <w:t>ZK05-</w:t>
      </w:r>
      <w:r>
        <w:rPr>
          <w:rFonts w:hint="eastAsia" w:ascii="仿宋" w:hAnsi="仿宋" w:eastAsia="仿宋" w:cs="仿宋_GB2312"/>
          <w:color w:val="000000" w:themeColor="text1"/>
          <w:spacing w:val="10"/>
          <w:sz w:val="24"/>
          <w14:textFill>
            <w14:solidFill>
              <w14:schemeClr w14:val="tx1"/>
            </w14:solidFill>
          </w14:textFill>
        </w:rPr>
        <w:t>34、</w:t>
      </w:r>
      <w:r>
        <w:rPr>
          <w:rFonts w:ascii="仿宋" w:hAnsi="仿宋" w:eastAsia="仿宋" w:cs="仿宋_GB2312"/>
          <w:color w:val="000000" w:themeColor="text1"/>
          <w:spacing w:val="10"/>
          <w:sz w:val="24"/>
          <w14:textFill>
            <w14:solidFill>
              <w14:schemeClr w14:val="tx1"/>
            </w14:solidFill>
          </w14:textFill>
        </w:rPr>
        <w:t>B</w:t>
      </w:r>
      <w:r>
        <w:rPr>
          <w:rFonts w:hint="eastAsia" w:ascii="仿宋" w:hAnsi="仿宋" w:eastAsia="仿宋" w:cs="仿宋_GB2312"/>
          <w:color w:val="000000" w:themeColor="text1"/>
          <w:spacing w:val="10"/>
          <w:sz w:val="24"/>
          <w14:textFill>
            <w14:solidFill>
              <w14:schemeClr w14:val="tx1"/>
            </w14:solidFill>
          </w14:textFill>
        </w:rPr>
        <w:t>22、</w:t>
      </w:r>
      <w:r>
        <w:rPr>
          <w:rFonts w:ascii="仿宋" w:hAnsi="仿宋" w:eastAsia="仿宋"/>
          <w:color w:val="000000" w:themeColor="text1"/>
          <w:sz w:val="24"/>
          <w14:textFill>
            <w14:solidFill>
              <w14:schemeClr w14:val="tx1"/>
            </w14:solidFill>
          </w14:textFill>
        </w:rPr>
        <w:t>Y1</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Z5-95</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Z17-93</w:t>
      </w:r>
      <w:r>
        <w:rPr>
          <w:rFonts w:hint="eastAsia" w:ascii="仿宋" w:hAnsi="仿宋" w:eastAsia="仿宋" w:cs="仿宋_GB2312"/>
          <w:color w:val="000000" w:themeColor="text1"/>
          <w:spacing w:val="10"/>
          <w:sz w:val="24"/>
          <w14:textFill>
            <w14:solidFill>
              <w14:schemeClr w14:val="tx1"/>
            </w14:solidFill>
          </w14:textFill>
        </w:rPr>
        <w:t>钻孔及机、风两巷掘进揭露地质资料综合编制而成</w:t>
      </w:r>
      <w:r>
        <w:rPr>
          <w:rFonts w:ascii="仿宋" w:hAnsi="仿宋" w:eastAsia="仿宋" w:cs="仿宋_GB2312"/>
          <w:color w:val="000000" w:themeColor="text1"/>
          <w:spacing w:val="10"/>
          <w:sz w:val="24"/>
          <w14:textFill>
            <w14:solidFill>
              <w14:schemeClr w14:val="tx1"/>
            </w14:solidFill>
          </w14:textFill>
        </w:rPr>
        <w:t>:</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（一）顶板</w:t>
      </w:r>
      <w:bookmarkEnd w:id="28"/>
      <w:bookmarkEnd w:id="29"/>
      <w:bookmarkEnd w:id="30"/>
    </w:p>
    <w:p>
      <w:pPr>
        <w:ind w:firstLine="520"/>
        <w:rPr>
          <w:rFonts w:ascii="仿宋" w:hAnsi="仿宋" w:eastAsia="仿宋"/>
          <w:color w:val="000000" w:themeColor="text1"/>
          <w:spacing w:val="10"/>
          <w:sz w:val="24"/>
          <w14:textFill>
            <w14:solidFill>
              <w14:schemeClr w14:val="tx1"/>
            </w14:solidFill>
          </w14:textFill>
        </w:rPr>
      </w:pPr>
      <w:bookmarkStart w:id="35" w:name="_Toc53470947"/>
      <w:bookmarkStart w:id="36" w:name="_Toc52260084"/>
      <w:r>
        <w:rPr>
          <w:rFonts w:hint="eastAsia" w:ascii="仿宋" w:hAnsi="仿宋" w:eastAsia="仿宋" w:cs="仿宋_GB2312"/>
          <w:color w:val="000000" w:themeColor="text1"/>
          <w:spacing w:val="10"/>
          <w:sz w:val="24"/>
          <w14:textFill>
            <w14:solidFill>
              <w14:schemeClr w14:val="tx1"/>
            </w14:solidFill>
          </w14:textFill>
        </w:rPr>
        <w:t>伪顶：本工作面伪顶局部分布，B20钻孔附近有伪顶，厚度小于</w:t>
      </w:r>
      <w:r>
        <w:rPr>
          <w:rFonts w:ascii="仿宋" w:hAnsi="仿宋" w:eastAsia="仿宋" w:cs="仿宋_GB2312"/>
          <w:color w:val="000000" w:themeColor="text1"/>
          <w:spacing w:val="10"/>
          <w:sz w:val="24"/>
          <w14:textFill>
            <w14:solidFill>
              <w14:schemeClr w14:val="tx1"/>
            </w14:solidFill>
          </w14:textFill>
        </w:rPr>
        <w:t>1.0m</w:t>
      </w:r>
      <w:r>
        <w:rPr>
          <w:rFonts w:hint="eastAsia" w:ascii="仿宋" w:hAnsi="仿宋" w:eastAsia="仿宋" w:cs="仿宋_GB2312"/>
          <w:color w:val="000000" w:themeColor="text1"/>
          <w:spacing w:val="10"/>
          <w:sz w:val="24"/>
          <w14:textFill>
            <w14:solidFill>
              <w14:schemeClr w14:val="tx1"/>
            </w14:solidFill>
          </w14:textFill>
        </w:rPr>
        <w:t>，为碳质泥岩、粉砂岩。伪顶厚度薄，稳定性差，随煤层开采而冒落，属不稳定岩体。</w:t>
      </w:r>
    </w:p>
    <w:p>
      <w:pPr>
        <w:ind w:firstLine="520"/>
        <w:rPr>
          <w:rFonts w:ascii="仿宋" w:hAnsi="仿宋" w:eastAsia="仿宋"/>
          <w:color w:val="000000" w:themeColor="text1"/>
          <w:spacing w:val="10"/>
          <w:sz w:val="24"/>
          <w14:textFill>
            <w14:solidFill>
              <w14:schemeClr w14:val="tx1"/>
            </w14:solidFill>
          </w14:textFill>
        </w:rPr>
      </w:pPr>
      <w:r>
        <w:rPr>
          <w:rFonts w:hint="eastAsia" w:ascii="仿宋" w:hAnsi="仿宋" w:eastAsia="仿宋" w:cs="仿宋_GB2312"/>
          <w:color w:val="000000" w:themeColor="text1"/>
          <w:spacing w:val="10"/>
          <w:sz w:val="24"/>
          <w14:textFill>
            <w14:solidFill>
              <w14:schemeClr w14:val="tx1"/>
            </w14:solidFill>
          </w14:textFill>
        </w:rPr>
        <w:t>直接顶：煤层直接顶粉砂岩，厚度一般为1.1</w:t>
      </w:r>
      <w:r>
        <w:rPr>
          <w:rFonts w:ascii="仿宋" w:hAnsi="仿宋" w:eastAsia="仿宋" w:cs="仿宋_GB2312"/>
          <w:color w:val="000000" w:themeColor="text1"/>
          <w:spacing w:val="10"/>
          <w:sz w:val="24"/>
          <w14:textFill>
            <w14:solidFill>
              <w14:schemeClr w14:val="tx1"/>
            </w14:solidFill>
          </w14:textFill>
        </w:rPr>
        <w:t>m</w:t>
      </w:r>
      <w:r>
        <w:rPr>
          <w:rFonts w:hint="eastAsia" w:ascii="仿宋" w:hAnsi="仿宋" w:eastAsia="仿宋" w:cs="仿宋_GB2312"/>
          <w:color w:val="000000" w:themeColor="text1"/>
          <w:spacing w:val="10"/>
          <w:sz w:val="24"/>
          <w14:textFill>
            <w14:solidFill>
              <w14:schemeClr w14:val="tx1"/>
            </w14:solidFill>
          </w14:textFill>
        </w:rPr>
        <w:t>。局部达8.1</w:t>
      </w:r>
      <w:r>
        <w:rPr>
          <w:rFonts w:ascii="仿宋" w:hAnsi="仿宋" w:eastAsia="仿宋" w:cs="仿宋_GB2312"/>
          <w:color w:val="000000" w:themeColor="text1"/>
          <w:spacing w:val="10"/>
          <w:sz w:val="24"/>
          <w14:textFill>
            <w14:solidFill>
              <w14:schemeClr w14:val="tx1"/>
            </w14:solidFill>
          </w14:textFill>
        </w:rPr>
        <w:t>m</w:t>
      </w:r>
      <w:r>
        <w:rPr>
          <w:rFonts w:hint="eastAsia" w:ascii="仿宋" w:hAnsi="仿宋" w:eastAsia="仿宋" w:cs="仿宋_GB2312"/>
          <w:color w:val="000000" w:themeColor="text1"/>
          <w:spacing w:val="10"/>
          <w:sz w:val="24"/>
          <w14:textFill>
            <w14:solidFill>
              <w14:schemeClr w14:val="tx1"/>
            </w14:solidFill>
          </w14:textFill>
        </w:rPr>
        <w:t>（B2），属稳定性较差的岩体。</w:t>
      </w:r>
    </w:p>
    <w:p>
      <w:pPr>
        <w:snapToGrid w:val="0"/>
        <w:ind w:firstLine="520"/>
        <w:rPr>
          <w:rFonts w:ascii="仿宋" w:hAnsi="仿宋" w:eastAsia="仿宋" w:cs="仿宋_GB2312"/>
          <w:color w:val="000000" w:themeColor="text1"/>
          <w:spacing w:val="10"/>
          <w:sz w:val="24"/>
          <w14:textFill>
            <w14:solidFill>
              <w14:schemeClr w14:val="tx1"/>
            </w14:solidFill>
          </w14:textFill>
        </w:rPr>
      </w:pPr>
      <w:r>
        <w:rPr>
          <w:rFonts w:hint="eastAsia" w:ascii="仿宋" w:hAnsi="仿宋" w:eastAsia="仿宋" w:cs="仿宋_GB2312"/>
          <w:color w:val="000000" w:themeColor="text1"/>
          <w:spacing w:val="10"/>
          <w:sz w:val="24"/>
          <w14:textFill>
            <w14:solidFill>
              <w14:schemeClr w14:val="tx1"/>
            </w14:solidFill>
          </w14:textFill>
        </w:rPr>
        <w:t>老顶：煤层老顶细砂岩和粗砂岩，厚度一般</w:t>
      </w:r>
      <w:r>
        <w:rPr>
          <w:rFonts w:ascii="仿宋" w:hAnsi="仿宋" w:eastAsia="仿宋" w:cs="仿宋_GB2312"/>
          <w:color w:val="000000" w:themeColor="text1"/>
          <w:spacing w:val="10"/>
          <w:sz w:val="24"/>
          <w14:textFill>
            <w14:solidFill>
              <w14:schemeClr w14:val="tx1"/>
            </w14:solidFill>
          </w14:textFill>
        </w:rPr>
        <w:t>20m</w:t>
      </w:r>
      <w:r>
        <w:rPr>
          <w:rFonts w:hint="eastAsia" w:ascii="仿宋" w:hAnsi="仿宋" w:eastAsia="仿宋" w:cs="仿宋_GB2312"/>
          <w:color w:val="000000" w:themeColor="text1"/>
          <w:spacing w:val="10"/>
          <w:sz w:val="24"/>
          <w14:textFill>
            <w14:solidFill>
              <w14:schemeClr w14:val="tx1"/>
            </w14:solidFill>
          </w14:textFill>
        </w:rPr>
        <w:t>左右，一般为中等稳定岩体。</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（二）底板</w:t>
      </w:r>
      <w:bookmarkEnd w:id="35"/>
      <w:bookmarkEnd w:id="36"/>
    </w:p>
    <w:p>
      <w:pPr>
        <w:ind w:firstLine="520"/>
        <w:rPr>
          <w:rFonts w:ascii="仿宋" w:hAnsi="仿宋" w:eastAsia="仿宋"/>
          <w:color w:val="000000" w:themeColor="text1"/>
          <w:spacing w:val="10"/>
          <w:sz w:val="24"/>
          <w14:textFill>
            <w14:solidFill>
              <w14:schemeClr w14:val="tx1"/>
            </w14:solidFill>
          </w14:textFill>
        </w:rPr>
      </w:pPr>
      <w:bookmarkStart w:id="37" w:name="_Toc51050668"/>
      <w:bookmarkStart w:id="38" w:name="_Toc52260085"/>
      <w:bookmarkStart w:id="39" w:name="_Toc53470948"/>
      <w:r>
        <w:rPr>
          <w:rFonts w:hint="eastAsia" w:ascii="仿宋" w:hAnsi="仿宋" w:eastAsia="仿宋" w:cs="仿宋_GB2312"/>
          <w:color w:val="000000" w:themeColor="text1"/>
          <w:spacing w:val="10"/>
          <w:sz w:val="24"/>
          <w14:textFill>
            <w14:solidFill>
              <w14:schemeClr w14:val="tx1"/>
            </w14:solidFill>
          </w14:textFill>
        </w:rPr>
        <w:t>直接底：为碳质泥岩、泥岩互层，厚度1.3m-7.0m，平均厚度5.0m。</w:t>
      </w:r>
    </w:p>
    <w:p>
      <w:pPr>
        <w:ind w:firstLine="520"/>
        <w:rPr>
          <w:rFonts w:ascii="仿宋" w:hAnsi="仿宋" w:eastAsia="仿宋"/>
          <w:color w:val="000000" w:themeColor="text1"/>
          <w:spacing w:val="10"/>
          <w:sz w:val="24"/>
          <w14:textFill>
            <w14:solidFill>
              <w14:schemeClr w14:val="tx1"/>
            </w14:solidFill>
          </w14:textFill>
        </w:rPr>
      </w:pPr>
      <w:r>
        <w:rPr>
          <w:rFonts w:hint="eastAsia" w:ascii="仿宋" w:hAnsi="仿宋" w:eastAsia="仿宋" w:cs="仿宋_GB2312"/>
          <w:color w:val="000000" w:themeColor="text1"/>
          <w:spacing w:val="10"/>
          <w:sz w:val="24"/>
          <w14:textFill>
            <w14:solidFill>
              <w14:schemeClr w14:val="tx1"/>
            </w14:solidFill>
          </w14:textFill>
        </w:rPr>
        <w:t>老底：为粉砂岩和细砂岩，厚度分别为8.9</w:t>
      </w:r>
      <w:r>
        <w:rPr>
          <w:rFonts w:ascii="仿宋" w:hAnsi="仿宋" w:eastAsia="仿宋" w:cs="仿宋_GB2312"/>
          <w:color w:val="000000" w:themeColor="text1"/>
          <w:spacing w:val="10"/>
          <w:sz w:val="24"/>
          <w14:textFill>
            <w14:solidFill>
              <w14:schemeClr w14:val="tx1"/>
            </w14:solidFill>
          </w14:textFill>
        </w:rPr>
        <w:t>m</w:t>
      </w:r>
      <w:r>
        <w:rPr>
          <w:rFonts w:hint="eastAsia" w:ascii="仿宋" w:hAnsi="仿宋" w:eastAsia="仿宋" w:cs="仿宋_GB2312"/>
          <w:color w:val="000000" w:themeColor="text1"/>
          <w:spacing w:val="10"/>
          <w:sz w:val="24"/>
          <w14:textFill>
            <w14:solidFill>
              <w14:schemeClr w14:val="tx1"/>
            </w14:solidFill>
          </w14:textFill>
        </w:rPr>
        <w:t>-15.1m，平均厚度12.0m。</w:t>
      </w:r>
      <w:r>
        <w:rPr>
          <w:rFonts w:ascii="仿宋" w:hAnsi="仿宋" w:eastAsia="仿宋"/>
          <w:color w:val="000000" w:themeColor="text1"/>
          <w:spacing w:val="10"/>
          <w:sz w:val="24"/>
          <w14:textFill>
            <w14:solidFill>
              <w14:schemeClr w14:val="tx1"/>
            </w14:solidFill>
          </w14:textFill>
        </w:rPr>
        <w:t xml:space="preserve"> </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三、</w:t>
      </w:r>
      <w:bookmarkEnd w:id="31"/>
      <w:bookmarkEnd w:id="32"/>
      <w:bookmarkEnd w:id="33"/>
      <w:bookmarkEnd w:id="34"/>
      <w:r>
        <w:rPr>
          <w:rFonts w:hint="eastAsia" w:ascii="仿宋" w:hAnsi="仿宋" w:eastAsia="仿宋" w:cs="仿宋"/>
          <w:b/>
          <w:bCs/>
          <w:color w:val="000000" w:themeColor="text1"/>
          <w:sz w:val="24"/>
          <w14:textFill>
            <w14:solidFill>
              <w14:schemeClr w14:val="tx1"/>
            </w14:solidFill>
          </w14:textFill>
        </w:rPr>
        <w:t>预测岩浆岩、冲刷带、陷落柱等的位置及其对正常回采的影响</w:t>
      </w:r>
      <w:bookmarkEnd w:id="37"/>
      <w:bookmarkEnd w:id="38"/>
      <w:bookmarkEnd w:id="39"/>
    </w:p>
    <w:p>
      <w:pPr>
        <w:tabs>
          <w:tab w:val="left" w:pos="9356"/>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根据徐州大隐矿业科技有限公司编制的《陕西金源招贤矿业有限公司生产地质报告》以及三维地震资料显示，工作面内</w:t>
      </w:r>
      <w:r>
        <w:rPr>
          <w:rFonts w:ascii="仿宋" w:hAnsi="仿宋" w:eastAsia="仿宋" w:cs="仿宋_GB2312"/>
          <w:color w:val="000000" w:themeColor="text1"/>
          <w:sz w:val="24"/>
          <w14:textFill>
            <w14:solidFill>
              <w14:schemeClr w14:val="tx1"/>
            </w14:solidFill>
          </w14:textFill>
        </w:rPr>
        <w:t>未发现岩浆岩侵入</w:t>
      </w:r>
      <w:r>
        <w:rPr>
          <w:rFonts w:hint="eastAsia" w:ascii="仿宋" w:hAnsi="仿宋" w:eastAsia="仿宋" w:cs="仿宋_GB2312"/>
          <w:color w:val="000000" w:themeColor="text1"/>
          <w:sz w:val="24"/>
          <w14:textFill>
            <w14:solidFill>
              <w14:schemeClr w14:val="tx1"/>
            </w14:solidFill>
          </w14:textFill>
        </w:rPr>
        <w:t>、冲刷带、陷落柱。</w:t>
      </w:r>
      <w:bookmarkEnd w:id="15"/>
      <w:bookmarkStart w:id="40" w:name="_Toc496212747"/>
    </w:p>
    <w:p>
      <w:pPr>
        <w:tabs>
          <w:tab w:val="left" w:pos="9356"/>
        </w:tabs>
        <w:snapToGrid w:val="0"/>
        <w:ind w:firstLine="480"/>
        <w:jc w:val="center"/>
        <w:rPr>
          <w:rFonts w:ascii="仿宋" w:hAnsi="仿宋" w:eastAsia="仿宋" w:cs="仿宋_GB2312"/>
          <w:color w:val="000000" w:themeColor="text1"/>
          <w:sz w:val="24"/>
          <w14:textFill>
            <w14:solidFill>
              <w14:schemeClr w14:val="tx1"/>
            </w14:solidFill>
          </w14:textFill>
        </w:rPr>
      </w:pPr>
    </w:p>
    <w:p>
      <w:pPr>
        <w:tabs>
          <w:tab w:val="left" w:pos="9356"/>
        </w:tabs>
        <w:snapToGrid w:val="0"/>
        <w:ind w:firstLine="562"/>
        <w:jc w:val="center"/>
        <w:rPr>
          <w:rFonts w:ascii="仿宋" w:hAnsi="仿宋" w:eastAsia="仿宋" w:cs="仿宋_GB2312"/>
          <w:b/>
          <w:color w:val="000000" w:themeColor="text1"/>
          <w:sz w:val="24"/>
          <w14:textFill>
            <w14:solidFill>
              <w14:schemeClr w14:val="tx1"/>
            </w14:solidFill>
          </w14:textFill>
        </w:rPr>
      </w:pPr>
      <w:r>
        <w:rPr>
          <w:rFonts w:hint="eastAsia" w:ascii="黑体" w:hAnsi="黑体" w:eastAsia="黑体" w:cs="黑体"/>
          <w:b/>
          <w:color w:val="000000" w:themeColor="text1"/>
          <w:sz w:val="28"/>
          <w:szCs w:val="28"/>
          <w14:textFill>
            <w14:solidFill>
              <w14:schemeClr w14:val="tx1"/>
            </w14:solidFill>
          </w14:textFill>
        </w:rPr>
        <w:t>第四节   煤质</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依据工作面周边钻孔揭露资料，统计本工作面回采过程中煤质情况如下表</w:t>
      </w:r>
    </w:p>
    <w:p>
      <w:pPr>
        <w:snapToGrid w:val="0"/>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表1   1303工作面煤质及</w:t>
      </w:r>
      <w:r>
        <w:rPr>
          <w:rFonts w:hint="eastAsia" w:ascii="仿宋" w:hAnsi="仿宋" w:eastAsia="仿宋" w:cs="仿宋"/>
          <w:color w:val="000000" w:themeColor="text1"/>
          <w:sz w:val="24"/>
          <w:lang w:val="en-US" w:eastAsia="zh-C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开采技术条件一览表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2027"/>
        <w:gridCol w:w="1029"/>
        <w:gridCol w:w="992"/>
        <w:gridCol w:w="992"/>
        <w:gridCol w:w="851"/>
        <w:gridCol w:w="850"/>
        <w:gridCol w:w="12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9" w:hRule="atLeast"/>
        </w:trPr>
        <w:tc>
          <w:tcPr>
            <w:tcW w:w="722" w:type="dxa"/>
            <w:vMerge w:val="restart"/>
            <w:tcBorders>
              <w:top w:val="single" w:color="auto" w:sz="12" w:space="0"/>
            </w:tcBorders>
            <w:vAlign w:val="center"/>
          </w:tcPr>
          <w:p>
            <w:pPr>
              <w:spacing w:line="240" w:lineRule="atLeast"/>
              <w:ind w:firstLine="0" w:firstLineChars="0"/>
              <w:jc w:val="center"/>
              <w:rPr>
                <w:rFonts w:ascii="仿宋_GB2312" w:hAnsi="仿宋_GB2312" w:cs="仿宋_GB2312"/>
                <w:sz w:val="18"/>
                <w:szCs w:val="18"/>
              </w:rPr>
            </w:pPr>
          </w:p>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煤</w:t>
            </w:r>
          </w:p>
          <w:p>
            <w:pPr>
              <w:spacing w:line="240" w:lineRule="atLeast"/>
              <w:ind w:firstLine="360"/>
              <w:jc w:val="center"/>
              <w:rPr>
                <w:rFonts w:ascii="仿宋_GB2312" w:hAnsi="仿宋_GB2312" w:cs="仿宋_GB2312"/>
                <w:sz w:val="18"/>
                <w:szCs w:val="18"/>
              </w:rPr>
            </w:pPr>
          </w:p>
          <w:p>
            <w:pPr>
              <w:spacing w:line="240" w:lineRule="atLeast"/>
              <w:ind w:firstLine="360"/>
              <w:jc w:val="center"/>
              <w:rPr>
                <w:rFonts w:ascii="仿宋_GB2312" w:hAnsi="仿宋_GB2312" w:cs="仿宋_GB2312"/>
                <w:sz w:val="18"/>
                <w:szCs w:val="18"/>
              </w:rPr>
            </w:pPr>
          </w:p>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质</w:t>
            </w:r>
          </w:p>
        </w:tc>
        <w:tc>
          <w:tcPr>
            <w:tcW w:w="2027" w:type="dxa"/>
            <w:tcBorders>
              <w:top w:val="single" w:color="auto" w:sz="12" w:space="0"/>
              <w:bottom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工业指标</w:t>
            </w:r>
          </w:p>
        </w:tc>
        <w:tc>
          <w:tcPr>
            <w:tcW w:w="1029" w:type="dxa"/>
            <w:tcBorders>
              <w:top w:val="single" w:color="auto" w:sz="12" w:space="0"/>
              <w:bottom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B4</w:t>
            </w:r>
          </w:p>
        </w:tc>
        <w:tc>
          <w:tcPr>
            <w:tcW w:w="992" w:type="dxa"/>
            <w:tcBorders>
              <w:top w:val="single" w:color="auto" w:sz="12"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ZK05-95</w:t>
            </w:r>
          </w:p>
        </w:tc>
        <w:tc>
          <w:tcPr>
            <w:tcW w:w="992" w:type="dxa"/>
            <w:tcBorders>
              <w:top w:val="single" w:color="auto" w:sz="12"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ZK17-93</w:t>
            </w:r>
          </w:p>
        </w:tc>
        <w:tc>
          <w:tcPr>
            <w:tcW w:w="851" w:type="dxa"/>
            <w:tcBorders>
              <w:top w:val="single" w:color="auto" w:sz="12"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G6</w:t>
            </w:r>
          </w:p>
        </w:tc>
        <w:tc>
          <w:tcPr>
            <w:tcW w:w="850" w:type="dxa"/>
            <w:tcBorders>
              <w:top w:val="single" w:color="auto" w:sz="12"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Y1</w:t>
            </w:r>
          </w:p>
        </w:tc>
        <w:tc>
          <w:tcPr>
            <w:tcW w:w="1257" w:type="dxa"/>
            <w:tcBorders>
              <w:top w:val="single" w:color="auto" w:sz="12" w:space="0"/>
              <w:left w:val="single" w:color="auto" w:sz="4" w:space="0"/>
              <w:bottom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平均值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5" w:hRule="atLeast"/>
        </w:trPr>
        <w:tc>
          <w:tcPr>
            <w:tcW w:w="722" w:type="dxa"/>
            <w:vMerge w:val="continue"/>
            <w:vAlign w:val="center"/>
          </w:tcPr>
          <w:p>
            <w:pPr>
              <w:spacing w:line="240" w:lineRule="atLeast"/>
              <w:ind w:firstLine="360"/>
              <w:jc w:val="center"/>
              <w:rPr>
                <w:rFonts w:ascii="仿宋_GB2312" w:hAnsi="仿宋_GB2312" w:cs="仿宋_GB2312"/>
                <w:sz w:val="18"/>
                <w:szCs w:val="18"/>
              </w:rPr>
            </w:pPr>
          </w:p>
        </w:tc>
        <w:tc>
          <w:tcPr>
            <w:tcW w:w="2027" w:type="dxa"/>
            <w:tcBorders>
              <w:top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采样深度（m）</w:t>
            </w:r>
          </w:p>
        </w:tc>
        <w:tc>
          <w:tcPr>
            <w:tcW w:w="1029" w:type="dxa"/>
            <w:tcBorders>
              <w:top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580.2</w:t>
            </w:r>
          </w:p>
        </w:tc>
        <w:tc>
          <w:tcPr>
            <w:tcW w:w="992" w:type="dxa"/>
            <w:tcBorders>
              <w:top w:val="single" w:color="auto" w:sz="4" w:space="0"/>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633.50</w:t>
            </w:r>
          </w:p>
        </w:tc>
        <w:tc>
          <w:tcPr>
            <w:tcW w:w="992" w:type="dxa"/>
            <w:tcBorders>
              <w:top w:val="single" w:color="auto" w:sz="4" w:space="0"/>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676.55</w:t>
            </w:r>
          </w:p>
        </w:tc>
        <w:tc>
          <w:tcPr>
            <w:tcW w:w="851" w:type="dxa"/>
            <w:tcBorders>
              <w:top w:val="single" w:color="auto" w:sz="4" w:space="0"/>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572.70</w:t>
            </w:r>
          </w:p>
        </w:tc>
        <w:tc>
          <w:tcPr>
            <w:tcW w:w="850" w:type="dxa"/>
            <w:tcBorders>
              <w:top w:val="single" w:color="auto" w:sz="4" w:space="0"/>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643.90</w:t>
            </w:r>
          </w:p>
        </w:tc>
        <w:tc>
          <w:tcPr>
            <w:tcW w:w="1257" w:type="dxa"/>
            <w:tcBorders>
              <w:top w:val="single" w:color="auto" w:sz="4" w:space="0"/>
              <w:lef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621.37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4" w:hRule="atLeast"/>
        </w:trPr>
        <w:tc>
          <w:tcPr>
            <w:tcW w:w="722" w:type="dxa"/>
            <w:vMerge w:val="continue"/>
            <w:vAlign w:val="center"/>
          </w:tcPr>
          <w:p>
            <w:pPr>
              <w:spacing w:line="240" w:lineRule="atLeast"/>
              <w:ind w:firstLine="360"/>
              <w:jc w:val="center"/>
              <w:rPr>
                <w:rFonts w:ascii="仿宋_GB2312" w:hAnsi="仿宋_GB2312" w:cs="仿宋_GB2312"/>
                <w:sz w:val="18"/>
                <w:szCs w:val="18"/>
              </w:rPr>
            </w:pPr>
          </w:p>
        </w:tc>
        <w:tc>
          <w:tcPr>
            <w:tcW w:w="2027"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Mad(%)</w:t>
            </w:r>
          </w:p>
        </w:tc>
        <w:tc>
          <w:tcPr>
            <w:tcW w:w="1029" w:type="dxa"/>
            <w:tcBorders>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7.95</w:t>
            </w:r>
          </w:p>
        </w:tc>
        <w:tc>
          <w:tcPr>
            <w:tcW w:w="992"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9.11</w:t>
            </w:r>
          </w:p>
        </w:tc>
        <w:tc>
          <w:tcPr>
            <w:tcW w:w="992"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3.24</w:t>
            </w:r>
          </w:p>
        </w:tc>
        <w:tc>
          <w:tcPr>
            <w:tcW w:w="851"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9.86</w:t>
            </w:r>
          </w:p>
        </w:tc>
        <w:tc>
          <w:tcPr>
            <w:tcW w:w="850"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6.96</w:t>
            </w:r>
          </w:p>
        </w:tc>
        <w:tc>
          <w:tcPr>
            <w:tcW w:w="1257" w:type="dxa"/>
            <w:tcBorders>
              <w:lef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7.42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0" w:hRule="atLeast"/>
        </w:trPr>
        <w:tc>
          <w:tcPr>
            <w:tcW w:w="722" w:type="dxa"/>
            <w:vMerge w:val="continue"/>
            <w:vAlign w:val="center"/>
          </w:tcPr>
          <w:p>
            <w:pPr>
              <w:spacing w:line="240" w:lineRule="atLeast"/>
              <w:ind w:firstLine="360"/>
              <w:jc w:val="center"/>
              <w:rPr>
                <w:rFonts w:ascii="仿宋_GB2312" w:hAnsi="仿宋_GB2312" w:cs="仿宋_GB2312"/>
                <w:sz w:val="18"/>
                <w:szCs w:val="18"/>
              </w:rPr>
            </w:pPr>
          </w:p>
        </w:tc>
        <w:tc>
          <w:tcPr>
            <w:tcW w:w="2027"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Ad  (%)</w:t>
            </w:r>
          </w:p>
        </w:tc>
        <w:tc>
          <w:tcPr>
            <w:tcW w:w="1029"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10.33</w:t>
            </w:r>
          </w:p>
        </w:tc>
        <w:tc>
          <w:tcPr>
            <w:tcW w:w="992" w:type="dxa"/>
            <w:tcBorders>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12.93</w:t>
            </w:r>
          </w:p>
        </w:tc>
        <w:tc>
          <w:tcPr>
            <w:tcW w:w="992"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13.38</w:t>
            </w:r>
          </w:p>
        </w:tc>
        <w:tc>
          <w:tcPr>
            <w:tcW w:w="851"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21.14</w:t>
            </w:r>
          </w:p>
        </w:tc>
        <w:tc>
          <w:tcPr>
            <w:tcW w:w="850"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37.12</w:t>
            </w:r>
          </w:p>
        </w:tc>
        <w:tc>
          <w:tcPr>
            <w:tcW w:w="1257" w:type="dxa"/>
            <w:tcBorders>
              <w:lef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18.98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4" w:hRule="atLeast"/>
        </w:trPr>
        <w:tc>
          <w:tcPr>
            <w:tcW w:w="722" w:type="dxa"/>
            <w:vMerge w:val="continue"/>
            <w:vAlign w:val="center"/>
          </w:tcPr>
          <w:p>
            <w:pPr>
              <w:spacing w:line="240" w:lineRule="atLeast"/>
              <w:ind w:firstLine="360"/>
              <w:jc w:val="center"/>
              <w:rPr>
                <w:rFonts w:ascii="仿宋_GB2312" w:hAnsi="仿宋_GB2312" w:cs="仿宋_GB2312"/>
                <w:sz w:val="18"/>
                <w:szCs w:val="18"/>
              </w:rPr>
            </w:pPr>
          </w:p>
        </w:tc>
        <w:tc>
          <w:tcPr>
            <w:tcW w:w="2027"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V.daf (%)</w:t>
            </w:r>
          </w:p>
        </w:tc>
        <w:tc>
          <w:tcPr>
            <w:tcW w:w="1029"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32.31</w:t>
            </w:r>
          </w:p>
        </w:tc>
        <w:tc>
          <w:tcPr>
            <w:tcW w:w="992" w:type="dxa"/>
            <w:tcBorders>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39.03</w:t>
            </w:r>
          </w:p>
        </w:tc>
        <w:tc>
          <w:tcPr>
            <w:tcW w:w="992"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37.14</w:t>
            </w:r>
          </w:p>
        </w:tc>
        <w:tc>
          <w:tcPr>
            <w:tcW w:w="851"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38.63</w:t>
            </w:r>
          </w:p>
        </w:tc>
        <w:tc>
          <w:tcPr>
            <w:tcW w:w="850"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44.93</w:t>
            </w:r>
          </w:p>
        </w:tc>
        <w:tc>
          <w:tcPr>
            <w:tcW w:w="1257" w:type="dxa"/>
            <w:tcBorders>
              <w:lef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38.40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4" w:hRule="atLeast"/>
        </w:trPr>
        <w:tc>
          <w:tcPr>
            <w:tcW w:w="722" w:type="dxa"/>
            <w:vMerge w:val="continue"/>
            <w:vAlign w:val="center"/>
          </w:tcPr>
          <w:p>
            <w:pPr>
              <w:spacing w:line="240" w:lineRule="atLeast"/>
              <w:ind w:firstLine="360"/>
              <w:jc w:val="center"/>
              <w:rPr>
                <w:rFonts w:ascii="仿宋_GB2312" w:hAnsi="仿宋_GB2312" w:cs="仿宋_GB2312"/>
                <w:sz w:val="18"/>
                <w:szCs w:val="18"/>
              </w:rPr>
            </w:pPr>
          </w:p>
        </w:tc>
        <w:tc>
          <w:tcPr>
            <w:tcW w:w="2027"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Qgr.ad (MJ/kg)</w:t>
            </w:r>
          </w:p>
        </w:tc>
        <w:tc>
          <w:tcPr>
            <w:tcW w:w="1029"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25.53</w:t>
            </w:r>
          </w:p>
        </w:tc>
        <w:tc>
          <w:tcPr>
            <w:tcW w:w="992" w:type="dxa"/>
            <w:tcBorders>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24.73</w:t>
            </w:r>
          </w:p>
        </w:tc>
        <w:tc>
          <w:tcPr>
            <w:tcW w:w="992"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26.15</w:t>
            </w:r>
          </w:p>
        </w:tc>
        <w:tc>
          <w:tcPr>
            <w:tcW w:w="851"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22.55</w:t>
            </w:r>
          </w:p>
        </w:tc>
        <w:tc>
          <w:tcPr>
            <w:tcW w:w="850"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17.07</w:t>
            </w:r>
          </w:p>
        </w:tc>
        <w:tc>
          <w:tcPr>
            <w:tcW w:w="1257" w:type="dxa"/>
            <w:tcBorders>
              <w:lef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23.20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8" w:hRule="atLeast"/>
        </w:trPr>
        <w:tc>
          <w:tcPr>
            <w:tcW w:w="722" w:type="dxa"/>
            <w:vMerge w:val="continue"/>
            <w:vAlign w:val="center"/>
          </w:tcPr>
          <w:p>
            <w:pPr>
              <w:spacing w:line="240" w:lineRule="atLeast"/>
              <w:ind w:firstLine="360"/>
              <w:jc w:val="center"/>
              <w:rPr>
                <w:rFonts w:ascii="仿宋_GB2312" w:hAnsi="仿宋_GB2312" w:cs="仿宋_GB2312"/>
                <w:sz w:val="18"/>
                <w:szCs w:val="18"/>
              </w:rPr>
            </w:pPr>
          </w:p>
        </w:tc>
        <w:tc>
          <w:tcPr>
            <w:tcW w:w="2027"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煤类</w:t>
            </w:r>
          </w:p>
        </w:tc>
        <w:tc>
          <w:tcPr>
            <w:tcW w:w="1029"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CY41</w:t>
            </w:r>
          </w:p>
        </w:tc>
        <w:tc>
          <w:tcPr>
            <w:tcW w:w="992" w:type="dxa"/>
            <w:tcBorders>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CY41</w:t>
            </w:r>
          </w:p>
        </w:tc>
        <w:tc>
          <w:tcPr>
            <w:tcW w:w="992"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CY41</w:t>
            </w:r>
          </w:p>
        </w:tc>
        <w:tc>
          <w:tcPr>
            <w:tcW w:w="851"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BN31</w:t>
            </w:r>
          </w:p>
        </w:tc>
        <w:tc>
          <w:tcPr>
            <w:tcW w:w="850" w:type="dxa"/>
            <w:tcBorders>
              <w:left w:val="single" w:color="auto" w:sz="4" w:space="0"/>
              <w:right w:val="single" w:color="auto" w:sz="4"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CY41</w:t>
            </w:r>
          </w:p>
        </w:tc>
        <w:tc>
          <w:tcPr>
            <w:tcW w:w="1257" w:type="dxa"/>
            <w:tcBorders>
              <w:left w:val="single" w:color="auto" w:sz="4" w:space="0"/>
            </w:tcBorders>
            <w:vAlign w:val="center"/>
          </w:tcPr>
          <w:p>
            <w:pPr>
              <w:spacing w:line="240" w:lineRule="atLeast"/>
              <w:ind w:firstLine="360"/>
              <w:jc w:val="center"/>
              <w:rPr>
                <w:rFonts w:ascii="仿宋_GB2312" w:hAnsi="仿宋_GB2312" w:cs="仿宋_GB2312"/>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0" w:hRule="atLeast"/>
        </w:trPr>
        <w:tc>
          <w:tcPr>
            <w:tcW w:w="722" w:type="dxa"/>
            <w:vMerge w:val="continue"/>
            <w:vAlign w:val="center"/>
          </w:tcPr>
          <w:p>
            <w:pPr>
              <w:spacing w:line="240" w:lineRule="atLeast"/>
              <w:ind w:firstLine="360"/>
              <w:jc w:val="center"/>
              <w:rPr>
                <w:rFonts w:ascii="仿宋_GB2312" w:hAnsi="仿宋_GB2312" w:cs="仿宋_GB2312"/>
                <w:sz w:val="18"/>
                <w:szCs w:val="18"/>
              </w:rPr>
            </w:pPr>
          </w:p>
        </w:tc>
        <w:tc>
          <w:tcPr>
            <w:tcW w:w="2027" w:type="dxa"/>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视密度</w:t>
            </w:r>
          </w:p>
        </w:tc>
        <w:tc>
          <w:tcPr>
            <w:tcW w:w="5971" w:type="dxa"/>
            <w:gridSpan w:val="6"/>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1.40t/ m</w:t>
            </w:r>
            <w:r>
              <w:rPr>
                <w:rFonts w:hint="eastAsia" w:ascii="仿宋_GB2312" w:hAnsi="仿宋_GB2312" w:cs="仿宋_GB2312"/>
                <w:sz w:val="18"/>
                <w:szCs w:val="18"/>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2749" w:type="dxa"/>
            <w:gridSpan w:val="2"/>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煤层自燃倾向性</w:t>
            </w:r>
          </w:p>
        </w:tc>
        <w:tc>
          <w:tcPr>
            <w:tcW w:w="5971" w:type="dxa"/>
            <w:gridSpan w:val="6"/>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属</w:t>
            </w:r>
            <w:r>
              <w:rPr>
                <w:rFonts w:hint="eastAsia" w:ascii="仿宋_GB2312" w:hAnsi="仿宋_GB2312" w:cs="仿宋_GB2312"/>
                <w:sz w:val="18"/>
                <w:szCs w:val="18"/>
              </w:rPr>
              <w:fldChar w:fldCharType="begin"/>
            </w:r>
            <w:r>
              <w:rPr>
                <w:rFonts w:hint="eastAsia" w:ascii="仿宋_GB2312" w:hAnsi="仿宋_GB2312" w:cs="仿宋_GB2312"/>
                <w:sz w:val="18"/>
                <w:szCs w:val="18"/>
              </w:rPr>
              <w:instrText xml:space="preserve"> = 1 \* ROMAN </w:instrText>
            </w:r>
            <w:r>
              <w:rPr>
                <w:rFonts w:hint="eastAsia" w:ascii="仿宋_GB2312" w:hAnsi="仿宋_GB2312" w:cs="仿宋_GB2312"/>
                <w:sz w:val="18"/>
                <w:szCs w:val="18"/>
              </w:rPr>
              <w:fldChar w:fldCharType="separate"/>
            </w:r>
            <w:r>
              <w:rPr>
                <w:rFonts w:hint="eastAsia" w:ascii="仿宋_GB2312" w:hAnsi="仿宋_GB2312" w:cs="仿宋_GB2312"/>
                <w:sz w:val="18"/>
                <w:szCs w:val="18"/>
              </w:rPr>
              <w:t>I</w:t>
            </w:r>
            <w:r>
              <w:rPr>
                <w:rFonts w:hint="eastAsia" w:ascii="仿宋_GB2312" w:hAnsi="仿宋_GB2312" w:cs="仿宋_GB2312"/>
                <w:sz w:val="18"/>
                <w:szCs w:val="18"/>
              </w:rPr>
              <w:fldChar w:fldCharType="end"/>
            </w:r>
            <w:r>
              <w:rPr>
                <w:rFonts w:hint="eastAsia" w:ascii="仿宋_GB2312" w:hAnsi="仿宋_GB2312" w:cs="仿宋_GB2312"/>
                <w:sz w:val="18"/>
                <w:szCs w:val="18"/>
              </w:rPr>
              <w:t>类容易自燃煤层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2749" w:type="dxa"/>
            <w:gridSpan w:val="2"/>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煤尘爆炸性</w:t>
            </w:r>
          </w:p>
        </w:tc>
        <w:tc>
          <w:tcPr>
            <w:tcW w:w="5971" w:type="dxa"/>
            <w:gridSpan w:val="6"/>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具有爆炸危险性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2749" w:type="dxa"/>
            <w:gridSpan w:val="2"/>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瓦斯成分</w:t>
            </w:r>
          </w:p>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CH4、CO2、N2</w:t>
            </w:r>
          </w:p>
        </w:tc>
        <w:tc>
          <w:tcPr>
            <w:tcW w:w="5971" w:type="dxa"/>
            <w:gridSpan w:val="6"/>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Y1孔-CH4为：18.20%；CO2为：1.97%；N2为：77.03%；</w:t>
            </w:r>
          </w:p>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B4孔-CH4为：20.59%；CO2为：10.95%；N2为：68.08%；</w:t>
            </w:r>
          </w:p>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ZK05-95孔-CH4为：16.00%；CO2为：10.27%；N2为：73.76%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6" w:hRule="atLeast"/>
        </w:trPr>
        <w:tc>
          <w:tcPr>
            <w:tcW w:w="2749" w:type="dxa"/>
            <w:gridSpan w:val="2"/>
            <w:tcBorders>
              <w:bottom w:val="single" w:color="auto" w:sz="12"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瓦斯含量</w:t>
            </w:r>
          </w:p>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CH4、CO2</w:t>
            </w:r>
          </w:p>
        </w:tc>
        <w:tc>
          <w:tcPr>
            <w:tcW w:w="5971" w:type="dxa"/>
            <w:gridSpan w:val="6"/>
            <w:tcBorders>
              <w:bottom w:val="single" w:color="auto" w:sz="12" w:space="0"/>
            </w:tcBorders>
            <w:vAlign w:val="center"/>
          </w:tcPr>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Y1孔-CH4：0.21cm3/g.daf；CO2：0.0.08 cm3/g.daf；</w:t>
            </w:r>
          </w:p>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B4孔-CH4：0.33cm3/g.daf；CO2：0.40 cm3/g.daf；</w:t>
            </w:r>
          </w:p>
          <w:p>
            <w:pPr>
              <w:spacing w:line="240" w:lineRule="atLeast"/>
              <w:ind w:firstLine="0" w:firstLineChars="0"/>
              <w:jc w:val="center"/>
              <w:rPr>
                <w:rFonts w:ascii="仿宋_GB2312" w:hAnsi="仿宋_GB2312" w:cs="仿宋_GB2312"/>
                <w:sz w:val="18"/>
                <w:szCs w:val="18"/>
              </w:rPr>
            </w:pPr>
            <w:r>
              <w:rPr>
                <w:rFonts w:hint="eastAsia" w:ascii="仿宋_GB2312" w:hAnsi="仿宋_GB2312" w:cs="仿宋_GB2312"/>
                <w:sz w:val="18"/>
                <w:szCs w:val="18"/>
              </w:rPr>
              <w:t>ZK05-95孔-CH4为：0.57cm3/g.daf；CO2：0.37 cm3/g.daf；</w:t>
            </w:r>
          </w:p>
        </w:tc>
      </w:tr>
    </w:tbl>
    <w:p>
      <w:pPr>
        <w:pStyle w:val="4"/>
        <w:keepNext w:val="0"/>
        <w:keepLines w:val="0"/>
        <w:snapToGrid w:val="0"/>
        <w:spacing w:before="0" w:after="0"/>
        <w:ind w:firstLine="0" w:firstLineChars="0"/>
        <w:rPr>
          <w:rFonts w:ascii="黑体" w:hAnsi="黑体" w:eastAsia="黑体" w:cs="黑体"/>
          <w:b w:val="0"/>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第五节   地质构造</w:t>
      </w:r>
      <w:bookmarkEnd w:id="40"/>
    </w:p>
    <w:p>
      <w:pPr>
        <w:ind w:right="252" w:rightChars="120"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1303工作面处于麦里沟向斜以北，总体为东北高西南低的单斜构造，呈EW向展布，煤层倾向170°～270°之间，倾角4～11°,平均7°左右。</w:t>
      </w:r>
    </w:p>
    <w:p>
      <w:pPr>
        <w:spacing w:line="240" w:lineRule="atLeast"/>
        <w:ind w:right="252" w:rightChars="120" w:firstLine="2530" w:firstLineChars="1200"/>
        <w:rPr>
          <w:rFonts w:ascii="仿宋_GB2312"/>
          <w:b/>
          <w:bCs/>
          <w:color w:val="000000" w:themeColor="text1"/>
          <w14:textFill>
            <w14:solidFill>
              <w14:schemeClr w14:val="tx1"/>
            </w14:solidFill>
          </w14:textFill>
        </w:rPr>
      </w:pPr>
      <w:r>
        <w:rPr>
          <w:rFonts w:hint="eastAsia" w:ascii="仿宋_GB2312"/>
          <w:b/>
          <w:bCs/>
          <w:color w:val="000000" w:themeColor="text1"/>
          <w:szCs w:val="21"/>
          <w14:textFill>
            <w14:solidFill>
              <w14:schemeClr w14:val="tx1"/>
            </w14:solidFill>
          </w14:textFill>
        </w:rPr>
        <w:t>表2  1303</w:t>
      </w:r>
      <w:r>
        <w:rPr>
          <w:rFonts w:hint="eastAsia" w:ascii="仿宋_GB2312"/>
          <w:b/>
          <w:bCs/>
          <w:color w:val="000000" w:themeColor="text1"/>
          <w14:textFill>
            <w14:solidFill>
              <w14:schemeClr w14:val="tx1"/>
            </w14:solidFill>
          </w14:textFill>
        </w:rPr>
        <w:t>工作面断层情况统计表</w:t>
      </w:r>
    </w:p>
    <w:tbl>
      <w:tblPr>
        <w:tblStyle w:val="37"/>
        <w:tblpPr w:leftFromText="180" w:rightFromText="180" w:vertAnchor="text" w:tblpXSpec="center" w:tblpY="1"/>
        <w:tblOverlap w:val="never"/>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025"/>
        <w:gridCol w:w="675"/>
        <w:gridCol w:w="488"/>
        <w:gridCol w:w="525"/>
        <w:gridCol w:w="812"/>
        <w:gridCol w:w="875"/>
        <w:gridCol w:w="776"/>
        <w:gridCol w:w="3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before="120" w:after="120" w:line="240" w:lineRule="atLeast"/>
              <w:rPr>
                <w:rFonts w:hAnsi="宋体" w:cs="宋体"/>
                <w:b/>
                <w:bCs/>
                <w:kern w:val="0"/>
                <w:sz w:val="18"/>
                <w:szCs w:val="18"/>
              </w:rPr>
            </w:pPr>
            <w:bookmarkStart w:id="41" w:name="_Toc496212748"/>
            <w:r>
              <w:rPr>
                <w:rFonts w:hint="eastAsia" w:hAnsi="宋体" w:cs="宋体"/>
                <w:b/>
                <w:bCs/>
                <w:kern w:val="0"/>
                <w:sz w:val="18"/>
                <w:szCs w:val="18"/>
              </w:rPr>
              <w:t>序号</w:t>
            </w:r>
          </w:p>
        </w:tc>
        <w:tc>
          <w:tcPr>
            <w:tcW w:w="1025" w:type="dxa"/>
            <w:vAlign w:val="center"/>
          </w:tcPr>
          <w:p>
            <w:pPr>
              <w:pStyle w:val="98"/>
              <w:spacing w:before="120" w:after="120" w:line="240" w:lineRule="atLeast"/>
              <w:rPr>
                <w:rFonts w:hAnsi="宋体" w:cs="宋体"/>
                <w:b/>
                <w:bCs/>
                <w:kern w:val="0"/>
                <w:sz w:val="18"/>
                <w:szCs w:val="18"/>
              </w:rPr>
            </w:pPr>
            <w:r>
              <w:rPr>
                <w:rFonts w:hint="eastAsia" w:hAnsi="宋体" w:cs="宋体"/>
                <w:b/>
                <w:bCs/>
                <w:kern w:val="0"/>
                <w:sz w:val="18"/>
                <w:szCs w:val="18"/>
              </w:rPr>
              <w:t>断层</w:t>
            </w:r>
          </w:p>
          <w:p>
            <w:pPr>
              <w:pStyle w:val="98"/>
              <w:spacing w:before="120" w:after="120" w:line="240" w:lineRule="atLeast"/>
              <w:rPr>
                <w:rFonts w:hAnsi="宋体" w:cs="宋体"/>
                <w:b/>
                <w:bCs/>
                <w:kern w:val="0"/>
                <w:sz w:val="18"/>
                <w:szCs w:val="18"/>
              </w:rPr>
            </w:pPr>
            <w:r>
              <w:rPr>
                <w:rFonts w:hint="eastAsia" w:hAnsi="宋体" w:cs="宋体"/>
                <w:b/>
                <w:bCs/>
                <w:kern w:val="0"/>
                <w:sz w:val="18"/>
                <w:szCs w:val="18"/>
              </w:rPr>
              <w:t>名称</w:t>
            </w:r>
          </w:p>
        </w:tc>
        <w:tc>
          <w:tcPr>
            <w:tcW w:w="675" w:type="dxa"/>
            <w:vAlign w:val="center"/>
          </w:tcPr>
          <w:p>
            <w:pPr>
              <w:pStyle w:val="98"/>
              <w:spacing w:before="120" w:after="120" w:line="240" w:lineRule="atLeast"/>
              <w:rPr>
                <w:rFonts w:hAnsi="宋体" w:cs="宋体"/>
                <w:b/>
                <w:bCs/>
                <w:kern w:val="0"/>
                <w:sz w:val="18"/>
                <w:szCs w:val="18"/>
              </w:rPr>
            </w:pPr>
            <w:r>
              <w:rPr>
                <w:rFonts w:hint="eastAsia" w:hAnsi="宋体" w:cs="宋体"/>
                <w:b/>
                <w:bCs/>
                <w:kern w:val="0"/>
                <w:sz w:val="18"/>
                <w:szCs w:val="18"/>
              </w:rPr>
              <w:t>断层</w:t>
            </w:r>
          </w:p>
          <w:p>
            <w:pPr>
              <w:pStyle w:val="98"/>
              <w:spacing w:before="120" w:after="120" w:line="240" w:lineRule="atLeast"/>
              <w:rPr>
                <w:rFonts w:hAnsi="宋体" w:cs="宋体"/>
                <w:b/>
                <w:bCs/>
                <w:kern w:val="0"/>
                <w:sz w:val="18"/>
                <w:szCs w:val="18"/>
              </w:rPr>
            </w:pPr>
            <w:r>
              <w:rPr>
                <w:rFonts w:hint="eastAsia" w:hAnsi="宋体" w:cs="宋体"/>
                <w:b/>
                <w:bCs/>
                <w:kern w:val="0"/>
                <w:sz w:val="18"/>
                <w:szCs w:val="18"/>
              </w:rPr>
              <w:t>性质</w:t>
            </w:r>
          </w:p>
        </w:tc>
        <w:tc>
          <w:tcPr>
            <w:tcW w:w="488" w:type="dxa"/>
            <w:vAlign w:val="center"/>
          </w:tcPr>
          <w:p>
            <w:pPr>
              <w:pStyle w:val="98"/>
              <w:spacing w:before="120" w:after="120" w:line="240" w:lineRule="atLeast"/>
              <w:rPr>
                <w:rFonts w:hAnsi="宋体" w:cs="宋体"/>
                <w:b/>
                <w:bCs/>
                <w:kern w:val="0"/>
                <w:sz w:val="18"/>
                <w:szCs w:val="18"/>
              </w:rPr>
            </w:pPr>
            <w:r>
              <w:rPr>
                <w:rFonts w:hint="eastAsia" w:hAnsi="宋体" w:cs="宋体"/>
                <w:b/>
                <w:bCs/>
                <w:kern w:val="0"/>
                <w:sz w:val="18"/>
                <w:szCs w:val="18"/>
              </w:rPr>
              <w:t>走向</w:t>
            </w:r>
          </w:p>
        </w:tc>
        <w:tc>
          <w:tcPr>
            <w:tcW w:w="525" w:type="dxa"/>
            <w:vAlign w:val="center"/>
          </w:tcPr>
          <w:p>
            <w:pPr>
              <w:pStyle w:val="98"/>
              <w:spacing w:before="120" w:after="120" w:line="240" w:lineRule="atLeast"/>
              <w:rPr>
                <w:rFonts w:hAnsi="宋体" w:cs="宋体"/>
                <w:b/>
                <w:bCs/>
                <w:kern w:val="0"/>
                <w:sz w:val="18"/>
                <w:szCs w:val="18"/>
              </w:rPr>
            </w:pPr>
            <w:r>
              <w:rPr>
                <w:rFonts w:hint="eastAsia" w:hAnsi="宋体" w:cs="宋体"/>
                <w:b/>
                <w:bCs/>
                <w:kern w:val="0"/>
                <w:sz w:val="18"/>
                <w:szCs w:val="18"/>
              </w:rPr>
              <w:t>倾向</w:t>
            </w:r>
          </w:p>
        </w:tc>
        <w:tc>
          <w:tcPr>
            <w:tcW w:w="812" w:type="dxa"/>
            <w:vAlign w:val="center"/>
          </w:tcPr>
          <w:p>
            <w:pPr>
              <w:pStyle w:val="98"/>
              <w:spacing w:before="120" w:after="120" w:line="240" w:lineRule="atLeast"/>
              <w:rPr>
                <w:rFonts w:hAnsi="宋体" w:cs="宋体"/>
                <w:b/>
                <w:bCs/>
                <w:kern w:val="0"/>
                <w:sz w:val="18"/>
                <w:szCs w:val="18"/>
              </w:rPr>
            </w:pPr>
            <w:r>
              <w:rPr>
                <w:rFonts w:hint="eastAsia" w:hAnsi="宋体" w:cs="宋体"/>
                <w:b/>
                <w:bCs/>
                <w:kern w:val="0"/>
                <w:sz w:val="18"/>
                <w:szCs w:val="18"/>
              </w:rPr>
              <w:t>解释落差（m）</w:t>
            </w:r>
          </w:p>
        </w:tc>
        <w:tc>
          <w:tcPr>
            <w:tcW w:w="875" w:type="dxa"/>
            <w:vAlign w:val="center"/>
          </w:tcPr>
          <w:p>
            <w:pPr>
              <w:pStyle w:val="98"/>
              <w:spacing w:before="120" w:after="120" w:line="240" w:lineRule="atLeast"/>
              <w:rPr>
                <w:rFonts w:hAnsi="宋体" w:cs="宋体"/>
                <w:b/>
                <w:bCs/>
                <w:kern w:val="0"/>
                <w:sz w:val="18"/>
                <w:szCs w:val="18"/>
              </w:rPr>
            </w:pPr>
            <w:r>
              <w:rPr>
                <w:rFonts w:hint="eastAsia" w:hAnsi="宋体" w:cs="宋体"/>
                <w:b/>
                <w:bCs/>
                <w:kern w:val="0"/>
                <w:sz w:val="18"/>
                <w:szCs w:val="18"/>
              </w:rPr>
              <w:t>延展长度（m）</w:t>
            </w:r>
          </w:p>
        </w:tc>
        <w:tc>
          <w:tcPr>
            <w:tcW w:w="776" w:type="dxa"/>
            <w:vAlign w:val="center"/>
          </w:tcPr>
          <w:p>
            <w:pPr>
              <w:pStyle w:val="98"/>
              <w:spacing w:before="120" w:after="120" w:line="240" w:lineRule="atLeast"/>
              <w:rPr>
                <w:rFonts w:hAnsi="宋体" w:cs="宋体"/>
                <w:b/>
                <w:bCs/>
                <w:kern w:val="0"/>
                <w:sz w:val="18"/>
                <w:szCs w:val="18"/>
              </w:rPr>
            </w:pPr>
            <w:r>
              <w:rPr>
                <w:rFonts w:hint="eastAsia" w:hAnsi="宋体" w:cs="宋体"/>
                <w:b/>
                <w:bCs/>
                <w:kern w:val="0"/>
                <w:sz w:val="18"/>
                <w:szCs w:val="18"/>
              </w:rPr>
              <w:t>控制</w:t>
            </w:r>
          </w:p>
          <w:p>
            <w:pPr>
              <w:pStyle w:val="98"/>
              <w:spacing w:before="120" w:after="120" w:line="240" w:lineRule="atLeast"/>
              <w:rPr>
                <w:rFonts w:hAnsi="宋体" w:cs="宋体"/>
                <w:b/>
                <w:bCs/>
                <w:kern w:val="0"/>
                <w:sz w:val="18"/>
                <w:szCs w:val="18"/>
              </w:rPr>
            </w:pPr>
            <w:r>
              <w:rPr>
                <w:rFonts w:hint="eastAsia" w:hAnsi="宋体" w:cs="宋体"/>
                <w:b/>
                <w:bCs/>
                <w:kern w:val="0"/>
                <w:sz w:val="18"/>
                <w:szCs w:val="18"/>
              </w:rPr>
              <w:t>程度</w:t>
            </w:r>
          </w:p>
        </w:tc>
        <w:tc>
          <w:tcPr>
            <w:tcW w:w="3078" w:type="dxa"/>
            <w:vAlign w:val="center"/>
          </w:tcPr>
          <w:p>
            <w:pPr>
              <w:spacing w:line="240" w:lineRule="atLeast"/>
              <w:ind w:firstLine="0" w:firstLineChars="0"/>
              <w:jc w:val="center"/>
              <w:rPr>
                <w:rFonts w:ascii="仿宋_GB2312" w:hAnsi="宋体" w:cs="宋体"/>
                <w:b/>
                <w:bCs/>
                <w:sz w:val="18"/>
                <w:szCs w:val="18"/>
              </w:rPr>
            </w:pPr>
            <w:r>
              <w:rPr>
                <w:rFonts w:hint="eastAsia" w:ascii="仿宋_GB2312"/>
                <w:b/>
                <w:bCs/>
                <w:sz w:val="18"/>
                <w:szCs w:val="18"/>
              </w:rPr>
              <w:t>断层揭露位置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F1303-j2</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0～3</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50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机巷j6点前7.7m处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2</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F1303-j3</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NW</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0～1</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50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机巷j7点前19.7m处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3</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F1303-j4</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NW</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SW</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0～2</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40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机巷j13点前68.1m处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4</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F1303-f6</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NW</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0～2</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35</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风巷f13点前35.0m处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5</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F1303-f5</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0～1</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35</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风巷f5点前45.4m处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6</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F1303-f4</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0～5</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175</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风巷f5点前22.6m处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7</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F1303-f3</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NW</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0～2</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80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风巷xf14点前2.0m处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8</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NF11</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NW</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SW</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0～3</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120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工作面内靠近风巷、回采线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9</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CF1</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NW</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SW</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0～3</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70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工作面内靠近机巷、回采线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10</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CF2</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EW</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0～3</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60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Cs/>
                <w:sz w:val="18"/>
                <w:szCs w:val="18"/>
              </w:rPr>
            </w:pPr>
            <w:r>
              <w:rPr>
                <w:rFonts w:hint="eastAsia" w:ascii="仿宋_GB2312" w:hAnsi="仿宋_GB2312" w:cs="仿宋_GB2312"/>
                <w:sz w:val="18"/>
                <w:szCs w:val="18"/>
              </w:rPr>
              <w:t>工作面内靠近机巷、回采线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11</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CF3</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0～3</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175</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spacing w:line="240" w:lineRule="atLeast"/>
              <w:ind w:firstLine="0" w:firstLineChars="0"/>
              <w:jc w:val="center"/>
              <w:rPr>
                <w:rFonts w:ascii="仿宋_GB2312" w:hAnsi="仿宋_GB2312" w:cs="仿宋_GB2312"/>
                <w:b/>
                <w:bCs/>
                <w:sz w:val="18"/>
                <w:szCs w:val="18"/>
              </w:rPr>
            </w:pPr>
            <w:r>
              <w:rPr>
                <w:rFonts w:hint="eastAsia" w:ascii="仿宋_GB2312"/>
                <w:sz w:val="18"/>
                <w:szCs w:val="18"/>
              </w:rPr>
              <w:t>工作面中部，靠近G6钻孔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12</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CF4</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0～2</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165</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pStyle w:val="98"/>
              <w:spacing w:line="240" w:lineRule="atLeast"/>
              <w:rPr>
                <w:rFonts w:hAnsi="宋体" w:cs="宋体"/>
                <w:bCs/>
                <w:kern w:val="0"/>
                <w:sz w:val="18"/>
                <w:szCs w:val="18"/>
              </w:rPr>
            </w:pPr>
            <w:r>
              <w:rPr>
                <w:rFonts w:hint="eastAsia"/>
                <w:sz w:val="18"/>
                <w:szCs w:val="18"/>
              </w:rPr>
              <w:t>工作面中部，靠近2煤边界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13</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CF5</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NW</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0～1</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60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pStyle w:val="98"/>
              <w:spacing w:line="240" w:lineRule="atLeast"/>
              <w:rPr>
                <w:rFonts w:hAnsi="宋体" w:cs="宋体"/>
                <w:bCs/>
                <w:kern w:val="0"/>
                <w:sz w:val="18"/>
                <w:szCs w:val="18"/>
              </w:rPr>
            </w:pPr>
            <w:r>
              <w:rPr>
                <w:rFonts w:hint="eastAsia"/>
                <w:sz w:val="18"/>
                <w:szCs w:val="18"/>
              </w:rPr>
              <w:t>工作面中部，靠近2煤边界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14</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CF6</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0～2</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130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可靠</w:t>
            </w:r>
          </w:p>
        </w:tc>
        <w:tc>
          <w:tcPr>
            <w:tcW w:w="3078" w:type="dxa"/>
            <w:vAlign w:val="center"/>
          </w:tcPr>
          <w:p>
            <w:pPr>
              <w:pStyle w:val="98"/>
              <w:spacing w:line="240" w:lineRule="atLeast"/>
              <w:rPr>
                <w:rFonts w:hAnsi="宋体" w:cs="宋体"/>
                <w:bCs/>
                <w:kern w:val="0"/>
                <w:sz w:val="18"/>
                <w:szCs w:val="18"/>
              </w:rPr>
            </w:pPr>
            <w:r>
              <w:rPr>
                <w:rFonts w:hint="eastAsia"/>
                <w:sz w:val="18"/>
                <w:szCs w:val="18"/>
              </w:rPr>
              <w:t>工作面中部，靠近2煤边界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15</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CF7</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SE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0～2</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80</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较可靠</w:t>
            </w:r>
          </w:p>
        </w:tc>
        <w:tc>
          <w:tcPr>
            <w:tcW w:w="3078" w:type="dxa"/>
            <w:vAlign w:val="center"/>
          </w:tcPr>
          <w:p>
            <w:pPr>
              <w:pStyle w:val="98"/>
              <w:spacing w:line="240" w:lineRule="atLeast"/>
              <w:rPr>
                <w:rFonts w:hAnsi="宋体" w:cs="宋体"/>
                <w:bCs/>
                <w:kern w:val="0"/>
                <w:sz w:val="18"/>
                <w:szCs w:val="18"/>
              </w:rPr>
            </w:pPr>
            <w:r>
              <w:rPr>
                <w:rFonts w:hint="eastAsia"/>
                <w:sz w:val="18"/>
                <w:szCs w:val="18"/>
              </w:rPr>
              <w:t>工作面中部，靠近切眼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1"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16</w:t>
            </w:r>
          </w:p>
        </w:tc>
        <w:tc>
          <w:tcPr>
            <w:tcW w:w="10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CF8</w:t>
            </w:r>
          </w:p>
        </w:tc>
        <w:tc>
          <w:tcPr>
            <w:tcW w:w="6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正</w:t>
            </w:r>
          </w:p>
        </w:tc>
        <w:tc>
          <w:tcPr>
            <w:tcW w:w="488"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NW</w:t>
            </w:r>
          </w:p>
        </w:tc>
        <w:tc>
          <w:tcPr>
            <w:tcW w:w="52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NE</w:t>
            </w:r>
          </w:p>
        </w:tc>
        <w:tc>
          <w:tcPr>
            <w:tcW w:w="812"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0～2</w:t>
            </w:r>
          </w:p>
        </w:tc>
        <w:tc>
          <w:tcPr>
            <w:tcW w:w="875"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45</w:t>
            </w:r>
          </w:p>
        </w:tc>
        <w:tc>
          <w:tcPr>
            <w:tcW w:w="776" w:type="dxa"/>
            <w:vAlign w:val="center"/>
          </w:tcPr>
          <w:p>
            <w:pPr>
              <w:pStyle w:val="98"/>
              <w:spacing w:line="240" w:lineRule="atLeast"/>
              <w:rPr>
                <w:rFonts w:hAnsi="宋体" w:cs="宋体"/>
                <w:bCs/>
                <w:kern w:val="0"/>
                <w:sz w:val="18"/>
                <w:szCs w:val="18"/>
              </w:rPr>
            </w:pPr>
            <w:r>
              <w:rPr>
                <w:rFonts w:hint="eastAsia" w:hAnsi="宋体" w:cs="宋体"/>
                <w:bCs/>
                <w:kern w:val="0"/>
                <w:sz w:val="18"/>
                <w:szCs w:val="18"/>
              </w:rPr>
              <w:t>较可靠</w:t>
            </w:r>
          </w:p>
        </w:tc>
        <w:tc>
          <w:tcPr>
            <w:tcW w:w="3078" w:type="dxa"/>
            <w:vAlign w:val="center"/>
          </w:tcPr>
          <w:p>
            <w:pPr>
              <w:pStyle w:val="98"/>
              <w:spacing w:line="240" w:lineRule="atLeast"/>
              <w:rPr>
                <w:rFonts w:hAnsi="宋体" w:cs="宋体"/>
                <w:bCs/>
                <w:kern w:val="0"/>
                <w:sz w:val="18"/>
                <w:szCs w:val="18"/>
              </w:rPr>
            </w:pPr>
            <w:r>
              <w:rPr>
                <w:rFonts w:hint="eastAsia"/>
                <w:sz w:val="18"/>
                <w:szCs w:val="18"/>
              </w:rPr>
              <w:t>工作面内靠近风巷，靠近切眼</w:t>
            </w:r>
          </w:p>
        </w:tc>
      </w:tr>
    </w:tbl>
    <w:p>
      <w:pPr>
        <w:pStyle w:val="4"/>
        <w:keepNext w:val="0"/>
        <w:keepLines w:val="0"/>
        <w:snapToGrid w:val="0"/>
        <w:spacing w:before="0" w:after="0"/>
        <w:ind w:firstLine="0" w:firstLineChars="0"/>
        <w:jc w:val="both"/>
        <w:rPr>
          <w:rFonts w:ascii="黑体" w:hAnsi="黑体" w:eastAsia="黑体" w:cs="黑体"/>
          <w:color w:val="FF0000"/>
          <w:sz w:val="28"/>
          <w:szCs w:val="28"/>
        </w:rPr>
      </w:pPr>
    </w:p>
    <w:p>
      <w:pPr>
        <w:pStyle w:val="4"/>
        <w:keepNext w:val="0"/>
        <w:keepLines w:val="0"/>
        <w:snapToGrid w:val="0"/>
        <w:spacing w:before="0" w:after="0"/>
        <w:ind w:firstLine="0" w:firstLineChars="0"/>
        <w:rPr>
          <w:rFonts w:ascii="黑体" w:hAnsi="黑体" w:eastAsia="黑体" w:cs="黑体"/>
          <w:color w:val="FF0000"/>
          <w:sz w:val="28"/>
          <w:szCs w:val="28"/>
        </w:rPr>
      </w:pPr>
    </w:p>
    <w:p>
      <w:pPr>
        <w:rPr>
          <w:rFonts w:ascii="黑体" w:hAnsi="黑体" w:eastAsia="黑体" w:cs="黑体"/>
          <w:color w:val="FF0000"/>
          <w:sz w:val="28"/>
          <w:szCs w:val="28"/>
        </w:rPr>
      </w:pPr>
    </w:p>
    <w:p>
      <w:pPr>
        <w:pStyle w:val="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第六节  水文地质</w:t>
      </w:r>
      <w:bookmarkEnd w:id="41"/>
      <w:bookmarkStart w:id="42" w:name="_Toc31701"/>
      <w:bookmarkStart w:id="43" w:name="_Toc51050670"/>
      <w:bookmarkStart w:id="44" w:name="_Toc52260087"/>
      <w:bookmarkStart w:id="45" w:name="_Toc536000020"/>
      <w:bookmarkStart w:id="46" w:name="_Toc189735597"/>
      <w:bookmarkStart w:id="47" w:name="_Toc21643"/>
      <w:bookmarkStart w:id="48" w:name="_Toc277605140"/>
      <w:bookmarkStart w:id="49" w:name="_Toc289271185"/>
      <w:bookmarkStart w:id="50" w:name="_Toc277355918"/>
      <w:bookmarkStart w:id="51" w:name="_Toc535942582"/>
      <w:bookmarkStart w:id="52" w:name="_Toc248374280"/>
      <w:bookmarkStart w:id="53" w:name="_Toc248033089"/>
      <w:bookmarkStart w:id="54" w:name="_Toc189736279"/>
      <w:bookmarkStart w:id="55" w:name="_Toc277346254"/>
      <w:bookmarkStart w:id="56" w:name="_Toc536277596"/>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bookmarkStart w:id="57" w:name="_Toc53470951"/>
      <w:bookmarkStart w:id="58" w:name="_Toc535942580"/>
      <w:bookmarkStart w:id="59" w:name="_Toc536000018"/>
      <w:r>
        <w:rPr>
          <w:rFonts w:hint="eastAsia" w:ascii="仿宋" w:hAnsi="仿宋" w:eastAsia="仿宋" w:cs="仿宋"/>
          <w:b/>
          <w:bCs/>
          <w:color w:val="000000" w:themeColor="text1"/>
          <w:sz w:val="24"/>
          <w14:textFill>
            <w14:solidFill>
              <w14:schemeClr w14:val="tx1"/>
            </w14:solidFill>
          </w14:textFill>
        </w:rPr>
        <w:t>一、煤层开采直接和间接充水含水层</w:t>
      </w:r>
      <w:bookmarkEnd w:id="57"/>
      <w:bookmarkEnd w:id="58"/>
      <w:bookmarkEnd w:id="59"/>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bookmarkStart w:id="60" w:name="_Toc51050671"/>
      <w:bookmarkStart w:id="61" w:name="_Toc8735"/>
      <w:bookmarkStart w:id="62" w:name="_Toc53470952"/>
      <w:bookmarkStart w:id="63" w:name="_Toc52260088"/>
      <w:bookmarkStart w:id="64" w:name="_Toc20054"/>
      <w:r>
        <w:rPr>
          <w:rFonts w:hint="eastAsia" w:ascii="仿宋" w:hAnsi="仿宋" w:eastAsia="仿宋" w:cs="仿宋"/>
          <w:b/>
          <w:bCs/>
          <w:color w:val="000000" w:themeColor="text1"/>
          <w:sz w:val="24"/>
          <w14:textFill>
            <w14:solidFill>
              <w14:schemeClr w14:val="tx1"/>
            </w14:solidFill>
          </w14:textFill>
        </w:rPr>
        <w:t>（一）煤层开采直接充水含水层</w:t>
      </w:r>
      <w:bookmarkEnd w:id="60"/>
      <w:bookmarkEnd w:id="61"/>
      <w:bookmarkEnd w:id="62"/>
      <w:bookmarkEnd w:id="63"/>
      <w:bookmarkEnd w:id="64"/>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bookmarkStart w:id="65" w:name="_Toc53470953"/>
      <w:bookmarkStart w:id="66" w:name="_Toc10419"/>
      <w:r>
        <w:rPr>
          <w:rFonts w:hint="eastAsia" w:ascii="仿宋" w:hAnsi="仿宋" w:eastAsia="仿宋"/>
          <w:color w:val="000000" w:themeColor="text1"/>
          <w:sz w:val="24"/>
          <w14:textFill>
            <w14:solidFill>
              <w14:schemeClr w14:val="tx1"/>
            </w14:solidFill>
          </w14:textFill>
        </w:rPr>
        <w:t>基于综采放顶煤开采条件下，导水裂隙带延伸至延安组、直罗组砂岩裂隙含水层，该地层砂岩裂隙水可通过导水裂隙进入工作面，成为直接充水水源。</w:t>
      </w:r>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w:t>
      </w:r>
      <w:bookmarkEnd w:id="65"/>
      <w:bookmarkEnd w:id="66"/>
      <w:r>
        <w:rPr>
          <w:rFonts w:hint="eastAsia" w:ascii="仿宋" w:hAnsi="仿宋" w:eastAsia="仿宋"/>
          <w:b/>
          <w:color w:val="000000" w:themeColor="text1"/>
          <w:sz w:val="24"/>
          <w14:textFill>
            <w14:solidFill>
              <w14:schemeClr w14:val="tx1"/>
            </w14:solidFill>
          </w14:textFill>
        </w:rPr>
        <w:t>延安组煤层及其顶板砂岩裂隙含水层</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延安组为含煤地层。岩性为灰～深灰色泥岩、砂质泥岩、粉细砂岩与灰白色中粗粒砂岩互层，中夹炭质泥岩及煤层。3煤上延安组在1303工作面范围内平均40.52m。</w:t>
      </w:r>
      <w:r>
        <w:rPr>
          <w:rFonts w:hint="eastAsia" w:ascii="仿宋" w:hAnsi="仿宋" w:eastAsia="仿宋"/>
          <w:color w:val="000000" w:themeColor="text1"/>
          <w:sz w:val="24"/>
          <w14:textFill>
            <w14:solidFill>
              <w14:schemeClr w14:val="tx1"/>
            </w14:solidFill>
          </w14:textFill>
        </w:rPr>
        <w:t>与下伏富县组呈平行不整合接触，或超覆于三叠系之上</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依据B5、检3、检4以及ZK18-97钻孔抽水试验资料，本组单位涌水量0.00034～0.00376L/s.m，渗透系数0.000576～0.02196m/d，属富水性弱含水层。水质类型HCO3-Na、HCO3-Ca，水温13～16℃</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bookmarkStart w:id="67" w:name="_Toc2471"/>
      <w:bookmarkStart w:id="68" w:name="_Toc53470954"/>
      <w:r>
        <w:rPr>
          <w:rFonts w:hint="eastAsia" w:ascii="仿宋" w:hAnsi="仿宋" w:eastAsia="仿宋" w:cs="仿宋"/>
          <w:b/>
          <w:bCs/>
          <w:color w:val="000000" w:themeColor="text1"/>
          <w:sz w:val="24"/>
          <w14:textFill>
            <w14:solidFill>
              <w14:schemeClr w14:val="tx1"/>
            </w14:solidFill>
          </w14:textFill>
        </w:rPr>
        <w:t>2、</w:t>
      </w:r>
      <w:bookmarkEnd w:id="67"/>
      <w:bookmarkEnd w:id="68"/>
      <w:r>
        <w:rPr>
          <w:rFonts w:hint="eastAsia" w:ascii="仿宋" w:hAnsi="仿宋" w:eastAsia="仿宋"/>
          <w:b/>
          <w:color w:val="000000" w:themeColor="text1"/>
          <w:sz w:val="24"/>
          <w14:textFill>
            <w14:solidFill>
              <w14:schemeClr w14:val="tx1"/>
            </w14:solidFill>
          </w14:textFill>
        </w:rPr>
        <w:t>直罗组砂岩裂隙含水层</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岩性为砂岩，常见杂色泥岩夹层，偶见泥质砂岩薄层，顶部较细，颜色较深，受后期剥蚀保存不全，本组厚度平均为42.7m。与下伏延安组呈平行不整合接触或超覆三叠系之上</w:t>
      </w:r>
      <w:r>
        <w:rPr>
          <w:rFonts w:hint="eastAsia" w:ascii="仿宋" w:hAnsi="仿宋" w:eastAsia="仿宋" w:cs="仿宋"/>
          <w:color w:val="000000" w:themeColor="text1"/>
          <w:sz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依据B6、副立井、检2以及ZK16-87对钻孔抽水试验资料，本组单位涌水量0.00018～0.0095L/s·m，渗透系数0.000481～0.06258m/d，水质类型HCO</w:t>
      </w:r>
      <w:r>
        <w:rPr>
          <w:rFonts w:hint="eastAsia" w:ascii="仿宋" w:hAnsi="仿宋" w:eastAsia="仿宋"/>
          <w:color w:val="000000" w:themeColor="text1"/>
          <w:sz w:val="24"/>
          <w:vertAlign w:val="superscript"/>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-Na或HCO</w:t>
      </w:r>
      <w:r>
        <w:rPr>
          <w:rFonts w:hint="eastAsia" w:ascii="仿宋" w:hAnsi="仿宋" w:eastAsia="仿宋"/>
          <w:color w:val="000000" w:themeColor="text1"/>
          <w:sz w:val="24"/>
          <w:vertAlign w:val="superscript"/>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-Na·Ca·Mg，属富水性弱的含水层</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bookmarkStart w:id="69" w:name="_Toc212"/>
      <w:bookmarkStart w:id="70" w:name="_Toc53470955"/>
      <w:bookmarkStart w:id="71" w:name="_Toc4979"/>
      <w:bookmarkStart w:id="72" w:name="_Toc11723"/>
      <w:bookmarkStart w:id="73" w:name="_Toc12319"/>
      <w:bookmarkStart w:id="74" w:name="_Toc10034"/>
      <w:bookmarkStart w:id="75" w:name="_Toc12570"/>
      <w:bookmarkStart w:id="76" w:name="_Toc8792"/>
      <w:bookmarkStart w:id="77" w:name="_Toc28298"/>
      <w:bookmarkStart w:id="78" w:name="_Toc20604"/>
      <w:bookmarkStart w:id="79" w:name="_Toc5373"/>
      <w:bookmarkStart w:id="80" w:name="_Toc31140"/>
      <w:bookmarkStart w:id="81" w:name="_Toc13753"/>
      <w:bookmarkStart w:id="82" w:name="_Toc30907"/>
      <w:bookmarkStart w:id="83" w:name="_Toc8592"/>
      <w:bookmarkStart w:id="84" w:name="_Toc7402"/>
      <w:bookmarkStart w:id="85" w:name="_Toc3286"/>
      <w:bookmarkStart w:id="86" w:name="_Toc9515"/>
      <w:bookmarkStart w:id="87" w:name="_Toc17646"/>
      <w:r>
        <w:rPr>
          <w:rFonts w:hint="eastAsia" w:ascii="仿宋" w:hAnsi="仿宋" w:eastAsia="仿宋" w:cs="仿宋"/>
          <w:b/>
          <w:bCs/>
          <w:color w:val="000000" w:themeColor="text1"/>
          <w:sz w:val="24"/>
          <w14:textFill>
            <w14:solidFill>
              <w14:schemeClr w14:val="tx1"/>
            </w14:solidFill>
          </w14:textFill>
        </w:rPr>
        <w:t>3、安定组泥岩隔水层</w:t>
      </w:r>
      <w:bookmarkEnd w:id="69"/>
      <w:bookmarkEnd w:id="70"/>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棕红色、紫红色泥岩，夹薄层紫灰色、灰绿色细～中粒砂岩，底部为厚层含砂质</w:t>
      </w:r>
      <w:r>
        <w:rPr>
          <w:rFonts w:ascii="仿宋" w:hAnsi="仿宋" w:eastAsia="仿宋"/>
          <w:color w:val="000000" w:themeColor="text1"/>
          <w:sz w:val="24"/>
          <w14:textFill>
            <w14:solidFill>
              <w14:schemeClr w14:val="tx1"/>
            </w14:solidFill>
          </w14:textFill>
        </w:rPr>
        <w:t>泥</w:t>
      </w:r>
      <w:r>
        <w:rPr>
          <w:rFonts w:hint="eastAsia" w:ascii="仿宋" w:hAnsi="仿宋" w:eastAsia="仿宋"/>
          <w:color w:val="000000" w:themeColor="text1"/>
          <w:sz w:val="24"/>
          <w14:textFill>
            <w14:solidFill>
              <w14:schemeClr w14:val="tx1"/>
            </w14:solidFill>
          </w14:textFill>
        </w:rPr>
        <w:t>岩，厚度平均为178.2m。</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依据B6、副立井、检2以及ZK16-87钻孔抽水试验资料，本组单位涌水量0.00018～0.0095L/s·m，渗透系数0.000481～0.06258m/d，说明其底部砂岩含水甚微，故视为煤系与上覆白垩系之间的稳定隔水层。</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依据已掘巷道情况分析：直接充水水源主要以工作面滴、淋水形式表现，掘进期间最大涌水量约4.0m</w:t>
      </w:r>
      <w:r>
        <w:rPr>
          <w:rFonts w:hint="eastAsia" w:ascii="仿宋" w:hAnsi="仿宋" w:eastAsia="仿宋"/>
          <w:color w:val="000000" w:themeColor="text1"/>
          <w:sz w:val="24"/>
          <w:vertAlign w:val="superscript"/>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/h左右</w:t>
      </w:r>
      <w:r>
        <w:rPr>
          <w:rFonts w:hint="eastAsia" w:ascii="仿宋" w:hAnsi="仿宋" w:eastAsia="仿宋" w:cs="仿宋"/>
          <w:color w:val="000000" w:themeColor="text1"/>
          <w:sz w:val="24"/>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ascii="仿宋" w:hAnsi="仿宋" w:eastAsia="仿宋"/>
          <w:b/>
          <w:sz w:val="24"/>
        </w:rPr>
      </w:pPr>
      <w:r>
        <w:rPr>
          <w:rFonts w:hint="eastAsia" w:ascii="仿宋" w:hAnsi="仿宋" w:eastAsia="仿宋"/>
          <w:b/>
          <w:sz w:val="24"/>
        </w:rPr>
        <w:t>（二）煤层开采间接充水含水层</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sz w:val="24"/>
        </w:rPr>
      </w:pPr>
      <w:r>
        <w:rPr>
          <w:rFonts w:hint="eastAsia" w:ascii="仿宋" w:hAnsi="仿宋" w:eastAsia="仿宋"/>
          <w:sz w:val="24"/>
        </w:rPr>
        <w:t>洛河组岩性为紫红色、棕红色巨厚层状细～粗粒长石砂岩。与下伏宜君组为连续沉积。全区分布，沿较大沟谷两侧和底部出露。钻孔揭露厚度变化较大，平均厚度为35.3m。</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sz w:val="24"/>
        </w:rPr>
      </w:pPr>
      <w:r>
        <w:rPr>
          <w:rFonts w:hint="eastAsia" w:ascii="仿宋" w:hAnsi="仿宋" w:eastAsia="仿宋"/>
          <w:sz w:val="24"/>
        </w:rPr>
        <w:t>宜君组岩性为杂色巨厚层状粗砾岩，夹粗砂岩透镜体。砾石成分主要为花岗岩、变质岩块，次为石英岩块。全区分布，是区内主要含水层。平均厚200.8m，与下伏安定组平行不整合接触。</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sz w:val="24"/>
        </w:rPr>
      </w:pPr>
      <w:r>
        <w:rPr>
          <w:rFonts w:hint="eastAsia" w:ascii="仿宋" w:hAnsi="仿宋" w:eastAsia="仿宋"/>
          <w:sz w:val="24"/>
        </w:rPr>
        <w:t>据一采区内</w:t>
      </w:r>
      <w:r>
        <w:rPr>
          <w:rFonts w:hint="eastAsia" w:ascii="仿宋" w:hAnsi="仿宋" w:eastAsia="仿宋" w:cs="仿宋_GB2312"/>
          <w:spacing w:val="10"/>
          <w:sz w:val="24"/>
        </w:rPr>
        <w:t>检3、检4、副立井检查孔、回风立井检查孔、B4、B6、B8、G2</w:t>
      </w:r>
      <w:r>
        <w:rPr>
          <w:rFonts w:hint="eastAsia" w:ascii="仿宋" w:hAnsi="仿宋" w:eastAsia="仿宋"/>
          <w:sz w:val="24"/>
        </w:rPr>
        <w:t>等钻孔对该层抽水试验，统一换算后单位涌水量约</w:t>
      </w:r>
      <w:r>
        <w:rPr>
          <w:rFonts w:hint="eastAsia" w:ascii="仿宋" w:hAnsi="仿宋" w:eastAsia="仿宋" w:cs="仿宋_GB2312"/>
          <w:sz w:val="24"/>
        </w:rPr>
        <w:t>0.00034-0.00376L/（s·m），渗透系数约0.000576-0.021964m/d</w:t>
      </w:r>
      <w:r>
        <w:rPr>
          <w:rFonts w:hint="eastAsia" w:ascii="仿宋" w:hAnsi="仿宋" w:eastAsia="仿宋"/>
          <w:sz w:val="24"/>
        </w:rPr>
        <w:t>，属富水性弱。水质类型分别为HCO</w:t>
      </w:r>
      <w:r>
        <w:rPr>
          <w:rFonts w:hint="eastAsia" w:ascii="仿宋" w:hAnsi="仿宋" w:eastAsia="仿宋"/>
          <w:sz w:val="24"/>
          <w:vertAlign w:val="superscript"/>
        </w:rPr>
        <w:t>3</w:t>
      </w:r>
      <w:r>
        <w:rPr>
          <w:rFonts w:hint="eastAsia" w:ascii="仿宋" w:hAnsi="仿宋" w:eastAsia="仿宋"/>
          <w:sz w:val="24"/>
        </w:rPr>
        <w:t>- Mg·Ca·Na型，矿化度0.4</w:t>
      </w:r>
      <w:r>
        <w:rPr>
          <w:rFonts w:ascii="仿宋" w:hAnsi="仿宋" w:eastAsia="仿宋"/>
          <w:sz w:val="24"/>
        </w:rPr>
        <w:t>5</w:t>
      </w:r>
      <w:r>
        <w:rPr>
          <w:rFonts w:hint="eastAsia" w:ascii="仿宋" w:hAnsi="仿宋" w:eastAsia="仿宋"/>
          <w:sz w:val="24"/>
        </w:rPr>
        <w:t>1～0.5</w:t>
      </w:r>
      <w:r>
        <w:rPr>
          <w:rFonts w:ascii="仿宋" w:hAnsi="仿宋" w:eastAsia="仿宋"/>
          <w:sz w:val="24"/>
        </w:rPr>
        <w:t>3</w:t>
      </w:r>
      <w:r>
        <w:rPr>
          <w:rFonts w:hint="eastAsia" w:ascii="仿宋" w:hAnsi="仿宋" w:eastAsia="仿宋"/>
          <w:sz w:val="24"/>
        </w:rPr>
        <w:t>0g/l，水温14～16℃。</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shd w:val="clear" w:color="FFFFFF" w:fill="D9D9D9"/>
          <w14:textFill>
            <w14:solidFill>
              <w14:schemeClr w14:val="tx1"/>
            </w14:solidFill>
          </w14:textFill>
        </w:rPr>
      </w:pPr>
      <w:r>
        <w:rPr>
          <w:rFonts w:hint="eastAsia" w:ascii="仿宋" w:hAnsi="仿宋" w:eastAsia="仿宋"/>
          <w:color w:val="000000"/>
          <w:sz w:val="24"/>
        </w:rPr>
        <w:t>根据本矿1304工作面资料，工作面出水主要表现形式为工作面顶板离层出水，一般水质较</w:t>
      </w:r>
      <w:r>
        <w:rPr>
          <w:rFonts w:hint="eastAsia" w:ascii="仿宋" w:hAnsi="仿宋" w:eastAsia="仿宋"/>
          <w:color w:val="000000"/>
          <w:sz w:val="24"/>
          <w:lang w:val="en-US" w:eastAsia="zh-CN"/>
        </w:rPr>
        <w:t>浑浊</w:t>
      </w:r>
      <w:r>
        <w:rPr>
          <w:rFonts w:hint="eastAsia" w:ascii="仿宋" w:hAnsi="仿宋" w:eastAsia="仿宋"/>
          <w:color w:val="000000"/>
          <w:sz w:val="24"/>
        </w:rPr>
        <w:t>，含泥量高，瞬时涌水量较大，但衰减快，是目前导致工作</w:t>
      </w:r>
      <w:r>
        <w:rPr>
          <w:rFonts w:hint="eastAsia" w:ascii="仿宋" w:hAnsi="仿宋" w:eastAsia="仿宋"/>
          <w:color w:val="000000" w:themeColor="text1"/>
          <w:sz w:val="24"/>
          <w14:textFill>
            <w14:solidFill>
              <w14:schemeClr w14:val="tx1"/>
            </w14:solidFill>
          </w14:textFill>
        </w:rPr>
        <w:t>面涌水量增大的主要因素。</w:t>
      </w:r>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二、充水因素分析</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bookmarkStart w:id="88" w:name="_Toc4318"/>
      <w:bookmarkStart w:id="89" w:name="_Toc14740"/>
      <w:bookmarkStart w:id="90" w:name="_Toc10519"/>
      <w:bookmarkStart w:id="91" w:name="_Toc1814"/>
      <w:bookmarkStart w:id="92" w:name="_Toc5933"/>
      <w:bookmarkStart w:id="93" w:name="_Toc27075"/>
      <w:bookmarkStart w:id="94" w:name="_Toc27221"/>
      <w:bookmarkStart w:id="95" w:name="_Toc22916"/>
      <w:bookmarkStart w:id="96" w:name="_Toc58"/>
      <w:bookmarkStart w:id="97" w:name="_Toc21666"/>
      <w:bookmarkStart w:id="98" w:name="_Toc14074"/>
      <w:bookmarkStart w:id="99" w:name="_Toc27941"/>
      <w:bookmarkStart w:id="100" w:name="_Toc2209"/>
      <w:bookmarkStart w:id="101" w:name="_Toc21465"/>
      <w:bookmarkStart w:id="102" w:name="_Toc18593"/>
      <w:bookmarkStart w:id="103" w:name="_Toc22247"/>
      <w:r>
        <w:rPr>
          <w:rFonts w:hint="eastAsia" w:ascii="仿宋" w:hAnsi="仿宋" w:eastAsia="仿宋" w:cs="仿宋"/>
          <w:b/>
          <w:bCs/>
          <w:color w:val="000000" w:themeColor="text1"/>
          <w:sz w:val="24"/>
          <w14:textFill>
            <w14:solidFill>
              <w14:schemeClr w14:val="tx1"/>
            </w14:solidFill>
          </w14:textFill>
        </w:rPr>
        <w:t>1、顶板水</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s="仿宋"/>
          <w:color w:val="000000" w:themeColor="text1"/>
          <w:sz w:val="24"/>
          <w14:textFill>
            <w14:solidFill>
              <w14:schemeClr w14:val="tx1"/>
            </w14:solidFill>
          </w14:textFill>
        </w:rPr>
      </w:pPr>
      <w:bookmarkStart w:id="104" w:name="_Toc18454"/>
      <w:bookmarkStart w:id="105" w:name="_Toc31181"/>
      <w:bookmarkStart w:id="106" w:name="_Toc25892"/>
      <w:bookmarkStart w:id="107" w:name="_Toc887"/>
      <w:bookmarkStart w:id="108" w:name="_Toc30638"/>
      <w:bookmarkStart w:id="109" w:name="_Toc8267"/>
      <w:bookmarkStart w:id="110" w:name="_Toc10062"/>
      <w:bookmarkStart w:id="111" w:name="_Toc22693"/>
      <w:bookmarkStart w:id="112" w:name="_Toc1510"/>
      <w:bookmarkStart w:id="113" w:name="_Toc10683"/>
      <w:bookmarkStart w:id="114" w:name="_Toc31047"/>
      <w:bookmarkStart w:id="115" w:name="_Toc17798"/>
      <w:bookmarkStart w:id="116" w:name="_Toc10305"/>
      <w:bookmarkStart w:id="117" w:name="_Toc13061"/>
      <w:bookmarkStart w:id="118" w:name="_Toc15595"/>
      <w:bookmarkStart w:id="119" w:name="_Toc22468"/>
      <w:bookmarkStart w:id="120" w:name="_Toc11207"/>
      <w:bookmarkStart w:id="121" w:name="_Toc4900"/>
      <w:bookmarkStart w:id="122" w:name="_Toc18052"/>
      <w:bookmarkStart w:id="123" w:name="_Toc1397"/>
      <w:bookmarkStart w:id="124" w:name="_Toc3980"/>
      <w:bookmarkStart w:id="125" w:name="_Toc310"/>
      <w:bookmarkStart w:id="126" w:name="_Toc8671"/>
      <w:bookmarkStart w:id="127" w:name="_Toc3137"/>
      <w:bookmarkStart w:id="128" w:name="_Toc20414"/>
      <w:r>
        <w:rPr>
          <w:rFonts w:hint="eastAsia" w:ascii="仿宋" w:hAnsi="仿宋" w:eastAsia="仿宋"/>
          <w:color w:val="000000" w:themeColor="text1"/>
          <w:sz w:val="24"/>
          <w14:textFill>
            <w14:solidFill>
              <w14:schemeClr w14:val="tx1"/>
            </w14:solidFill>
          </w14:textFill>
        </w:rPr>
        <w:t>3煤层开采顶板直接含水层两层，分别为延安组、直罗组砂岩裂隙水，通过抽水试验结果，单位涌水量及渗透系数显示，直接充水含水层均为弱含水层，回采期间主要以顶板淋水和滴水形式进入工作面，预计对工作面回采影响较小</w:t>
      </w:r>
      <w:r>
        <w:rPr>
          <w:rFonts w:hint="eastAsia" w:ascii="仿宋" w:hAnsi="仿宋" w:eastAsia="仿宋" w:cs="仿宋"/>
          <w:color w:val="000000" w:themeColor="text1"/>
          <w:sz w:val="24"/>
          <w14:textFill>
            <w14:solidFill>
              <w14:schemeClr w14:val="tx1"/>
            </w14:solidFill>
          </w14:textFill>
        </w:rPr>
        <w:t>。</w:t>
      </w:r>
      <w:bookmarkEnd w:id="104"/>
      <w:bookmarkEnd w:id="105"/>
      <w:bookmarkEnd w:id="106"/>
      <w:bookmarkEnd w:id="107"/>
      <w:bookmarkEnd w:id="108"/>
      <w:bookmarkEnd w:id="109"/>
      <w:bookmarkEnd w:id="110"/>
      <w:bookmarkEnd w:id="111"/>
      <w:bookmarkEnd w:id="112"/>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bookmarkStart w:id="129" w:name="_Toc52260092"/>
      <w:bookmarkStart w:id="130" w:name="_Toc51050675"/>
      <w:bookmarkStart w:id="131" w:name="_Toc53470959"/>
      <w:bookmarkStart w:id="132" w:name="_Toc14908"/>
      <w:bookmarkStart w:id="133" w:name="_Toc14381"/>
      <w:bookmarkStart w:id="134" w:name="_Toc26438"/>
      <w:bookmarkStart w:id="135" w:name="_Toc22168"/>
      <w:bookmarkStart w:id="136" w:name="_Toc2692"/>
      <w:bookmarkStart w:id="137" w:name="_Toc29950"/>
      <w:bookmarkStart w:id="138" w:name="_Toc31762"/>
      <w:bookmarkStart w:id="139" w:name="_Toc12420"/>
      <w:r>
        <w:rPr>
          <w:rFonts w:hint="eastAsia" w:ascii="仿宋" w:hAnsi="仿宋" w:eastAsia="仿宋" w:cs="仿宋"/>
          <w:b/>
          <w:bCs/>
          <w:color w:val="000000" w:themeColor="text1"/>
          <w:sz w:val="24"/>
          <w14:textFill>
            <w14:solidFill>
              <w14:schemeClr w14:val="tx1"/>
            </w14:solidFill>
          </w14:textFill>
        </w:rPr>
        <w:t>2、断层水</w:t>
      </w:r>
      <w:bookmarkEnd w:id="129"/>
      <w:bookmarkEnd w:id="130"/>
      <w:bookmarkEnd w:id="131"/>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1303工作面内揭露16条断层，均为正断层，落差0～5.0m，根据实际情况揭露，以及中煤科工集团西安研究院有限公司在1303风巷使用瞬变电磁物探方法对</w:t>
      </w:r>
      <w:r>
        <w:rPr>
          <w:rFonts w:hint="eastAsia" w:ascii="仿宋" w:hAnsi="仿宋" w:eastAsia="仿宋" w:cs="宋体"/>
          <w:bCs/>
          <w:color w:val="000000" w:themeColor="text1"/>
          <w:kern w:val="0"/>
          <w:sz w:val="24"/>
          <w14:textFill>
            <w14:solidFill>
              <w14:schemeClr w14:val="tx1"/>
            </w14:solidFill>
          </w14:textFill>
        </w:rPr>
        <w:t>F1303-f4</w:t>
      </w:r>
      <w:r>
        <w:rPr>
          <w:rFonts w:hint="eastAsia" w:ascii="仿宋" w:hAnsi="仿宋" w:eastAsia="仿宋"/>
          <w:color w:val="000000" w:themeColor="text1"/>
          <w:sz w:val="24"/>
          <w14:textFill>
            <w14:solidFill>
              <w14:schemeClr w14:val="tx1"/>
            </w14:solidFill>
          </w14:textFill>
        </w:rPr>
        <w:t>断层进行探查，探查结果分析，断层赋水性、导水性弱</w:t>
      </w:r>
      <w:r>
        <w:rPr>
          <w:rFonts w:hint="eastAsia" w:ascii="仿宋" w:hAnsi="仿宋" w:eastAsia="仿宋" w:cs="仿宋"/>
          <w:color w:val="000000" w:themeColor="text1"/>
          <w:sz w:val="24"/>
          <w14:textFill>
            <w14:solidFill>
              <w14:schemeClr w14:val="tx1"/>
            </w14:solidFill>
          </w14:textFill>
        </w:rPr>
        <w:t>。</w:t>
      </w:r>
    </w:p>
    <w:bookmarkEnd w:id="132"/>
    <w:bookmarkEnd w:id="133"/>
    <w:bookmarkEnd w:id="134"/>
    <w:bookmarkEnd w:id="135"/>
    <w:bookmarkEnd w:id="136"/>
    <w:bookmarkEnd w:id="137"/>
    <w:bookmarkEnd w:id="138"/>
    <w:bookmarkEnd w:id="139"/>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bookmarkStart w:id="140" w:name="_Toc53470960"/>
      <w:bookmarkStart w:id="141" w:name="_Toc52260093"/>
      <w:bookmarkStart w:id="142" w:name="_Toc51050676"/>
      <w:r>
        <w:rPr>
          <w:rFonts w:hint="eastAsia" w:ascii="仿宋" w:hAnsi="仿宋" w:eastAsia="仿宋" w:cs="仿宋"/>
          <w:b/>
          <w:bCs/>
          <w:color w:val="000000" w:themeColor="text1"/>
          <w:sz w:val="24"/>
          <w14:textFill>
            <w14:solidFill>
              <w14:schemeClr w14:val="tx1"/>
            </w14:solidFill>
          </w14:textFill>
        </w:rPr>
        <w:t>3、老空水</w:t>
      </w:r>
      <w:bookmarkEnd w:id="140"/>
      <w:bookmarkEnd w:id="141"/>
      <w:bookmarkEnd w:id="142"/>
      <w:r>
        <w:rPr>
          <w:rFonts w:hint="eastAsia" w:ascii="仿宋" w:hAnsi="仿宋" w:eastAsia="仿宋" w:cs="仿宋"/>
          <w:b/>
          <w:bCs/>
          <w:color w:val="000000" w:themeColor="text1"/>
          <w:sz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bookmarkStart w:id="143" w:name="_Toc30301"/>
      <w:bookmarkStart w:id="144" w:name="_Toc28473"/>
      <w:bookmarkStart w:id="145" w:name="_Toc13625"/>
      <w:bookmarkStart w:id="146" w:name="_Toc16004"/>
      <w:bookmarkStart w:id="147" w:name="_Toc14827"/>
      <w:bookmarkStart w:id="148" w:name="_Toc53470961"/>
      <w:bookmarkStart w:id="149" w:name="_Toc23882"/>
      <w:bookmarkStart w:id="150" w:name="_Toc51050677"/>
      <w:bookmarkStart w:id="151" w:name="_Toc52260094"/>
      <w:bookmarkStart w:id="152" w:name="_Toc9350"/>
      <w:bookmarkStart w:id="153" w:name="_Toc1033"/>
      <w:bookmarkStart w:id="154" w:name="_Toc28971"/>
      <w:bookmarkStart w:id="155" w:name="_Toc20359"/>
      <w:bookmarkStart w:id="156" w:name="_Toc15335"/>
      <w:bookmarkStart w:id="157" w:name="_Toc27286"/>
      <w:bookmarkStart w:id="158" w:name="_Toc304484154"/>
      <w:bookmarkStart w:id="159" w:name="_Toc9324"/>
      <w:bookmarkStart w:id="160" w:name="_Toc11342"/>
      <w:bookmarkStart w:id="161" w:name="_Toc16616"/>
      <w:bookmarkStart w:id="162" w:name="_Toc1037"/>
      <w:bookmarkStart w:id="163" w:name="_Toc18767"/>
      <w:bookmarkStart w:id="164" w:name="_Toc31965"/>
      <w:bookmarkStart w:id="165" w:name="_Toc1301"/>
      <w:bookmarkStart w:id="166" w:name="_Toc380411679"/>
      <w:bookmarkStart w:id="167" w:name="_Toc22383"/>
      <w:r>
        <w:rPr>
          <w:rFonts w:hint="eastAsia" w:ascii="仿宋" w:hAnsi="仿宋" w:eastAsia="仿宋"/>
          <w:color w:val="000000" w:themeColor="text1"/>
          <w:sz w:val="24"/>
          <w14:textFill>
            <w14:solidFill>
              <w14:schemeClr w14:val="tx1"/>
            </w14:solidFill>
          </w14:textFill>
        </w:rPr>
        <w:t>1303</w:t>
      </w:r>
      <w:r>
        <w:rPr>
          <w:rFonts w:ascii="仿宋" w:hAnsi="仿宋" w:eastAsia="仿宋"/>
          <w:color w:val="000000" w:themeColor="text1"/>
          <w:sz w:val="24"/>
          <w14:textFill>
            <w14:solidFill>
              <w14:schemeClr w14:val="tx1"/>
            </w14:solidFill>
          </w14:textFill>
        </w:rPr>
        <w:t>工作面</w:t>
      </w:r>
      <w:r>
        <w:rPr>
          <w:rFonts w:hint="eastAsia" w:ascii="仿宋" w:hAnsi="仿宋" w:eastAsia="仿宋"/>
          <w:color w:val="000000" w:themeColor="text1"/>
          <w:sz w:val="24"/>
          <w14:textFill>
            <w14:solidFill>
              <w14:schemeClr w14:val="tx1"/>
            </w14:solidFill>
          </w14:textFill>
        </w:rPr>
        <w:t>仅南</w:t>
      </w:r>
      <w:r>
        <w:rPr>
          <w:rFonts w:ascii="仿宋" w:hAnsi="仿宋" w:eastAsia="仿宋"/>
          <w:color w:val="000000" w:themeColor="text1"/>
          <w:sz w:val="24"/>
          <w14:textFill>
            <w14:solidFill>
              <w14:schemeClr w14:val="tx1"/>
            </w14:solidFill>
          </w14:textFill>
        </w:rPr>
        <w:t>部</w:t>
      </w:r>
      <w:r>
        <w:rPr>
          <w:rFonts w:hint="eastAsia" w:ascii="仿宋" w:hAnsi="仿宋" w:eastAsia="仿宋"/>
          <w:color w:val="000000" w:themeColor="text1"/>
          <w:sz w:val="24"/>
          <w14:textFill>
            <w14:solidFill>
              <w14:schemeClr w14:val="tx1"/>
            </w14:solidFill>
          </w14:textFill>
        </w:rPr>
        <w:t>存在</w:t>
      </w:r>
      <w:r>
        <w:rPr>
          <w:rFonts w:ascii="仿宋" w:hAnsi="仿宋" w:eastAsia="仿宋"/>
          <w:color w:val="000000" w:themeColor="text1"/>
          <w:sz w:val="24"/>
          <w14:textFill>
            <w14:solidFill>
              <w14:schemeClr w14:val="tx1"/>
            </w14:solidFill>
          </w14:textFill>
        </w:rPr>
        <w:t>130</w:t>
      </w: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工作面采空区，留设阶段煤柱</w:t>
      </w:r>
      <w:r>
        <w:rPr>
          <w:rFonts w:hint="eastAsia" w:ascii="仿宋" w:hAnsi="仿宋" w:eastAsia="仿宋"/>
          <w:color w:val="000000" w:themeColor="text1"/>
          <w:sz w:val="24"/>
          <w14:textFill>
            <w14:solidFill>
              <w14:schemeClr w14:val="tx1"/>
            </w14:solidFill>
          </w14:textFill>
        </w:rPr>
        <w:t>35.0</w:t>
      </w:r>
      <w:r>
        <w:rPr>
          <w:rFonts w:ascii="仿宋" w:hAnsi="仿宋" w:eastAsia="仿宋"/>
          <w:color w:val="000000" w:themeColor="text1"/>
          <w:sz w:val="24"/>
          <w14:textFill>
            <w14:solidFill>
              <w14:schemeClr w14:val="tx1"/>
            </w14:solidFill>
          </w14:textFill>
        </w:rPr>
        <w:t>m。</w:t>
      </w:r>
      <w:r>
        <w:rPr>
          <w:rFonts w:hint="eastAsia" w:ascii="仿宋" w:hAnsi="仿宋" w:eastAsia="仿宋"/>
          <w:color w:val="000000" w:themeColor="text1"/>
          <w:sz w:val="24"/>
          <w14:textFill>
            <w14:solidFill>
              <w14:schemeClr w14:val="tx1"/>
            </w14:solidFill>
          </w14:textFill>
        </w:rPr>
        <w:t>1305工作面在回采期间无水</w:t>
      </w:r>
      <w:r>
        <w:rPr>
          <w:rFonts w:ascii="仿宋" w:hAnsi="仿宋" w:eastAsia="仿宋"/>
          <w:color w:val="000000" w:themeColor="text1"/>
          <w:sz w:val="24"/>
          <w14:textFill>
            <w14:solidFill>
              <w14:schemeClr w14:val="tx1"/>
            </w14:solidFill>
          </w14:textFill>
        </w:rPr>
        <w:t>。另在130</w:t>
      </w: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工作面机巷、风巷、高抽巷密闭墙埋设有U型管，定期观察采空区内水文情况，目前均无水。</w:t>
      </w:r>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4、离层水</w:t>
      </w:r>
      <w:bookmarkEnd w:id="143"/>
      <w:bookmarkEnd w:id="144"/>
      <w:bookmarkEnd w:id="145"/>
      <w:bookmarkEnd w:id="146"/>
      <w:bookmarkEnd w:id="147"/>
      <w:bookmarkEnd w:id="148"/>
      <w:bookmarkEnd w:id="149"/>
      <w:bookmarkEnd w:id="150"/>
      <w:bookmarkEnd w:id="151"/>
      <w:bookmarkEnd w:id="152"/>
      <w:bookmarkEnd w:id="153"/>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涌水量动态、水质、煤层距上覆宜君砂砾岩的间距及综放面顶板垮落裂缝带的高度等资料，综合对比本矿1304工作面出水情况，随着工作面不均匀推进，工作面回采后沉降带的地层发生不均匀沉降，会形成大量的横向离层空隙。离层空隙接受周围弱含水层的补给，形成了离层积水体。沉降带内的离层积水体与垮落裂缝带之间存在一定厚度的隔水层，当离层水的压力大于其底部隔水层的临界水压力值时方可发生离层突水。突水来源主要为白垩系洛河组、宜君组含水层水，此类突水表现为来势猛、瞬时涌水量大，但衰减快，以静储量为主，离层水的形成是工作面发生突水的主要原因。</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1305工作面3煤顶界面至宜君组底界平均厚度254.81m，平均采厚11.5m，局部煤层未放顶。钻孔光纤及电法综合测试，实测导水裂隙带高度为265m；导水裂隙带进入宜君组10.19m。计算得出1305工作面实测裂采比为23.04，导水裂隙带与含水层导通，但工作面无水。1303工作面3煤平均厚度约12.3m，按裂采比为23.04计算，计算出1303工作面导水裂隙带高度平均283.39m，1303工作面3煤顶至宜君组平均厚度为263.3m，则1303工作面的导水裂隙带高度将波及宜君组20.09m，导水裂隙带与含水层导通，有出水风险，1303工作面回采时需加强离层水防治。</w:t>
      </w:r>
    </w:p>
    <w:p>
      <w:pPr>
        <w:keepNext w:val="0"/>
        <w:keepLines w:val="0"/>
        <w:pageBreakBefore w:val="0"/>
        <w:widowControl w:val="0"/>
        <w:kinsoku/>
        <w:wordWrap/>
        <w:overflowPunct/>
        <w:topLinePunct w:val="0"/>
        <w:autoSpaceDE/>
        <w:autoSpaceDN/>
        <w:bidi w:val="0"/>
        <w:adjustRightInd/>
        <w:snapToGrid w:val="0"/>
        <w:spacing w:line="420" w:lineRule="exact"/>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三、工作面涌水量预计</w:t>
      </w: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1303工作面走向长755m（停采线位置），倾斜宽180m，平均煤厚12.3m。结合一采区已开采1307、1304、1305以及1302工作面的经验，导水裂隙带为1303工作面回采过程中的主要充水通道，根据采区导水裂缝带高度分析和预计，工作面回采直接充水含水层为3煤顶部侏罗系延安组煤系裂隙含水层和直罗组砂岩裂隙含水层，但随着矿井回采，导水裂缝带逐渐扩展，3煤开采导水裂缝带有可能发育至安定组甚至宜君组此时矿井涌水量会明显增大。</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根据1303工作面及其附近钻孔B4、B2、Z5-34、G6、B20、B21数据</w:t>
      </w:r>
      <w:r>
        <w:rPr>
          <w:rFonts w:hint="eastAsia" w:ascii="仿宋" w:hAnsi="仿宋" w:eastAsia="仿宋"/>
          <w:color w:val="000000" w:themeColor="text1"/>
          <w:sz w:val="24"/>
          <w:lang w:val="en-US" w:eastAsia="zh-CN"/>
          <w14:textFill>
            <w14:solidFill>
              <w14:schemeClr w14:val="tx1"/>
            </w14:solidFill>
          </w14:textFill>
        </w:rPr>
        <w:t>如表5</w:t>
      </w:r>
      <w:r>
        <w:rPr>
          <w:rFonts w:hint="eastAsia" w:ascii="仿宋" w:hAnsi="仿宋" w:eastAsia="仿宋"/>
          <w:color w:val="000000" w:themeColor="text1"/>
          <w:sz w:val="24"/>
          <w14:textFill>
            <w14:solidFill>
              <w14:schemeClr w14:val="tx1"/>
            </w14:solidFill>
          </w14:textFill>
        </w:rPr>
        <w:t>，3煤上延安组厚度平均40.52m，直罗组平均厚度</w:t>
      </w:r>
      <w:r>
        <w:rPr>
          <w:rFonts w:hint="eastAsia" w:ascii="仿宋" w:hAnsi="仿宋" w:eastAsia="仿宋"/>
          <w:color w:val="000000" w:themeColor="text1"/>
          <w:sz w:val="24"/>
          <w:lang w:val="en-US" w:eastAsia="zh-CN"/>
          <w14:textFill>
            <w14:solidFill>
              <w14:schemeClr w14:val="tx1"/>
            </w14:solidFill>
          </w14:textFill>
        </w:rPr>
        <w:t>42.70</w:t>
      </w:r>
      <w:r>
        <w:rPr>
          <w:rFonts w:hint="eastAsia" w:ascii="仿宋" w:hAnsi="仿宋" w:eastAsia="仿宋"/>
          <w:color w:val="000000" w:themeColor="text1"/>
          <w:sz w:val="24"/>
          <w14:textFill>
            <w14:solidFill>
              <w14:schemeClr w14:val="tx1"/>
            </w14:solidFill>
          </w14:textFill>
        </w:rPr>
        <w:t>m，安定组平均厚度1</w:t>
      </w:r>
      <w:r>
        <w:rPr>
          <w:rFonts w:hint="eastAsia" w:ascii="仿宋" w:hAnsi="仿宋" w:eastAsia="仿宋"/>
          <w:color w:val="000000" w:themeColor="text1"/>
          <w:sz w:val="24"/>
          <w:lang w:val="en-US" w:eastAsia="zh-CN"/>
          <w14:textFill>
            <w14:solidFill>
              <w14:schemeClr w14:val="tx1"/>
            </w14:solidFill>
          </w14:textFill>
        </w:rPr>
        <w:t>78.2</w:t>
      </w:r>
      <w:r>
        <w:rPr>
          <w:rFonts w:hint="eastAsia" w:ascii="仿宋" w:hAnsi="仿宋" w:eastAsia="仿宋"/>
          <w:color w:val="000000" w:themeColor="text1"/>
          <w:sz w:val="24"/>
          <w14:textFill>
            <w14:solidFill>
              <w14:schemeClr w14:val="tx1"/>
            </w14:solidFill>
          </w14:textFill>
        </w:rPr>
        <w:t>m，3煤到宜君组底界平均2</w:t>
      </w:r>
      <w:r>
        <w:rPr>
          <w:rFonts w:hint="eastAsia" w:ascii="仿宋" w:hAnsi="仿宋" w:eastAsia="仿宋"/>
          <w:color w:val="000000" w:themeColor="text1"/>
          <w:sz w:val="24"/>
          <w:lang w:val="en-US" w:eastAsia="zh-CN"/>
          <w14:textFill>
            <w14:solidFill>
              <w14:schemeClr w14:val="tx1"/>
            </w14:solidFill>
          </w14:textFill>
        </w:rPr>
        <w:t>63.3</w:t>
      </w:r>
      <w:r>
        <w:rPr>
          <w:rFonts w:hint="eastAsia" w:ascii="仿宋" w:hAnsi="仿宋" w:eastAsia="仿宋"/>
          <w:color w:val="000000" w:themeColor="text1"/>
          <w:sz w:val="24"/>
          <w14:textFill>
            <w14:solidFill>
              <w14:schemeClr w14:val="tx1"/>
            </w14:solidFill>
          </w14:textFill>
        </w:rPr>
        <w:t>m，1303工作面涌水量预计考虑3煤上延安组（含水层厚度0-34.19m，平均22.44m）、直罗组（含水层厚度8.96-38.6m，平均23.51m）、安定组（含水层厚度14.3-90.85m，平均40.97m）细中粗砂岩含水层和宜君组砾岩含水层（潜水含水层厚度23.14-192.43m，平均86.33m）。</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考虑到离层积水均匀下泄的1303工作面涌水量取值为3部分：①顶板含水层静储量均匀下泄时涌水量，工作面采前疏放水工程对顶板含水层有效疏放条件下，静储量被抽排疏放；②含水层厚度和参数为加权平均值时的动态补给量150.15</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/h；③1303工作面离层积水均匀下泄时涌水量70.14</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/h，1305工作面离层积水均匀下泄时涌水量117.21</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/h，1307工作面离层积水均匀下泄时涌水量75.21</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一采区抽排孔持续抽排，工作面采前疏放水工程对顶板含水层有效疏放条件下，含水层厚度和参数为加权平均值时的动态补给量150.15</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/h，离层积水均匀下泄时涌水量262.56</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/h。综合考虑离层积水均匀下泄的1303工作面最大涌水量为412.70</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w:t>
      </w:r>
    </w:p>
    <w:p>
      <w:pPr>
        <w:keepNext w:val="0"/>
        <w:keepLines w:val="0"/>
        <w:pageBreakBefore w:val="0"/>
        <w:widowControl w:val="0"/>
        <w:kinsoku/>
        <w:wordWrap/>
        <w:overflowPunct/>
        <w:topLinePunct w:val="0"/>
        <w:autoSpaceDE/>
        <w:autoSpaceDN/>
        <w:bidi w:val="0"/>
        <w:adjustRightInd/>
        <w:snapToGrid w:val="0"/>
        <w:ind w:firstLine="48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（2）1303工作面灾变涌水量根据招贤煤矿1304工作面进行类比获得，1304工作面灾变涌水量420</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/h。综合类比1304工作面灾变涌水量，1303工作面离层灾变涌水量约为420</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w:t>
      </w:r>
    </w:p>
    <w:p>
      <w:pPr>
        <w:keepNext w:val="0"/>
        <w:keepLines w:val="0"/>
        <w:pageBreakBefore w:val="0"/>
        <w:widowControl w:val="0"/>
        <w:kinsoku/>
        <w:wordWrap/>
        <w:overflowPunct/>
        <w:topLinePunct w:val="0"/>
        <w:autoSpaceDE/>
        <w:autoSpaceDN/>
        <w:bidi w:val="0"/>
        <w:adjustRightInd/>
        <w:snapToGrid w:val="0"/>
        <w:ind w:firstLine="48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综上所述，1303工作面正常涌水量150.15</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/h，工作面考虑离层积水均匀下泄的1303工作面最大涌水量为412.70</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/h；考虑到1303工作面在实际回采过程中的不可抗力（离层或导高发育异常），确定1303工作面离层灾变涌水量约为420</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olor w:val="000000" w:themeColor="text1"/>
          <w:sz w:val="24"/>
          <w14:textFill>
            <w14:solidFill>
              <w14:schemeClr w14:val="tx1"/>
            </w14:solidFill>
          </w14:textFill>
        </w:rPr>
        <w:t>/h。</w:t>
      </w:r>
    </w:p>
    <w:p>
      <w:pPr>
        <w:pStyle w:val="4"/>
        <w:keepNext w:val="0"/>
        <w:keepLines w:val="0"/>
        <w:snapToGrid w:val="0"/>
        <w:spacing w:before="0" w:after="0"/>
        <w:ind w:firstLine="0" w:firstLineChars="0"/>
        <w:rPr>
          <w:rFonts w:hint="eastAsia" w:ascii="黑体" w:hAnsi="黑体" w:eastAsia="黑体" w:cs="黑体"/>
          <w:color w:val="000000" w:themeColor="text1"/>
          <w:sz w:val="28"/>
          <w:szCs w:val="28"/>
          <w14:textFill>
            <w14:solidFill>
              <w14:schemeClr w14:val="tx1"/>
            </w14:solidFill>
          </w14:textFill>
        </w:rPr>
      </w:pPr>
    </w:p>
    <w:p>
      <w:pPr>
        <w:pStyle w:val="4"/>
        <w:keepNext w:val="0"/>
        <w:keepLines w:val="0"/>
        <w:snapToGrid w:val="0"/>
        <w:spacing w:before="0" w:after="0"/>
        <w:ind w:firstLine="0" w:firstLineChars="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第七节  影响工作面回采的其他因素</w:t>
      </w:r>
    </w:p>
    <w:p>
      <w:pPr>
        <w:widowControl/>
        <w:snapToGrid w:val="0"/>
        <w:ind w:firstLine="0" w:firstLineChars="0"/>
        <w:jc w:val="left"/>
        <w:rPr>
          <w:rFonts w:ascii="仿宋" w:hAnsi="仿宋" w:eastAsia="仿宋" w:cs="仿宋"/>
          <w:b/>
          <w:bCs/>
          <w:color w:val="000000" w:themeColor="text1"/>
          <w:sz w:val="24"/>
          <w14:textFill>
            <w14:solidFill>
              <w14:schemeClr w14:val="tx1"/>
            </w14:solidFill>
          </w14:textFill>
        </w:rPr>
      </w:pPr>
      <w:bookmarkStart w:id="168" w:name="_Toc52260102"/>
      <w:bookmarkStart w:id="169" w:name="_Toc90413893"/>
      <w:bookmarkStart w:id="170" w:name="_Toc51050688"/>
      <w:bookmarkStart w:id="171" w:name="_Toc63263026"/>
      <w:bookmarkStart w:id="172" w:name="_Toc392405362"/>
      <w:bookmarkStart w:id="173" w:name="_Toc410803471"/>
      <w:r>
        <w:rPr>
          <w:rFonts w:hint="eastAsia" w:ascii="仿宋" w:hAnsi="仿宋" w:eastAsia="仿宋" w:cs="仿宋"/>
          <w:b/>
          <w:bCs/>
          <w:color w:val="000000" w:themeColor="text1"/>
          <w:sz w:val="24"/>
          <w14:textFill>
            <w14:solidFill>
              <w14:schemeClr w14:val="tx1"/>
            </w14:solidFill>
          </w14:textFill>
        </w:rPr>
        <w:t>1、地热</w:t>
      </w:r>
      <w:bookmarkEnd w:id="168"/>
      <w:bookmarkEnd w:id="169"/>
      <w:bookmarkEnd w:id="170"/>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经计算，本井田平均地温梯度为2.35℃/100m，其中非煤系地层平均为1.26℃/100m，煤系地层平均为2.98℃/100m。确定的恒温带为22m，温度为13.5℃。相对高温区位于风巷f7点前2m，埋深为622m，温度为21.8℃；而低温区主要分布于机巷j16测点处，埋深为553m，温度为20.6℃；地温高低主要受埋深和煤层厚度控制，全区属地温正常区，区内无热害区</w:t>
      </w:r>
      <w:r>
        <w:rPr>
          <w:rFonts w:hint="eastAsia" w:ascii="仿宋" w:hAnsi="仿宋" w:eastAsia="仿宋" w:cs="仿宋"/>
          <w:color w:val="000000" w:themeColor="text1"/>
          <w:sz w:val="24"/>
          <w14:textFill>
            <w14:solidFill>
              <w14:schemeClr w14:val="tx1"/>
            </w14:solidFill>
          </w14:textFill>
        </w:rPr>
        <w:t>。</w:t>
      </w:r>
    </w:p>
    <w:p>
      <w:pPr>
        <w:widowControl/>
        <w:snapToGrid w:val="0"/>
        <w:ind w:firstLine="0" w:firstLineChars="0"/>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w:t>
      </w:r>
      <w:bookmarkEnd w:id="171"/>
      <w:r>
        <w:rPr>
          <w:rFonts w:hint="eastAsia" w:ascii="仿宋" w:hAnsi="仿宋" w:eastAsia="仿宋" w:cs="仿宋"/>
          <w:b/>
          <w:bCs/>
          <w:color w:val="000000" w:themeColor="text1"/>
          <w:sz w:val="24"/>
          <w14:textFill>
            <w14:solidFill>
              <w14:schemeClr w14:val="tx1"/>
            </w14:solidFill>
          </w14:textFill>
        </w:rPr>
        <w:t>冲击地压</w:t>
      </w:r>
    </w:p>
    <w:p>
      <w:pPr>
        <w:pStyle w:val="4"/>
        <w:keepNext w:val="0"/>
        <w:keepLines w:val="0"/>
        <w:snapToGrid w:val="0"/>
        <w:spacing w:before="0" w:after="0"/>
        <w:ind w:firstLine="480"/>
        <w:jc w:val="left"/>
        <w:rPr>
          <w:rFonts w:ascii="仿宋" w:hAnsi="仿宋" w:eastAsia="仿宋"/>
          <w:b w:val="0"/>
          <w:color w:val="000000" w:themeColor="text1"/>
          <w14:textFill>
            <w14:solidFill>
              <w14:schemeClr w14:val="tx1"/>
            </w14:solidFill>
          </w14:textFill>
        </w:rPr>
      </w:pPr>
      <w:bookmarkStart w:id="174" w:name="_Toc28583"/>
      <w:bookmarkStart w:id="175" w:name="_Toc52260104"/>
      <w:r>
        <w:rPr>
          <w:rFonts w:hint="eastAsia" w:ascii="仿宋" w:hAnsi="仿宋" w:eastAsia="仿宋"/>
          <w:b w:val="0"/>
        </w:rPr>
        <w:t>采用综合指数法评定了招贤煤矿1303工作面的冲击危险指数，地质条件确定的评价指数为</w:t>
      </w:r>
      <w:r>
        <w:rPr>
          <w:rFonts w:ascii="仿宋" w:hAnsi="仿宋" w:eastAsia="仿宋"/>
          <w:b w:val="0"/>
        </w:rPr>
        <w:t>0.52</w:t>
      </w:r>
      <w:r>
        <w:rPr>
          <w:rFonts w:hint="eastAsia" w:ascii="仿宋" w:hAnsi="仿宋" w:eastAsia="仿宋"/>
          <w:b w:val="0"/>
        </w:rPr>
        <w:t>，开采技术因素确定的评价指数为</w:t>
      </w:r>
      <w:r>
        <w:rPr>
          <w:rFonts w:ascii="仿宋" w:hAnsi="仿宋" w:eastAsia="仿宋"/>
          <w:b w:val="0"/>
        </w:rPr>
        <w:t>0.52</w:t>
      </w:r>
      <w:r>
        <w:rPr>
          <w:rFonts w:hint="eastAsia" w:ascii="仿宋" w:hAnsi="仿宋" w:eastAsia="仿宋"/>
          <w:b w:val="0"/>
        </w:rPr>
        <w:t>，综合指数确定为0.</w:t>
      </w:r>
      <w:r>
        <w:rPr>
          <w:rFonts w:ascii="仿宋" w:hAnsi="仿宋" w:eastAsia="仿宋"/>
          <w:b w:val="0"/>
        </w:rPr>
        <w:t>52</w:t>
      </w:r>
      <w:r>
        <w:rPr>
          <w:rFonts w:hint="eastAsia" w:ascii="仿宋" w:hAnsi="仿宋" w:eastAsia="仿宋"/>
          <w:b w:val="0"/>
        </w:rPr>
        <w:t>。</w:t>
      </w:r>
      <w:r>
        <w:rPr>
          <w:rFonts w:hint="eastAsia" w:ascii="仿宋" w:hAnsi="仿宋" w:eastAsia="仿宋"/>
          <w:b w:val="0"/>
          <w:color w:val="000000" w:themeColor="text1"/>
          <w14:textFill>
            <w14:solidFill>
              <w14:schemeClr w14:val="tx1"/>
            </w14:solidFill>
          </w14:textFill>
        </w:rPr>
        <w:t xml:space="preserve"> 130</w:t>
      </w:r>
      <w:r>
        <w:rPr>
          <w:rFonts w:ascii="仿宋" w:hAnsi="仿宋" w:eastAsia="仿宋"/>
          <w:b w:val="0"/>
          <w:color w:val="000000" w:themeColor="text1"/>
          <w14:textFill>
            <w14:solidFill>
              <w14:schemeClr w14:val="tx1"/>
            </w14:solidFill>
          </w14:textFill>
        </w:rPr>
        <w:t>3</w:t>
      </w:r>
      <w:r>
        <w:rPr>
          <w:rFonts w:hint="eastAsia" w:ascii="仿宋" w:hAnsi="仿宋" w:eastAsia="仿宋"/>
          <w:b w:val="0"/>
          <w:color w:val="000000" w:themeColor="text1"/>
          <w14:textFill>
            <w14:solidFill>
              <w14:schemeClr w14:val="tx1"/>
            </w14:solidFill>
          </w14:textFill>
        </w:rPr>
        <w:t>工作面回采期间冲击危险区域划分结果为：强冲击危险区域</w:t>
      </w:r>
      <w:r>
        <w:rPr>
          <w:rFonts w:ascii="仿宋" w:hAnsi="仿宋" w:eastAsia="仿宋"/>
          <w:b w:val="0"/>
          <w:color w:val="000000" w:themeColor="text1"/>
          <w14:textFill>
            <w14:solidFill>
              <w14:schemeClr w14:val="tx1"/>
            </w14:solidFill>
          </w14:textFill>
        </w:rPr>
        <w:t>3</w:t>
      </w:r>
      <w:r>
        <w:rPr>
          <w:rFonts w:hint="eastAsia" w:ascii="仿宋" w:hAnsi="仿宋" w:eastAsia="仿宋"/>
          <w:b w:val="0"/>
          <w:color w:val="000000" w:themeColor="text1"/>
          <w14:textFill>
            <w14:solidFill>
              <w14:schemeClr w14:val="tx1"/>
            </w14:solidFill>
          </w14:textFill>
        </w:rPr>
        <w:t>处，中等冲击危险区域</w:t>
      </w:r>
      <w:r>
        <w:rPr>
          <w:rFonts w:ascii="仿宋" w:hAnsi="仿宋" w:eastAsia="仿宋"/>
          <w:b w:val="0"/>
          <w:color w:val="000000" w:themeColor="text1"/>
          <w14:textFill>
            <w14:solidFill>
              <w14:schemeClr w14:val="tx1"/>
            </w14:solidFill>
          </w14:textFill>
        </w:rPr>
        <w:t>9</w:t>
      </w:r>
      <w:r>
        <w:rPr>
          <w:rFonts w:hint="eastAsia" w:ascii="仿宋" w:hAnsi="仿宋" w:eastAsia="仿宋"/>
          <w:b w:val="0"/>
          <w:color w:val="000000" w:themeColor="text1"/>
          <w14:textFill>
            <w14:solidFill>
              <w14:schemeClr w14:val="tx1"/>
            </w14:solidFill>
          </w14:textFill>
        </w:rPr>
        <w:t>处，其余为弱冲击危险区域。</w:t>
      </w:r>
    </w:p>
    <w:p>
      <w:pPr>
        <w:pStyle w:val="4"/>
        <w:keepNext w:val="0"/>
        <w:keepLines w:val="0"/>
        <w:snapToGrid w:val="0"/>
        <w:spacing w:before="0" w:after="0"/>
        <w:ind w:firstLine="0" w:firstLineChars="0"/>
        <w:jc w:val="left"/>
        <w:rPr>
          <w:rFonts w:ascii="仿宋" w:hAnsi="仿宋" w:eastAsia="仿宋" w:cs="仿宋"/>
          <w:color w:val="000000" w:themeColor="text1"/>
          <w:szCs w:val="24"/>
          <w:highlight w:val="cya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3、煤的自燃危险程度</w:t>
      </w:r>
      <w:bookmarkEnd w:id="174"/>
      <w:bookmarkEnd w:id="175"/>
    </w:p>
    <w:p>
      <w:pPr>
        <w:pStyle w:val="90"/>
        <w:snapToGrid w:val="0"/>
        <w:spacing w:line="360" w:lineRule="auto"/>
        <w:ind w:firstLine="48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_GB2312"/>
          <w:bCs w:val="0"/>
          <w:color w:val="000000" w:themeColor="text1"/>
          <w:sz w:val="24"/>
          <w:szCs w:val="24"/>
          <w14:textFill>
            <w14:solidFill>
              <w14:schemeClr w14:val="tx1"/>
            </w14:solidFill>
          </w14:textFill>
        </w:rPr>
        <w:t>根据2022年4月陕西煤矿安全装备检测中心有限公司的《煤尘爆炸性、自燃倾向性》鉴定报告，3煤层为容易自燃煤层，自燃倾向性等级为Ⅰ类；煤尘具有爆炸性，</w:t>
      </w:r>
      <w:r>
        <w:rPr>
          <w:rFonts w:hint="eastAsia" w:ascii="仿宋" w:hAnsi="仿宋" w:eastAsia="仿宋" w:cs="仿宋_GB2312"/>
          <w:color w:val="000000" w:themeColor="text1"/>
          <w:sz w:val="24"/>
          <w:szCs w:val="24"/>
          <w14:textFill>
            <w14:solidFill>
              <w14:schemeClr w14:val="tx1"/>
            </w14:solidFill>
          </w14:textFill>
        </w:rPr>
        <w:t>自燃</w:t>
      </w:r>
      <w:r>
        <w:rPr>
          <w:rFonts w:ascii="仿宋" w:hAnsi="仿宋" w:eastAsia="仿宋" w:cs="仿宋_GB2312"/>
          <w:bCs w:val="0"/>
          <w:color w:val="000000" w:themeColor="text1"/>
          <w:sz w:val="24"/>
          <w:szCs w:val="24"/>
          <w14:textFill>
            <w14:solidFill>
              <w14:schemeClr w14:val="tx1"/>
            </w14:solidFill>
          </w14:textFill>
        </w:rPr>
        <w:t>发火期最短为36天</w:t>
      </w:r>
      <w:r>
        <w:rPr>
          <w:rFonts w:hint="eastAsia" w:ascii="仿宋" w:hAnsi="仿宋" w:eastAsia="仿宋" w:cs="仿宋"/>
          <w:color w:val="000000" w:themeColor="text1"/>
          <w:sz w:val="24"/>
          <w:szCs w:val="24"/>
          <w14:textFill>
            <w14:solidFill>
              <w14:schemeClr w14:val="tx1"/>
            </w14:solidFill>
          </w14:textFill>
        </w:rPr>
        <w:t>。</w:t>
      </w:r>
      <w:bookmarkStart w:id="176" w:name="_Toc63263027"/>
    </w:p>
    <w:p>
      <w:pPr>
        <w:pStyle w:val="90"/>
        <w:snapToGrid w:val="0"/>
        <w:spacing w:line="360" w:lineRule="auto"/>
        <w:ind w:firstLine="480"/>
        <w:jc w:val="center"/>
        <w:rPr>
          <w:rFonts w:ascii="仿宋" w:hAnsi="仿宋" w:eastAsia="仿宋" w:cs="仿宋"/>
          <w:color w:val="FF0000"/>
          <w:sz w:val="24"/>
          <w:szCs w:val="24"/>
        </w:rPr>
      </w:pPr>
    </w:p>
    <w:p>
      <w:pPr>
        <w:pStyle w:val="90"/>
        <w:snapToGrid w:val="0"/>
        <w:spacing w:line="360" w:lineRule="auto"/>
        <w:ind w:firstLine="562"/>
        <w:jc w:val="center"/>
        <w:rPr>
          <w:rFonts w:ascii="仿宋_GB2312" w:hAnsi="仿宋_GB2312" w:cs="仿宋_GB2312"/>
          <w:bCs w:val="0"/>
          <w:color w:val="000000" w:themeColor="text1"/>
          <w:sz w:val="28"/>
          <w:szCs w:val="28"/>
          <w14:textFill>
            <w14:solidFill>
              <w14:schemeClr w14:val="tx1"/>
            </w14:solidFill>
          </w14:textFill>
        </w:rPr>
      </w:pPr>
      <w:r>
        <w:rPr>
          <w:rFonts w:hint="eastAsia" w:ascii="仿宋" w:hAnsi="仿宋" w:eastAsia="仿宋" w:cs="仿宋"/>
          <w:b/>
          <w:bCs w:val="0"/>
          <w:color w:val="000000" w:themeColor="text1"/>
          <w:sz w:val="28"/>
          <w:szCs w:val="28"/>
          <w14:textFill>
            <w14:solidFill>
              <w14:schemeClr w14:val="tx1"/>
            </w14:solidFill>
          </w14:textFill>
        </w:rPr>
        <w:t>第八节 储量</w:t>
      </w:r>
      <w:bookmarkEnd w:id="172"/>
      <w:bookmarkEnd w:id="173"/>
      <w:bookmarkEnd w:id="176"/>
      <w:r>
        <w:rPr>
          <w:rFonts w:hint="eastAsia" w:ascii="仿宋" w:hAnsi="仿宋" w:eastAsia="仿宋" w:cs="仿宋"/>
          <w:b/>
          <w:bCs w:val="0"/>
          <w:color w:val="000000" w:themeColor="text1"/>
          <w:sz w:val="28"/>
          <w:szCs w:val="28"/>
          <w14:textFill>
            <w14:solidFill>
              <w14:schemeClr w14:val="tx1"/>
            </w14:solidFill>
          </w14:textFill>
        </w:rPr>
        <w:t>计算及服务年限</w:t>
      </w:r>
    </w:p>
    <w:p>
      <w:pPr>
        <w:widowControl/>
        <w:snapToGrid w:val="0"/>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一、储量计算边界</w:t>
      </w:r>
    </w:p>
    <w:p>
      <w:pPr>
        <w:pStyle w:val="90"/>
        <w:snapToGrid w:val="0"/>
        <w:spacing w:line="360" w:lineRule="auto"/>
        <w:ind w:firstLine="48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工作面储量计算边界以机巷、风巷、设计回采线和切眼圈定的范围为界。</w:t>
      </w:r>
    </w:p>
    <w:p>
      <w:pPr>
        <w:widowControl/>
        <w:snapToGrid w:val="0"/>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二、参数选择</w:t>
      </w:r>
    </w:p>
    <w:p>
      <w:pPr>
        <w:widowControl/>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工作面走向长755m，倾向宽180m，可采段平面积S=135900m</w:t>
      </w:r>
      <w:r>
        <w:rPr>
          <w:rFonts w:hint="eastAsia" w:ascii="仿宋" w:hAnsi="仿宋" w:eastAsia="仿宋" w:cs="仿宋_GB2312"/>
          <w:color w:val="000000" w:themeColor="text1"/>
          <w:sz w:val="24"/>
          <w:vertAlign w:val="superscript"/>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，平均煤厚M=12.3m，平均倾角α=7°，视密度γ=1.40t/m</w:t>
      </w:r>
      <w:r>
        <w:rPr>
          <w:rFonts w:hint="eastAsia" w:ascii="仿宋" w:hAnsi="仿宋" w:eastAsia="仿宋" w:cs="仿宋_GB2312"/>
          <w:color w:val="000000" w:themeColor="text1"/>
          <w:sz w:val="24"/>
          <w:vertAlign w:val="superscript"/>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w:t>
      </w:r>
    </w:p>
    <w:p>
      <w:pPr>
        <w:widowControl/>
        <w:snapToGrid w:val="0"/>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三、储量计算</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地质储量Q</w:t>
      </w:r>
      <w:r>
        <w:rPr>
          <w:rFonts w:hint="eastAsia" w:ascii="仿宋" w:hAnsi="仿宋" w:eastAsia="仿宋" w:cs="仿宋_GB2312"/>
          <w:color w:val="000000" w:themeColor="text1"/>
          <w:sz w:val="24"/>
          <w:vertAlign w:val="subscript"/>
          <w14:textFill>
            <w14:solidFill>
              <w14:schemeClr w14:val="tx1"/>
            </w14:solidFill>
          </w14:textFill>
        </w:rPr>
        <w:t>地</w:t>
      </w:r>
      <w:r>
        <w:rPr>
          <w:rFonts w:hint="eastAsia" w:ascii="仿宋" w:hAnsi="仿宋" w:eastAsia="仿宋" w:cs="仿宋_GB2312"/>
          <w:color w:val="000000" w:themeColor="text1"/>
          <w:sz w:val="24"/>
          <w14:textFill>
            <w14:solidFill>
              <w14:schemeClr w14:val="tx1"/>
            </w14:solidFill>
          </w14:textFill>
        </w:rPr>
        <w:t>=S÷cosα×M×γ=235.8万t</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可采储量Q</w:t>
      </w:r>
      <w:r>
        <w:rPr>
          <w:rFonts w:hint="eastAsia" w:ascii="仿宋" w:hAnsi="仿宋" w:eastAsia="仿宋" w:cs="仿宋_GB2312"/>
          <w:color w:val="000000" w:themeColor="text1"/>
          <w:sz w:val="24"/>
          <w:vertAlign w:val="subscript"/>
          <w14:textFill>
            <w14:solidFill>
              <w14:schemeClr w14:val="tx1"/>
            </w14:solidFill>
          </w14:textFill>
        </w:rPr>
        <w:t>可</w:t>
      </w:r>
      <w:r>
        <w:rPr>
          <w:rFonts w:hint="eastAsia" w:ascii="仿宋" w:hAnsi="仿宋" w:eastAsia="仿宋" w:cs="仿宋_GB2312"/>
          <w:color w:val="000000" w:themeColor="text1"/>
          <w:sz w:val="24"/>
          <w14:textFill>
            <w14:solidFill>
              <w14:schemeClr w14:val="tx1"/>
            </w14:solidFill>
          </w14:textFill>
        </w:rPr>
        <w:t>=235.8万t×93%=219.3万t</w:t>
      </w: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四、服务年限</w:t>
      </w:r>
    </w:p>
    <w:p>
      <w:pPr>
        <w:pStyle w:val="90"/>
        <w:snapToGrid w:val="0"/>
        <w:spacing w:line="360" w:lineRule="auto"/>
        <w:ind w:firstLine="480"/>
        <w:rPr>
          <w:rFonts w:hint="eastAsia"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工作面倾向宽180m,工作面可采的走向长度755m,工作面平均煤厚12.3m，放顶煤工作面回采率取93%，正规循环率按95%。工作面平均每个圆班割煤</w:t>
      </w:r>
      <w:r>
        <w:rPr>
          <w:rFonts w:hint="eastAsia" w:ascii="仿宋" w:hAnsi="仿宋" w:eastAsia="仿宋" w:cs="仿宋"/>
          <w:bCs w:val="0"/>
          <w:color w:val="000000" w:themeColor="text1"/>
          <w:sz w:val="24"/>
          <w:szCs w:val="24"/>
          <w:lang w:val="en-US" w:eastAsia="zh-CN"/>
          <w14:textFill>
            <w14:solidFill>
              <w14:schemeClr w14:val="tx1"/>
            </w14:solidFill>
          </w14:textFill>
        </w:rPr>
        <w:t>不超过3</w:t>
      </w:r>
      <w:r>
        <w:rPr>
          <w:rFonts w:hint="eastAsia" w:ascii="仿宋" w:hAnsi="仿宋" w:eastAsia="仿宋" w:cs="仿宋"/>
          <w:bCs w:val="0"/>
          <w:color w:val="000000" w:themeColor="text1"/>
          <w:sz w:val="24"/>
          <w:szCs w:val="24"/>
          <w14:textFill>
            <w14:solidFill>
              <w14:schemeClr w14:val="tx1"/>
            </w14:solidFill>
          </w14:textFill>
        </w:rPr>
        <w:t>刀，日推进</w:t>
      </w:r>
      <w:r>
        <w:rPr>
          <w:rFonts w:hint="eastAsia" w:ascii="仿宋" w:hAnsi="仿宋" w:eastAsia="仿宋" w:cs="仿宋"/>
          <w:bCs w:val="0"/>
          <w:color w:val="000000" w:themeColor="text1"/>
          <w:sz w:val="24"/>
          <w:szCs w:val="24"/>
          <w:lang w:val="en-US" w:eastAsia="zh-CN"/>
          <w14:textFill>
            <w14:solidFill>
              <w14:schemeClr w14:val="tx1"/>
            </w14:solidFill>
          </w14:textFill>
        </w:rPr>
        <w:t>2.4</w:t>
      </w:r>
      <w:r>
        <w:rPr>
          <w:rFonts w:hint="eastAsia" w:ascii="仿宋" w:hAnsi="仿宋" w:eastAsia="仿宋" w:cs="仿宋"/>
          <w:bCs w:val="0"/>
          <w:color w:val="000000" w:themeColor="text1"/>
          <w:sz w:val="24"/>
          <w:szCs w:val="24"/>
          <w14:textFill>
            <w14:solidFill>
              <w14:schemeClr w14:val="tx1"/>
            </w14:solidFill>
          </w14:textFill>
        </w:rPr>
        <w:t>m，每月按30天进行计算，则工作面生产能力为：</w:t>
      </w:r>
    </w:p>
    <w:p>
      <w:pPr>
        <w:pStyle w:val="90"/>
        <w:snapToGrid w:val="0"/>
        <w:spacing w:line="360" w:lineRule="auto"/>
        <w:ind w:firstLine="480"/>
        <w:rPr>
          <w:rFonts w:hint="eastAsia"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平均每刀煤的产量：180×0.8×</w:t>
      </w:r>
      <w:r>
        <w:rPr>
          <w:rFonts w:hint="eastAsia" w:ascii="仿宋" w:hAnsi="仿宋" w:eastAsia="仿宋" w:cs="仿宋"/>
          <w:bCs w:val="0"/>
          <w:color w:val="000000" w:themeColor="text1"/>
          <w:sz w:val="24"/>
          <w:szCs w:val="24"/>
          <w:lang w:val="en-US" w:eastAsia="zh-CN"/>
          <w14:textFill>
            <w14:solidFill>
              <w14:schemeClr w14:val="tx1"/>
            </w14:solidFill>
          </w14:textFill>
        </w:rPr>
        <w:t>12</w:t>
      </w:r>
      <w:r>
        <w:rPr>
          <w:rFonts w:hint="eastAsia" w:ascii="仿宋" w:hAnsi="仿宋" w:eastAsia="仿宋" w:cs="仿宋"/>
          <w:bCs w:val="0"/>
          <w:color w:val="000000" w:themeColor="text1"/>
          <w:sz w:val="24"/>
          <w:szCs w:val="24"/>
          <w14:textFill>
            <w14:solidFill>
              <w14:schemeClr w14:val="tx1"/>
            </w14:solidFill>
          </w14:textFill>
        </w:rPr>
        <w:t>×1.40×93%＝</w:t>
      </w:r>
      <w:r>
        <w:rPr>
          <w:rFonts w:hint="eastAsia" w:ascii="仿宋" w:hAnsi="仿宋" w:eastAsia="仿宋" w:cs="仿宋"/>
          <w:bCs w:val="0"/>
          <w:color w:val="000000" w:themeColor="text1"/>
          <w:sz w:val="24"/>
          <w:szCs w:val="24"/>
          <w:lang w:val="en-US" w:eastAsia="zh-CN"/>
          <w14:textFill>
            <w14:solidFill>
              <w14:schemeClr w14:val="tx1"/>
            </w14:solidFill>
          </w14:textFill>
        </w:rPr>
        <w:t>2249</w:t>
      </w:r>
      <w:r>
        <w:rPr>
          <w:rFonts w:hint="eastAsia" w:ascii="仿宋" w:hAnsi="仿宋" w:eastAsia="仿宋" w:cs="仿宋"/>
          <w:bCs w:val="0"/>
          <w:color w:val="000000" w:themeColor="text1"/>
          <w:sz w:val="24"/>
          <w:szCs w:val="24"/>
          <w14:textFill>
            <w14:solidFill>
              <w14:schemeClr w14:val="tx1"/>
            </w14:solidFill>
          </w14:textFill>
        </w:rPr>
        <w:t>（t）</w:t>
      </w:r>
    </w:p>
    <w:p>
      <w:pPr>
        <w:pStyle w:val="90"/>
        <w:snapToGrid w:val="0"/>
        <w:spacing w:line="360" w:lineRule="auto"/>
        <w:ind w:firstLine="480"/>
        <w:rPr>
          <w:rFonts w:hint="eastAsia"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日生产能力：</w:t>
      </w:r>
      <w:r>
        <w:rPr>
          <w:rFonts w:hint="eastAsia" w:ascii="仿宋" w:hAnsi="仿宋" w:eastAsia="仿宋" w:cs="仿宋"/>
          <w:bCs w:val="0"/>
          <w:color w:val="000000" w:themeColor="text1"/>
          <w:sz w:val="24"/>
          <w:szCs w:val="24"/>
          <w:lang w:val="en-US" w:eastAsia="zh-CN"/>
          <w14:textFill>
            <w14:solidFill>
              <w14:schemeClr w14:val="tx1"/>
            </w14:solidFill>
          </w14:textFill>
        </w:rPr>
        <w:t>2249</w:t>
      </w:r>
      <w:r>
        <w:rPr>
          <w:rFonts w:hint="eastAsia" w:ascii="仿宋" w:hAnsi="仿宋" w:eastAsia="仿宋" w:cs="仿宋"/>
          <w:bCs w:val="0"/>
          <w:color w:val="000000" w:themeColor="text1"/>
          <w:sz w:val="24"/>
          <w:szCs w:val="24"/>
          <w14:textFill>
            <w14:solidFill>
              <w14:schemeClr w14:val="tx1"/>
            </w14:solidFill>
          </w14:textFill>
        </w:rPr>
        <w:t>×</w:t>
      </w:r>
      <w:r>
        <w:rPr>
          <w:rFonts w:hint="eastAsia" w:ascii="仿宋" w:hAnsi="仿宋" w:eastAsia="仿宋" w:cs="仿宋"/>
          <w:bCs w:val="0"/>
          <w:color w:val="000000" w:themeColor="text1"/>
          <w:sz w:val="24"/>
          <w:szCs w:val="24"/>
          <w:lang w:val="en-US" w:eastAsia="zh-CN"/>
          <w14:textFill>
            <w14:solidFill>
              <w14:schemeClr w14:val="tx1"/>
            </w14:solidFill>
          </w14:textFill>
        </w:rPr>
        <w:t>3</w:t>
      </w:r>
      <w:r>
        <w:rPr>
          <w:rFonts w:hint="eastAsia" w:ascii="仿宋" w:hAnsi="仿宋" w:eastAsia="仿宋" w:cs="仿宋"/>
          <w:bCs w:val="0"/>
          <w:color w:val="000000" w:themeColor="text1"/>
          <w:sz w:val="24"/>
          <w:szCs w:val="24"/>
          <w14:textFill>
            <w14:solidFill>
              <w14:schemeClr w14:val="tx1"/>
            </w14:solidFill>
          </w14:textFill>
        </w:rPr>
        <w:t>＝</w:t>
      </w:r>
      <w:r>
        <w:rPr>
          <w:rFonts w:hint="eastAsia" w:ascii="仿宋" w:hAnsi="仿宋" w:eastAsia="仿宋" w:cs="仿宋"/>
          <w:bCs w:val="0"/>
          <w:color w:val="000000" w:themeColor="text1"/>
          <w:sz w:val="24"/>
          <w:szCs w:val="24"/>
          <w:lang w:val="en-US" w:eastAsia="zh-CN"/>
          <w14:textFill>
            <w14:solidFill>
              <w14:schemeClr w14:val="tx1"/>
            </w14:solidFill>
          </w14:textFill>
        </w:rPr>
        <w:t>6747</w:t>
      </w:r>
      <w:r>
        <w:rPr>
          <w:rFonts w:hint="eastAsia" w:ascii="仿宋" w:hAnsi="仿宋" w:eastAsia="仿宋" w:cs="仿宋"/>
          <w:bCs w:val="0"/>
          <w:color w:val="000000" w:themeColor="text1"/>
          <w:sz w:val="24"/>
          <w:szCs w:val="24"/>
          <w14:textFill>
            <w14:solidFill>
              <w14:schemeClr w14:val="tx1"/>
            </w14:solidFill>
          </w14:textFill>
        </w:rPr>
        <w:t>(t)</w:t>
      </w:r>
    </w:p>
    <w:p>
      <w:pPr>
        <w:pStyle w:val="90"/>
        <w:snapToGrid w:val="0"/>
        <w:spacing w:line="360" w:lineRule="auto"/>
        <w:ind w:firstLine="480"/>
        <w:rPr>
          <w:rFonts w:hint="eastAsia"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月产量：</w:t>
      </w:r>
      <w:r>
        <w:rPr>
          <w:rFonts w:hint="eastAsia" w:ascii="仿宋" w:hAnsi="仿宋" w:eastAsia="仿宋" w:cs="仿宋"/>
          <w:bCs w:val="0"/>
          <w:color w:val="000000" w:themeColor="text1"/>
          <w:sz w:val="24"/>
          <w:szCs w:val="24"/>
          <w:lang w:val="en-US" w:eastAsia="zh-CN"/>
          <w14:textFill>
            <w14:solidFill>
              <w14:schemeClr w14:val="tx1"/>
            </w14:solidFill>
          </w14:textFill>
        </w:rPr>
        <w:t>6747</w:t>
      </w:r>
      <w:r>
        <w:rPr>
          <w:rFonts w:hint="eastAsia" w:ascii="仿宋" w:hAnsi="仿宋" w:eastAsia="仿宋" w:cs="仿宋"/>
          <w:bCs w:val="0"/>
          <w:color w:val="000000" w:themeColor="text1"/>
          <w:sz w:val="24"/>
          <w:szCs w:val="24"/>
          <w14:textFill>
            <w14:solidFill>
              <w14:schemeClr w14:val="tx1"/>
            </w14:solidFill>
          </w14:textFill>
        </w:rPr>
        <w:t>×30×95%＝</w:t>
      </w:r>
      <w:r>
        <w:rPr>
          <w:rFonts w:hint="eastAsia" w:ascii="仿宋" w:hAnsi="仿宋" w:eastAsia="仿宋" w:cs="仿宋"/>
          <w:bCs w:val="0"/>
          <w:color w:val="000000" w:themeColor="text1"/>
          <w:sz w:val="24"/>
          <w:szCs w:val="24"/>
          <w:lang w:val="en-US" w:eastAsia="zh-CN"/>
          <w14:textFill>
            <w14:solidFill>
              <w14:schemeClr w14:val="tx1"/>
            </w14:solidFill>
          </w14:textFill>
        </w:rPr>
        <w:t>192289</w:t>
      </w:r>
      <w:r>
        <w:rPr>
          <w:rFonts w:hint="eastAsia" w:ascii="仿宋" w:hAnsi="仿宋" w:eastAsia="仿宋" w:cs="仿宋"/>
          <w:bCs w:val="0"/>
          <w:color w:val="000000" w:themeColor="text1"/>
          <w:sz w:val="24"/>
          <w:szCs w:val="24"/>
          <w14:textFill>
            <w14:solidFill>
              <w14:schemeClr w14:val="tx1"/>
            </w14:solidFill>
          </w14:textFill>
        </w:rPr>
        <w:t>（t)</w:t>
      </w:r>
    </w:p>
    <w:p>
      <w:pPr>
        <w:pStyle w:val="90"/>
        <w:snapToGrid w:val="0"/>
        <w:spacing w:line="360" w:lineRule="auto"/>
        <w:ind w:firstLine="480"/>
        <w:rPr>
          <w:rFonts w:hint="eastAsia"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工作面服务年限：2193000÷</w:t>
      </w:r>
      <w:r>
        <w:rPr>
          <w:rFonts w:hint="eastAsia" w:ascii="仿宋" w:hAnsi="仿宋" w:eastAsia="仿宋" w:cs="仿宋"/>
          <w:bCs w:val="0"/>
          <w:color w:val="000000" w:themeColor="text1"/>
          <w:sz w:val="24"/>
          <w:szCs w:val="24"/>
          <w:lang w:val="en-US" w:eastAsia="zh-CN"/>
          <w14:textFill>
            <w14:solidFill>
              <w14:schemeClr w14:val="tx1"/>
            </w14:solidFill>
          </w14:textFill>
        </w:rPr>
        <w:t>192289</w:t>
      </w:r>
      <w:r>
        <w:rPr>
          <w:rFonts w:hint="eastAsia" w:ascii="仿宋" w:hAnsi="仿宋" w:eastAsia="仿宋" w:cs="仿宋"/>
          <w:bCs w:val="0"/>
          <w:color w:val="000000" w:themeColor="text1"/>
          <w:sz w:val="24"/>
          <w:szCs w:val="24"/>
          <w14:textFill>
            <w14:solidFill>
              <w14:schemeClr w14:val="tx1"/>
            </w14:solidFill>
          </w14:textFill>
        </w:rPr>
        <w:t>=</w:t>
      </w:r>
      <w:r>
        <w:rPr>
          <w:rFonts w:hint="eastAsia" w:ascii="仿宋" w:hAnsi="仿宋" w:eastAsia="仿宋" w:cs="仿宋"/>
          <w:bCs w:val="0"/>
          <w:color w:val="000000" w:themeColor="text1"/>
          <w:sz w:val="24"/>
          <w:szCs w:val="24"/>
          <w:lang w:val="en-US" w:eastAsia="zh-CN"/>
          <w14:textFill>
            <w14:solidFill>
              <w14:schemeClr w14:val="tx1"/>
            </w14:solidFill>
          </w14:textFill>
        </w:rPr>
        <w:t>11.4</w:t>
      </w:r>
      <w:r>
        <w:rPr>
          <w:rFonts w:hint="eastAsia" w:ascii="仿宋" w:hAnsi="仿宋" w:eastAsia="仿宋" w:cs="仿宋"/>
          <w:bCs w:val="0"/>
          <w:color w:val="000000" w:themeColor="text1"/>
          <w:sz w:val="24"/>
          <w:szCs w:val="24"/>
          <w14:textFill>
            <w14:solidFill>
              <w14:schemeClr w14:val="tx1"/>
            </w14:solidFill>
          </w14:textFill>
        </w:rPr>
        <w:t>（月）</w:t>
      </w:r>
    </w:p>
    <w:p>
      <w:pPr>
        <w:snapToGrid w:val="0"/>
        <w:ind w:firstLine="482"/>
        <w:rPr>
          <w:rFonts w:ascii="仿宋" w:hAnsi="仿宋" w:eastAsia="仿宋" w:cs="仿宋_GB2312"/>
          <w:b/>
          <w:color w:val="000000" w:themeColor="text1"/>
          <w:kern w:val="0"/>
          <w:sz w:val="30"/>
          <w:szCs w:val="30"/>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附图1：1303工作面综合柱状图</w:t>
      </w:r>
      <w:bookmarkEnd w:id="1"/>
      <w:bookmarkEnd w:id="2"/>
      <w:bookmarkEnd w:id="3"/>
      <w:bookmarkEnd w:id="4"/>
      <w:bookmarkStart w:id="177" w:name="_Toc27209"/>
      <w:bookmarkStart w:id="178" w:name="_Toc496212751"/>
    </w:p>
    <w:p>
      <w:pPr>
        <w:ind w:firstLine="420"/>
        <w:rPr>
          <w:color w:val="FF0000"/>
        </w:rPr>
      </w:pPr>
    </w:p>
    <w:p>
      <w:pPr>
        <w:pStyle w:val="13"/>
        <w:ind w:firstLine="600"/>
      </w:pPr>
    </w:p>
    <w:p>
      <w:pPr>
        <w:pStyle w:val="3"/>
        <w:keepNext w:val="0"/>
        <w:keepLines w:val="0"/>
        <w:snapToGrid w:val="0"/>
        <w:spacing w:before="0" w:after="0"/>
        <w:ind w:firstLine="0" w:firstLineChars="0"/>
        <w:rPr>
          <w:rFonts w:ascii="仿宋" w:hAnsi="仿宋" w:eastAsia="仿宋" w:cs="仿宋_GB2312"/>
          <w:color w:val="000000" w:themeColor="text1"/>
          <w:sz w:val="30"/>
          <w:szCs w:val="30"/>
          <w14:textFill>
            <w14:solidFill>
              <w14:schemeClr w14:val="tx1"/>
            </w14:solidFill>
          </w14:textFill>
        </w:rPr>
      </w:pPr>
      <w:r>
        <w:rPr>
          <w:rFonts w:hint="eastAsia" w:ascii="黑体" w:hAnsi="黑体" w:eastAsia="黑体" w:cs="仿宋_GB2312"/>
          <w:color w:val="000000" w:themeColor="text1"/>
          <w:kern w:val="0"/>
          <w:sz w:val="30"/>
          <w:szCs w:val="30"/>
          <w14:textFill>
            <w14:solidFill>
              <w14:schemeClr w14:val="tx1"/>
            </w14:solidFill>
          </w14:textFill>
        </w:rPr>
        <w:t>第二章   采煤</w:t>
      </w:r>
      <w:bookmarkEnd w:id="177"/>
      <w:r>
        <w:rPr>
          <w:rFonts w:hint="eastAsia" w:ascii="黑体" w:hAnsi="黑体" w:eastAsia="黑体" w:cs="仿宋_GB2312"/>
          <w:color w:val="000000" w:themeColor="text1"/>
          <w:kern w:val="0"/>
          <w:sz w:val="30"/>
          <w:szCs w:val="30"/>
          <w14:textFill>
            <w14:solidFill>
              <w14:schemeClr w14:val="tx1"/>
            </w14:solidFill>
          </w14:textFill>
        </w:rPr>
        <w:t>方法</w:t>
      </w:r>
      <w:bookmarkEnd w:id="178"/>
    </w:p>
    <w:p>
      <w:pPr>
        <w:pStyle w:val="4"/>
        <w:keepNext w:val="0"/>
        <w:keepLines w:val="0"/>
        <w:snapToGrid w:val="0"/>
        <w:spacing w:before="0" w:after="0"/>
        <w:ind w:firstLine="0" w:firstLineChars="0"/>
        <w:rPr>
          <w:rFonts w:ascii="黑体" w:hAnsi="黑体" w:eastAsia="黑体" w:cs="黑体"/>
          <w:color w:val="000000" w:themeColor="text1"/>
          <w:sz w:val="28"/>
          <w:szCs w:val="28"/>
          <w14:textFill>
            <w14:solidFill>
              <w14:schemeClr w14:val="tx1"/>
            </w14:solidFill>
          </w14:textFill>
        </w:rPr>
      </w:pPr>
      <w:bookmarkStart w:id="179" w:name="_Toc496212752"/>
      <w:r>
        <w:rPr>
          <w:rFonts w:hint="eastAsia" w:ascii="黑体" w:hAnsi="黑体" w:eastAsia="黑体" w:cs="黑体"/>
          <w:color w:val="000000" w:themeColor="text1"/>
          <w:sz w:val="28"/>
          <w:szCs w:val="28"/>
          <w14:textFill>
            <w14:solidFill>
              <w14:schemeClr w14:val="tx1"/>
            </w14:solidFill>
          </w14:textFill>
        </w:rPr>
        <w:t>第一节   巷道布置</w:t>
      </w:r>
      <w:bookmarkEnd w:id="179"/>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一、巷道布置概况</w:t>
      </w:r>
    </w:p>
    <w:p>
      <w:pPr>
        <w:pStyle w:val="90"/>
        <w:snapToGrid w:val="0"/>
        <w:spacing w:line="360" w:lineRule="auto"/>
        <w:ind w:firstLine="48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130</w:t>
      </w: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工作面设计为双巷布置方式,即130</w:t>
      </w: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工作面机巷、130</w:t>
      </w: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工作面风巷，主要用于行人、运输、排水、进回风、瓦斯抽放等。130</w:t>
      </w: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工作面机巷经130</w:t>
      </w: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机巷溜煤眼与北翼带式</w:t>
      </w:r>
      <w:r>
        <w:rPr>
          <w:rFonts w:ascii="仿宋" w:hAnsi="仿宋" w:eastAsia="仿宋"/>
          <w:color w:val="000000" w:themeColor="text1"/>
          <w:sz w:val="24"/>
          <w:szCs w:val="24"/>
          <w14:textFill>
            <w14:solidFill>
              <w14:schemeClr w14:val="tx1"/>
            </w14:solidFill>
          </w14:textFill>
        </w:rPr>
        <w:t>输送机大巷胶带机</w:t>
      </w:r>
      <w:r>
        <w:rPr>
          <w:rFonts w:hint="eastAsia" w:ascii="仿宋" w:hAnsi="仿宋" w:eastAsia="仿宋"/>
          <w:color w:val="000000" w:themeColor="text1"/>
          <w:sz w:val="24"/>
          <w:szCs w:val="24"/>
          <w14:textFill>
            <w14:solidFill>
              <w14:schemeClr w14:val="tx1"/>
            </w14:solidFill>
          </w14:textFill>
        </w:rPr>
        <w:t>相连接，机巷胶带机经130</w:t>
      </w: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机巷溜煤眼落到北翼带式</w:t>
      </w:r>
      <w:r>
        <w:rPr>
          <w:rFonts w:ascii="仿宋" w:hAnsi="仿宋" w:eastAsia="仿宋"/>
          <w:color w:val="000000" w:themeColor="text1"/>
          <w:sz w:val="24"/>
          <w:szCs w:val="24"/>
          <w14:textFill>
            <w14:solidFill>
              <w14:schemeClr w14:val="tx1"/>
            </w14:solidFill>
          </w14:textFill>
        </w:rPr>
        <w:t>输送机大巷胶带机</w:t>
      </w:r>
      <w:r>
        <w:rPr>
          <w:rFonts w:hint="eastAsia" w:ascii="仿宋" w:hAnsi="仿宋" w:eastAsia="仿宋"/>
          <w:color w:val="000000" w:themeColor="text1"/>
          <w:sz w:val="24"/>
          <w:szCs w:val="24"/>
          <w14:textFill>
            <w14:solidFill>
              <w14:schemeClr w14:val="tx1"/>
            </w14:solidFill>
          </w14:textFill>
        </w:rPr>
        <w:t>上，再</w:t>
      </w:r>
      <w:r>
        <w:rPr>
          <w:rFonts w:ascii="仿宋" w:hAnsi="仿宋" w:eastAsia="仿宋"/>
          <w:color w:val="000000" w:themeColor="text1"/>
          <w:sz w:val="24"/>
          <w:szCs w:val="24"/>
          <w14:textFill>
            <w14:solidFill>
              <w14:schemeClr w14:val="tx1"/>
            </w14:solidFill>
          </w14:textFill>
        </w:rPr>
        <w:t>经过井底</w:t>
      </w:r>
      <w:r>
        <w:rPr>
          <w:rFonts w:hint="eastAsia" w:ascii="仿宋" w:hAnsi="仿宋" w:eastAsia="仿宋"/>
          <w:color w:val="000000" w:themeColor="text1"/>
          <w:sz w:val="24"/>
          <w:szCs w:val="24"/>
          <w14:textFill>
            <w14:solidFill>
              <w14:schemeClr w14:val="tx1"/>
            </w14:solidFill>
          </w14:textFill>
        </w:rPr>
        <w:t>煤仓</w:t>
      </w:r>
      <w:r>
        <w:rPr>
          <w:rFonts w:ascii="仿宋" w:hAnsi="仿宋" w:eastAsia="仿宋"/>
          <w:color w:val="000000" w:themeColor="text1"/>
          <w:sz w:val="24"/>
          <w:szCs w:val="24"/>
          <w14:textFill>
            <w14:solidFill>
              <w14:schemeClr w14:val="tx1"/>
            </w14:solidFill>
          </w14:textFill>
        </w:rPr>
        <w:t>和主斜井运输到地面，</w:t>
      </w:r>
      <w:r>
        <w:rPr>
          <w:rFonts w:hint="eastAsia" w:ascii="仿宋" w:hAnsi="仿宋" w:eastAsia="仿宋"/>
          <w:color w:val="000000" w:themeColor="text1"/>
          <w:sz w:val="24"/>
          <w:szCs w:val="24"/>
          <w14:textFill>
            <w14:solidFill>
              <w14:schemeClr w14:val="tx1"/>
            </w14:solidFill>
          </w14:textFill>
        </w:rPr>
        <w:t xml:space="preserve"> 130</w:t>
      </w: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工作面风</w:t>
      </w:r>
      <w:r>
        <w:rPr>
          <w:rFonts w:ascii="仿宋" w:hAnsi="仿宋" w:eastAsia="仿宋"/>
          <w:color w:val="000000" w:themeColor="text1"/>
          <w:sz w:val="24"/>
          <w:szCs w:val="24"/>
          <w14:textFill>
            <w14:solidFill>
              <w14:schemeClr w14:val="tx1"/>
            </w14:solidFill>
          </w14:textFill>
        </w:rPr>
        <w:t>巷</w:t>
      </w:r>
      <w:r>
        <w:rPr>
          <w:rFonts w:hint="eastAsia" w:ascii="仿宋" w:hAnsi="仿宋" w:eastAsia="仿宋"/>
          <w:color w:val="000000" w:themeColor="text1"/>
          <w:sz w:val="24"/>
          <w:szCs w:val="24"/>
          <w14:textFill>
            <w14:solidFill>
              <w14:schemeClr w14:val="tx1"/>
            </w14:solidFill>
          </w14:textFill>
        </w:rPr>
        <w:t>与130</w:t>
      </w:r>
      <w:r>
        <w:rPr>
          <w:rFonts w:ascii="仿宋" w:hAnsi="仿宋" w:eastAsia="仿宋"/>
          <w:color w:val="000000" w:themeColor="text1"/>
          <w:sz w:val="24"/>
          <w:szCs w:val="24"/>
          <w14:textFill>
            <w14:solidFill>
              <w14:schemeClr w14:val="tx1"/>
            </w14:solidFill>
          </w14:textFill>
        </w:rPr>
        <w:t>5</w:t>
      </w:r>
      <w:r>
        <w:rPr>
          <w:rFonts w:hint="eastAsia" w:ascii="仿宋" w:hAnsi="仿宋" w:eastAsia="仿宋"/>
          <w:color w:val="000000" w:themeColor="text1"/>
          <w:sz w:val="24"/>
          <w:szCs w:val="24"/>
          <w14:textFill>
            <w14:solidFill>
              <w14:schemeClr w14:val="tx1"/>
            </w14:solidFill>
          </w14:textFill>
        </w:rPr>
        <w:t>机联巷、北翼</w:t>
      </w:r>
      <w:r>
        <w:rPr>
          <w:rFonts w:ascii="仿宋" w:hAnsi="仿宋" w:eastAsia="仿宋"/>
          <w:color w:val="000000" w:themeColor="text1"/>
          <w:sz w:val="24"/>
          <w:szCs w:val="24"/>
          <w14:textFill>
            <w14:solidFill>
              <w14:schemeClr w14:val="tx1"/>
            </w14:solidFill>
          </w14:textFill>
        </w:rPr>
        <w:t>辅助运输大巷</w:t>
      </w:r>
      <w:r>
        <w:rPr>
          <w:rFonts w:hint="eastAsia" w:ascii="仿宋" w:hAnsi="仿宋" w:eastAsia="仿宋"/>
          <w:color w:val="000000" w:themeColor="text1"/>
          <w:sz w:val="24"/>
          <w:szCs w:val="24"/>
          <w14:textFill>
            <w14:solidFill>
              <w14:schemeClr w14:val="tx1"/>
            </w14:solidFill>
          </w14:textFill>
        </w:rPr>
        <w:t>铺设轨道相接，形成辅助运输系统；130</w:t>
      </w: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工作面机巷经一采区第二中部车场与北翼辅助运输大巷相连接</w:t>
      </w:r>
      <w:r>
        <w:rPr>
          <w:rFonts w:hint="eastAsia" w:ascii="仿宋" w:hAnsi="仿宋" w:eastAsia="仿宋" w:cs="仿宋"/>
          <w:color w:val="000000" w:themeColor="text1"/>
          <w:sz w:val="24"/>
          <w:szCs w:val="24"/>
          <w14:textFill>
            <w14:solidFill>
              <w14:schemeClr w14:val="tx1"/>
            </w14:solidFill>
          </w14:textFill>
        </w:rPr>
        <w:t>。</w:t>
      </w: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二、巷道布置情况</w:t>
      </w:r>
    </w:p>
    <w:p>
      <w:pPr>
        <w:snapToGrid w:val="0"/>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1、机巷</w:t>
      </w:r>
      <w:r>
        <w:rPr>
          <w:rFonts w:ascii="宋体" w:hAnsi="宋体" w:eastAsia="宋体" w:cs="宋体"/>
          <w:color w:val="000000" w:themeColor="text1"/>
          <w:sz w:val="24"/>
          <w14:textFill>
            <w14:solidFill>
              <w14:schemeClr w14:val="tx1"/>
            </w14:solidFill>
          </w14:textFill>
        </w:rPr>
        <w:br w:type="textWrapping"/>
      </w:r>
      <w:r>
        <w:rPr>
          <w:rFonts w:hint="eastAsia" w:ascii="仿宋" w:hAnsi="仿宋" w:eastAsia="仿宋" w:cs="仿宋"/>
          <w:bCs/>
          <w:color w:val="000000" w:themeColor="text1"/>
          <w:sz w:val="24"/>
          <w14:textFill>
            <w14:solidFill>
              <w14:schemeClr w14:val="tx1"/>
            </w14:solidFill>
          </w14:textFill>
        </w:rPr>
        <w:t>（1）支护形式：矩形断面，采用锚网梁索支护。</w:t>
      </w:r>
      <w:r>
        <w:rPr>
          <w:rFonts w:hint="eastAsia" w:ascii="仿宋" w:hAnsi="仿宋" w:eastAsia="仿宋" w:cs="仿宋"/>
          <w:bCs/>
          <w:color w:val="000000" w:themeColor="text1"/>
          <w:sz w:val="24"/>
          <w14:textFill>
            <w14:solidFill>
              <w14:schemeClr w14:val="tx1"/>
            </w14:solidFill>
          </w14:textFill>
        </w:rPr>
        <w:br w:type="textWrapping"/>
      </w:r>
      <w:r>
        <w:rPr>
          <w:rFonts w:hint="eastAsia" w:ascii="仿宋" w:hAnsi="仿宋" w:eastAsia="仿宋" w:cs="仿宋"/>
          <w:bCs/>
          <w:color w:val="000000" w:themeColor="text1"/>
          <w:sz w:val="24"/>
          <w14:textFill>
            <w14:solidFill>
              <w14:schemeClr w14:val="tx1"/>
            </w14:solidFill>
          </w14:textFill>
        </w:rPr>
        <w:t>（2）掘进断面规格：</w:t>
      </w:r>
      <w:r>
        <w:rPr>
          <w:rFonts w:hint="eastAsia" w:ascii="仿宋" w:hAnsi="仿宋" w:eastAsia="仿宋" w:cs="仿宋"/>
          <w:bCs/>
          <w:color w:val="000000" w:themeColor="text1"/>
          <w:sz w:val="24"/>
          <w14:textFill>
            <w14:solidFill>
              <w14:schemeClr w14:val="tx1"/>
            </w14:solidFill>
          </w14:textFill>
        </w:rPr>
        <w:br w:type="textWrapping"/>
      </w:r>
      <w:r>
        <w:rPr>
          <w:rFonts w:hint="eastAsia" w:ascii="仿宋" w:hAnsi="仿宋" w:eastAsia="仿宋" w:cs="仿宋"/>
          <w:bCs/>
          <w:color w:val="000000" w:themeColor="text1"/>
          <w:sz w:val="24"/>
          <w14:textFill>
            <w14:solidFill>
              <w14:schemeClr w14:val="tx1"/>
            </w14:solidFill>
          </w14:textFill>
        </w:rPr>
        <w:t>净断面：B×H=5500mm(宽)×4000mm(高)，S净=22m²。 </w:t>
      </w:r>
      <w:r>
        <w:rPr>
          <w:rFonts w:hint="eastAsia" w:ascii="仿宋" w:hAnsi="仿宋" w:eastAsia="仿宋" w:cs="仿宋"/>
          <w:bCs/>
          <w:color w:val="0000FF"/>
          <w:sz w:val="24"/>
        </w:rPr>
        <w:br w:type="textWrapping"/>
      </w:r>
      <w:r>
        <w:rPr>
          <w:rFonts w:hint="eastAsia" w:ascii="仿宋" w:hAnsi="仿宋" w:eastAsia="仿宋" w:cs="仿宋"/>
          <w:bCs/>
          <w:color w:val="000000" w:themeColor="text1"/>
          <w:sz w:val="24"/>
          <w14:textFill>
            <w14:solidFill>
              <w14:schemeClr w14:val="tx1"/>
            </w14:solidFill>
          </w14:textFill>
        </w:rPr>
        <w:t>（3）巷道用途：主要用于工作面进风、原煤运输、无极绳辅助运输、行人等。</w:t>
      </w:r>
      <w:r>
        <w:rPr>
          <w:rFonts w:hint="eastAsia" w:ascii="仿宋" w:hAnsi="仿宋" w:eastAsia="仿宋" w:cs="仿宋"/>
          <w:bCs/>
          <w:color w:val="000000" w:themeColor="text1"/>
          <w:sz w:val="24"/>
          <w14:textFill>
            <w14:solidFill>
              <w14:schemeClr w14:val="tx1"/>
            </w14:solidFill>
          </w14:textFill>
        </w:rPr>
        <w:br w:type="textWrapping"/>
      </w:r>
      <w:r>
        <w:rPr>
          <w:rFonts w:hint="eastAsia" w:ascii="仿宋" w:hAnsi="仿宋" w:eastAsia="仿宋" w:cs="仿宋"/>
          <w:b/>
          <w:color w:val="000000" w:themeColor="text1"/>
          <w:sz w:val="24"/>
          <w14:textFill>
            <w14:solidFill>
              <w14:schemeClr w14:val="tx1"/>
            </w14:solidFill>
          </w14:textFill>
        </w:rPr>
        <w:t>2、风巷</w:t>
      </w:r>
      <w:r>
        <w:rPr>
          <w:rFonts w:ascii="宋体" w:hAnsi="宋体" w:eastAsia="宋体" w:cs="宋体"/>
          <w:color w:val="000000" w:themeColor="text1"/>
          <w:sz w:val="24"/>
          <w14:textFill>
            <w14:solidFill>
              <w14:schemeClr w14:val="tx1"/>
            </w14:solidFill>
          </w14:textFill>
        </w:rPr>
        <w:br w:type="textWrapping"/>
      </w:r>
      <w:r>
        <w:rPr>
          <w:rFonts w:hint="eastAsia" w:ascii="仿宋" w:hAnsi="仿宋" w:eastAsia="仿宋" w:cs="仿宋"/>
          <w:bCs/>
          <w:color w:val="000000" w:themeColor="text1"/>
          <w:sz w:val="24"/>
          <w14:textFill>
            <w14:solidFill>
              <w14:schemeClr w14:val="tx1"/>
            </w14:solidFill>
          </w14:textFill>
        </w:rPr>
        <w:t>（1）支护形式：矩形断面，采用锚网梁索支护。</w:t>
      </w:r>
      <w:r>
        <w:rPr>
          <w:rFonts w:hint="eastAsia" w:ascii="仿宋" w:hAnsi="仿宋" w:eastAsia="仿宋" w:cs="仿宋"/>
          <w:bCs/>
          <w:color w:val="000000" w:themeColor="text1"/>
          <w:sz w:val="24"/>
          <w14:textFill>
            <w14:solidFill>
              <w14:schemeClr w14:val="tx1"/>
            </w14:solidFill>
          </w14:textFill>
        </w:rPr>
        <w:br w:type="textWrapping"/>
      </w:r>
      <w:r>
        <w:rPr>
          <w:rFonts w:hint="eastAsia" w:ascii="仿宋" w:hAnsi="仿宋" w:eastAsia="仿宋" w:cs="仿宋"/>
          <w:bCs/>
          <w:color w:val="000000" w:themeColor="text1"/>
          <w:sz w:val="24"/>
          <w14:textFill>
            <w14:solidFill>
              <w14:schemeClr w14:val="tx1"/>
            </w14:solidFill>
          </w14:textFill>
        </w:rPr>
        <w:t>（2）掘进断面规格：</w:t>
      </w:r>
      <w:r>
        <w:rPr>
          <w:rFonts w:hint="eastAsia" w:ascii="仿宋" w:hAnsi="仿宋" w:eastAsia="仿宋" w:cs="仿宋"/>
          <w:bCs/>
          <w:color w:val="000000" w:themeColor="text1"/>
          <w:sz w:val="24"/>
          <w14:textFill>
            <w14:solidFill>
              <w14:schemeClr w14:val="tx1"/>
            </w14:solidFill>
          </w14:textFill>
        </w:rPr>
        <w:br w:type="textWrapping"/>
      </w:r>
      <w:r>
        <w:rPr>
          <w:rFonts w:hint="eastAsia" w:ascii="仿宋" w:hAnsi="仿宋" w:eastAsia="仿宋" w:cs="仿宋"/>
          <w:bCs/>
          <w:color w:val="000000" w:themeColor="text1"/>
          <w:sz w:val="24"/>
          <w14:textFill>
            <w14:solidFill>
              <w14:schemeClr w14:val="tx1"/>
            </w14:solidFill>
          </w14:textFill>
        </w:rPr>
        <w:t>净断面：B×H=5</w:t>
      </w:r>
      <w:r>
        <w:rPr>
          <w:rFonts w:hint="eastAsia" w:ascii="仿宋" w:hAnsi="仿宋" w:eastAsia="仿宋" w:cs="仿宋"/>
          <w:bCs/>
          <w:color w:val="000000" w:themeColor="text1"/>
          <w:sz w:val="24"/>
          <w:lang w:val="en-US" w:eastAsia="zh-CN"/>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00mm(宽)×4000mm(高)，S净=2</w:t>
      </w:r>
      <w:r>
        <w:rPr>
          <w:rFonts w:hint="eastAsia" w:ascii="仿宋" w:hAnsi="仿宋" w:eastAsia="仿宋" w:cs="仿宋"/>
          <w:bCs/>
          <w:color w:val="000000" w:themeColor="text1"/>
          <w:sz w:val="24"/>
          <w:lang w:val="en-US" w:eastAsia="zh-CN"/>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m</w:t>
      </w:r>
      <w:r>
        <w:rPr>
          <w:rFonts w:hint="eastAsia" w:ascii="仿宋" w:hAnsi="仿宋" w:eastAsia="仿宋" w:cs="仿宋"/>
          <w:bCs/>
          <w:color w:val="000000" w:themeColor="text1"/>
          <w:sz w:val="24"/>
          <w:vertAlign w:val="superscript"/>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br w:type="textWrapping"/>
      </w:r>
      <w:r>
        <w:rPr>
          <w:rFonts w:hint="eastAsia" w:ascii="仿宋" w:hAnsi="仿宋" w:eastAsia="仿宋" w:cs="仿宋"/>
          <w:bCs/>
          <w:color w:val="000000" w:themeColor="text1"/>
          <w:sz w:val="24"/>
          <w14:textFill>
            <w14:solidFill>
              <w14:schemeClr w14:val="tx1"/>
            </w14:solidFill>
          </w14:textFill>
        </w:rPr>
        <w:t>（3）巷道用途：主要用于工作面回风、行人、单轨吊辅助运输等。</w:t>
      </w:r>
      <w:r>
        <w:rPr>
          <w:rFonts w:hint="eastAsia" w:ascii="仿宋" w:hAnsi="仿宋" w:eastAsia="仿宋" w:cs="仿宋"/>
          <w:bCs/>
          <w:color w:val="000000" w:themeColor="text1"/>
          <w:sz w:val="24"/>
          <w14:textFill>
            <w14:solidFill>
              <w14:schemeClr w14:val="tx1"/>
            </w14:solidFill>
          </w14:textFill>
        </w:rPr>
        <w:br w:type="textWrapping"/>
      </w:r>
      <w:r>
        <w:rPr>
          <w:rFonts w:hint="eastAsia" w:ascii="仿宋" w:hAnsi="仿宋" w:eastAsia="仿宋" w:cs="仿宋"/>
          <w:b/>
          <w:color w:val="000000" w:themeColor="text1"/>
          <w:sz w:val="24"/>
          <w14:textFill>
            <w14:solidFill>
              <w14:schemeClr w14:val="tx1"/>
            </w14:solidFill>
          </w14:textFill>
        </w:rPr>
        <w:t>3、切眼</w:t>
      </w:r>
      <w:r>
        <w:rPr>
          <w:rFonts w:ascii="宋体" w:hAnsi="宋体" w:eastAsia="宋体" w:cs="宋体"/>
          <w:color w:val="000000" w:themeColor="text1"/>
          <w:sz w:val="24"/>
          <w14:textFill>
            <w14:solidFill>
              <w14:schemeClr w14:val="tx1"/>
            </w14:solidFill>
          </w14:textFill>
        </w:rPr>
        <w:br w:type="textWrapping"/>
      </w:r>
      <w:r>
        <w:rPr>
          <w:rFonts w:hint="eastAsia" w:ascii="仿宋" w:hAnsi="仿宋" w:eastAsia="仿宋" w:cs="仿宋"/>
          <w:bCs/>
          <w:color w:val="000000" w:themeColor="text1"/>
          <w:sz w:val="24"/>
          <w14:textFill>
            <w14:solidFill>
              <w14:schemeClr w14:val="tx1"/>
            </w14:solidFill>
          </w14:textFill>
        </w:rPr>
        <w:t>（1）支护形式：矩形断面，采用锚网梁索支护。</w:t>
      </w:r>
      <w:r>
        <w:rPr>
          <w:rFonts w:hint="eastAsia" w:ascii="仿宋" w:hAnsi="仿宋" w:eastAsia="仿宋" w:cs="仿宋"/>
          <w:bCs/>
          <w:color w:val="000000" w:themeColor="text1"/>
          <w:sz w:val="24"/>
          <w14:textFill>
            <w14:solidFill>
              <w14:schemeClr w14:val="tx1"/>
            </w14:solidFill>
          </w14:textFill>
        </w:rPr>
        <w:br w:type="textWrapping"/>
      </w:r>
      <w:r>
        <w:rPr>
          <w:rFonts w:hint="eastAsia" w:ascii="仿宋" w:hAnsi="仿宋" w:eastAsia="仿宋" w:cs="仿宋"/>
          <w:bCs/>
          <w:color w:val="000000" w:themeColor="text1"/>
          <w:sz w:val="24"/>
          <w14:textFill>
            <w14:solidFill>
              <w14:schemeClr w14:val="tx1"/>
            </w14:solidFill>
          </w14:textFill>
        </w:rPr>
        <w:t>（2）切眼掘进净断面规格：B×H=9000mm(宽)×3300mm(高)，S净=31.5m²；煤机大棚段净断面规格：净长×净深×净高=20.0×10.0×3.5m。</w:t>
      </w:r>
    </w:p>
    <w:p>
      <w:pPr>
        <w:snapToGrid w:val="0"/>
        <w:ind w:firstLine="482"/>
        <w:rPr>
          <w:rFonts w:ascii="黑体" w:hAnsi="黑体" w:eastAsia="黑体" w:cs="黑体"/>
          <w:b/>
          <w:bCs/>
          <w:color w:val="000000" w:themeColor="text1"/>
          <w:sz w:val="28"/>
          <w:szCs w:val="28"/>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附图2：1303工作面及巷道布置图</w:t>
      </w:r>
      <w:bookmarkStart w:id="180" w:name="_Toc27520"/>
      <w:bookmarkStart w:id="181" w:name="_Toc496212753"/>
    </w:p>
    <w:p>
      <w:pPr>
        <w:snapToGrid w:val="0"/>
        <w:spacing w:line="440" w:lineRule="exact"/>
        <w:ind w:firstLine="0" w:firstLineChars="0"/>
        <w:rPr>
          <w:rFonts w:ascii="黑体" w:hAnsi="黑体" w:eastAsia="黑体" w:cs="黑体"/>
          <w:b/>
          <w:bCs/>
          <w:color w:val="FF0000"/>
          <w:sz w:val="24"/>
        </w:rPr>
      </w:pPr>
    </w:p>
    <w:p>
      <w:pPr>
        <w:snapToGrid w:val="0"/>
        <w:spacing w:line="440" w:lineRule="exact"/>
        <w:ind w:firstLine="0" w:firstLineChars="0"/>
        <w:jc w:val="center"/>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b/>
          <w:bCs/>
          <w:color w:val="000000" w:themeColor="text1"/>
          <w:sz w:val="28"/>
          <w:szCs w:val="28"/>
          <w14:textFill>
            <w14:solidFill>
              <w14:schemeClr w14:val="tx1"/>
            </w14:solidFill>
          </w14:textFill>
        </w:rPr>
        <w:t>第二节  采煤</w:t>
      </w:r>
      <w:bookmarkEnd w:id="180"/>
      <w:r>
        <w:rPr>
          <w:rFonts w:hint="eastAsia" w:ascii="黑体" w:hAnsi="黑体" w:eastAsia="黑体" w:cs="黑体"/>
          <w:b/>
          <w:bCs/>
          <w:color w:val="000000" w:themeColor="text1"/>
          <w:sz w:val="28"/>
          <w:szCs w:val="28"/>
          <w14:textFill>
            <w14:solidFill>
              <w14:schemeClr w14:val="tx1"/>
            </w14:solidFill>
          </w14:textFill>
        </w:rPr>
        <w:t>工艺</w:t>
      </w:r>
      <w:bookmarkEnd w:id="181"/>
    </w:p>
    <w:p>
      <w:pPr>
        <w:pStyle w:val="60"/>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一、采煤工艺</w:t>
      </w:r>
    </w:p>
    <w:p>
      <w:pPr>
        <w:snapToGrid w:val="0"/>
        <w:spacing w:line="440" w:lineRule="exac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bookmarkStart w:id="182" w:name="OLE_LINK1"/>
      <w:r>
        <w:rPr>
          <w:rFonts w:hint="eastAsia" w:ascii="仿宋" w:hAnsi="仿宋" w:eastAsia="仿宋" w:cs="仿宋"/>
          <w:color w:val="000000" w:themeColor="text1"/>
          <w:sz w:val="24"/>
          <w14:textFill>
            <w14:solidFill>
              <w14:schemeClr w14:val="tx1"/>
            </w14:solidFill>
          </w14:textFill>
        </w:rPr>
        <w:t>采用单一煤层走向长壁后退式综合机械化放顶煤采煤工艺开采。</w:t>
      </w:r>
      <w:bookmarkEnd w:id="182"/>
    </w:p>
    <w:p>
      <w:pPr>
        <w:pStyle w:val="60"/>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二、工艺流程</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落煤→装煤→运煤→支护→采空区处理，具体操作程序：采煤机割煤→移架→推前部运输机→放顶煤→拉后部运输机→拉转载机。</w:t>
      </w:r>
    </w:p>
    <w:p>
      <w:pPr>
        <w:pStyle w:val="60"/>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1、割煤</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采煤机选用MG650/1510-WD型双滚筒电牵引采煤机，前滚筒割顶煤，后滚筒割底煤,端部斜切进刀，每割一刀，支架、前溜、后部运输机向前推移一个步距0.8m，完成一次作业循环。</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本工作面采用端头斜切进刀割三角煤的方式，双向割煤，往返一次进两刀，具体如下，见图1：</w:t>
      </w:r>
    </w:p>
    <w:p>
      <w:pPr>
        <w:snapToGrid w:val="0"/>
        <w:spacing w:line="440" w:lineRule="exac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（1）采煤机割煤至工作面端头时，依次移架，并将前运机推移至煤壁；</w:t>
      </w:r>
    </w:p>
    <w:p>
      <w:pPr>
        <w:snapToGrid w:val="0"/>
        <w:spacing w:line="440" w:lineRule="exac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（2）调换滚筒上下位置，反向牵引，通过前运机弯曲段，然后将前运机推移至平直状态；</w:t>
      </w:r>
    </w:p>
    <w:p>
      <w:pPr>
        <w:snapToGrid w:val="0"/>
        <w:spacing w:line="440" w:lineRule="exac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（3）重新返刀割掉端头处三角煤；</w:t>
      </w:r>
    </w:p>
    <w:p>
      <w:pPr>
        <w:snapToGrid w:val="0"/>
        <w:spacing w:line="440" w:lineRule="exac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（4）采煤机空机返回，进入正常割煤状态，割煤结束后煤机必须滚筒落地。</w:t>
      </w:r>
    </w:p>
    <w:p>
      <w:pPr>
        <w:pStyle w:val="12"/>
        <w:snapToGrid w:val="0"/>
        <w:spacing w:after="0"/>
        <w:ind w:firstLine="0" w:firstLineChars="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FF0000"/>
          <w:sz w:val="24"/>
        </w:rPr>
        <w:object>
          <v:shape id="_x0000_i1025" o:spt="75" type="#_x0000_t75" style="height:199.8pt;width:434.55pt;" o:ole="t" filled="f" o:preferrelative="t" stroked="f" coordsize="21600,21600">
            <v:path/>
            <v:fill on="f" focussize="0,0"/>
            <v:stroke on="f"/>
            <v:imagedata r:id="rId23" cropleft="14069f" croptop="15946f" cropright="30652f" cropbottom="34303f" o:title=""/>
            <o:lock v:ext="edit" aspectratio="t"/>
            <w10:wrap type="none"/>
            <w10:anchorlock/>
          </v:shape>
          <o:OLEObject Type="Embed" ProgID="AutoCAD.Drawing.17" ShapeID="_x0000_i1025" DrawAspect="Content" ObjectID="_1468075725" r:id="rId22">
            <o:LockedField>false</o:LockedField>
          </o:OLEObject>
        </w:object>
      </w:r>
      <w:r>
        <w:rPr>
          <w:rFonts w:hint="eastAsia" w:ascii="仿宋" w:hAnsi="仿宋" w:eastAsia="仿宋" w:cs="仿宋"/>
          <w:color w:val="000000" w:themeColor="text1"/>
          <w:szCs w:val="21"/>
          <w14:textFill>
            <w14:solidFill>
              <w14:schemeClr w14:val="tx1"/>
            </w14:solidFill>
          </w14:textFill>
        </w:rPr>
        <w:t>图1   端头斜切进刀方式示意图</w:t>
      </w:r>
    </w:p>
    <w:p>
      <w:pPr>
        <w:pStyle w:val="60"/>
        <w:keepNext w:val="0"/>
        <w:keepLines w:val="0"/>
        <w:pageBreakBefore w:val="0"/>
        <w:kinsoku/>
        <w:wordWrap/>
        <w:overflowPunct/>
        <w:topLinePunct w:val="0"/>
        <w:autoSpaceDE/>
        <w:autoSpaceDN/>
        <w:bidi w:val="0"/>
        <w:adjustRightInd/>
        <w:snapToGrid w:val="0"/>
        <w:spacing w:line="440" w:lineRule="exac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2、装煤</w:t>
      </w:r>
    </w:p>
    <w:p>
      <w:pPr>
        <w:keepNext w:val="0"/>
        <w:keepLines w:val="0"/>
        <w:pageBreakBefore w:val="0"/>
        <w:kinsoku/>
        <w:wordWrap/>
        <w:overflowPunct/>
        <w:topLinePunct w:val="0"/>
        <w:autoSpaceDE/>
        <w:autoSpaceDN/>
        <w:bidi w:val="0"/>
        <w:adjustRightInd/>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煤机滚筒割下的煤使用滚筒叶片及前部运输机铲煤板进行联合装煤，放顶煤通过支架尾梁和插板配合进行落煤，放出的顶煤直接进入后部运输机。</w:t>
      </w:r>
    </w:p>
    <w:p>
      <w:pPr>
        <w:pStyle w:val="60"/>
        <w:keepNext w:val="0"/>
        <w:keepLines w:val="0"/>
        <w:pageBreakBefore w:val="0"/>
        <w:kinsoku/>
        <w:wordWrap/>
        <w:overflowPunct/>
        <w:topLinePunct w:val="0"/>
        <w:autoSpaceDE/>
        <w:autoSpaceDN/>
        <w:bidi w:val="0"/>
        <w:adjustRightInd/>
        <w:snapToGrid w:val="0"/>
        <w:spacing w:line="440" w:lineRule="exac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3、运煤</w:t>
      </w:r>
    </w:p>
    <w:p>
      <w:pPr>
        <w:pStyle w:val="90"/>
        <w:keepNext w:val="0"/>
        <w:keepLines w:val="0"/>
        <w:pageBreakBefore w:val="0"/>
        <w:kinsoku/>
        <w:wordWrap/>
        <w:overflowPunct/>
        <w:topLinePunct w:val="0"/>
        <w:autoSpaceDE/>
        <w:autoSpaceDN/>
        <w:bidi w:val="0"/>
        <w:adjustRightInd/>
        <w:snapToGrid w:val="0"/>
        <w:spacing w:line="440" w:lineRule="exact"/>
        <w:ind w:firstLine="480"/>
        <w:textAlignment w:val="auto"/>
        <w:rPr>
          <w:rFonts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采煤机割煤后，落煤至前部运输机上，通过前部运输机、转载机、机巷胶带机→130</w:t>
      </w: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机巷溜煤眼→北翼带式</w:t>
      </w:r>
      <w:r>
        <w:rPr>
          <w:rFonts w:ascii="仿宋" w:hAnsi="仿宋" w:eastAsia="仿宋"/>
          <w:color w:val="000000" w:themeColor="text1"/>
          <w:sz w:val="24"/>
          <w:szCs w:val="24"/>
          <w14:textFill>
            <w14:solidFill>
              <w14:schemeClr w14:val="tx1"/>
            </w14:solidFill>
          </w14:textFill>
        </w:rPr>
        <w:t>输送机大巷胶带机</w:t>
      </w:r>
      <w:r>
        <w:rPr>
          <w:rFonts w:hint="eastAsia" w:ascii="仿宋" w:hAnsi="仿宋" w:eastAsia="仿宋"/>
          <w:color w:val="000000" w:themeColor="text1"/>
          <w:sz w:val="24"/>
          <w:szCs w:val="24"/>
          <w14:textFill>
            <w14:solidFill>
              <w14:schemeClr w14:val="tx1"/>
            </w14:solidFill>
          </w14:textFill>
        </w:rPr>
        <w:t>→井底煤</w:t>
      </w:r>
      <w:r>
        <w:rPr>
          <w:rFonts w:ascii="仿宋" w:hAnsi="仿宋" w:eastAsia="仿宋"/>
          <w:color w:val="000000" w:themeColor="text1"/>
          <w:sz w:val="24"/>
          <w:szCs w:val="24"/>
          <w14:textFill>
            <w14:solidFill>
              <w14:schemeClr w14:val="tx1"/>
            </w14:solidFill>
          </w14:textFill>
        </w:rPr>
        <w:t>仓</w:t>
      </w:r>
      <w:r>
        <w:rPr>
          <w:rFonts w:hint="eastAsia" w:ascii="仿宋" w:hAnsi="仿宋" w:eastAsia="仿宋"/>
          <w:color w:val="000000" w:themeColor="text1"/>
          <w:sz w:val="24"/>
          <w:szCs w:val="24"/>
          <w14:textFill>
            <w14:solidFill>
              <w14:schemeClr w14:val="tx1"/>
            </w14:solidFill>
          </w14:textFill>
        </w:rPr>
        <w:t>→主斜井→地面；顶煤通过液压支架插板和后尾梁的摆动，落至后部运输机上，通过后部运输机、转载机进入机巷胶带机，直至运到地面</w:t>
      </w:r>
      <w:r>
        <w:rPr>
          <w:rFonts w:hint="eastAsia" w:ascii="仿宋" w:hAnsi="仿宋" w:eastAsia="仿宋" w:cs="仿宋"/>
          <w:bCs w:val="0"/>
          <w:color w:val="000000" w:themeColor="text1"/>
          <w:sz w:val="24"/>
          <w:szCs w:val="24"/>
          <w14:textFill>
            <w14:solidFill>
              <w14:schemeClr w14:val="tx1"/>
            </w14:solidFill>
          </w14:textFill>
        </w:rPr>
        <w:t>。</w:t>
      </w:r>
    </w:p>
    <w:p>
      <w:pPr>
        <w:pStyle w:val="60"/>
        <w:keepNext w:val="0"/>
        <w:keepLines w:val="0"/>
        <w:pageBreakBefore w:val="0"/>
        <w:kinsoku/>
        <w:wordWrap/>
        <w:overflowPunct/>
        <w:topLinePunct w:val="0"/>
        <w:autoSpaceDE/>
        <w:autoSpaceDN/>
        <w:bidi w:val="0"/>
        <w:adjustRightInd/>
        <w:snapToGrid w:val="0"/>
        <w:spacing w:line="440" w:lineRule="exac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4、移架</w:t>
      </w:r>
    </w:p>
    <w:p>
      <w:pPr>
        <w:keepNext w:val="0"/>
        <w:keepLines w:val="0"/>
        <w:pageBreakBefore w:val="0"/>
        <w:kinsoku/>
        <w:wordWrap/>
        <w:overflowPunct/>
        <w:topLinePunct w:val="0"/>
        <w:autoSpaceDE/>
        <w:autoSpaceDN/>
        <w:bidi w:val="0"/>
        <w:adjustRightInd/>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移架为依次顺序移架，一般情况液压支架滞后采煤机后滚筒3～5架的距离进行分组、分段跟机移架，移至已完成的移溜段时，再按顺序进行依次推溜和拉后溜；殊情况下，如老顶来压、顶板破碎，应采取追机移架，支架滞后前滚筒1～2架顺序移架；如煤壁片帮、掉顶、支架端面距超过规定时，应采取擦顶带压超前移架，移架步距0.8m。</w:t>
      </w:r>
    </w:p>
    <w:p>
      <w:pPr>
        <w:pStyle w:val="60"/>
        <w:keepNext w:val="0"/>
        <w:keepLines w:val="0"/>
        <w:pageBreakBefore w:val="0"/>
        <w:kinsoku/>
        <w:wordWrap/>
        <w:overflowPunct/>
        <w:topLinePunct w:val="0"/>
        <w:autoSpaceDE/>
        <w:autoSpaceDN/>
        <w:bidi w:val="0"/>
        <w:adjustRightInd/>
        <w:snapToGrid w:val="0"/>
        <w:spacing w:line="440" w:lineRule="exac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5、推前部运输机</w:t>
      </w:r>
    </w:p>
    <w:p>
      <w:pPr>
        <w:keepNext w:val="0"/>
        <w:keepLines w:val="0"/>
        <w:pageBreakBefore w:val="0"/>
        <w:kinsoku/>
        <w:wordWrap/>
        <w:overflowPunct/>
        <w:topLinePunct w:val="0"/>
        <w:autoSpaceDE/>
        <w:autoSpaceDN/>
        <w:bidi w:val="0"/>
        <w:adjustRightInd/>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推前溜是在移架后，滞后采煤机15～30m跟机进行，割煤与推前溜平行作业；推前溜时，要按顺序均匀推溜，严禁一次把前溜推到位、抵成急弯；移溜完毕，清理架前与架间的浮煤、浮矸。</w:t>
      </w:r>
    </w:p>
    <w:p>
      <w:pPr>
        <w:pStyle w:val="60"/>
        <w:keepNext w:val="0"/>
        <w:keepLines w:val="0"/>
        <w:pageBreakBefore w:val="0"/>
        <w:kinsoku/>
        <w:wordWrap/>
        <w:overflowPunct/>
        <w:topLinePunct w:val="0"/>
        <w:autoSpaceDE/>
        <w:autoSpaceDN/>
        <w:bidi w:val="0"/>
        <w:adjustRightInd/>
        <w:snapToGrid w:val="0"/>
        <w:spacing w:line="440" w:lineRule="exac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6、放顶煤</w:t>
      </w:r>
    </w:p>
    <w:p>
      <w:pPr>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为了保证回收率，采用多轮、循环、均匀顺序放煤工艺，放煤可依次放第1轮过后相距10架距离后依次接着放第2轮，直到见矸关门。如果顶煤过厚，放煤不彻底，可再进行第3轮放煤或局部补放，直到见到矸石为止。</w:t>
      </w:r>
    </w:p>
    <w:p>
      <w:pPr>
        <w:pStyle w:val="90"/>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（2）顺序放煤：在工作面全长范围内从工作面一</w:t>
      </w:r>
      <w:r>
        <w:rPr>
          <w:rFonts w:hint="eastAsia" w:ascii="仿宋" w:hAnsi="仿宋" w:eastAsia="仿宋" w:cs="仿宋"/>
          <w:color w:val="000000" w:themeColor="text1"/>
          <w:sz w:val="24"/>
          <w:szCs w:val="24"/>
          <w:lang w:val="en-US" w:eastAsia="zh-CN"/>
          <w14:textFill>
            <w14:solidFill>
              <w14:schemeClr w14:val="tx1"/>
            </w14:solidFill>
          </w14:textFill>
        </w:rPr>
        <w:t>端</w:t>
      </w:r>
      <w:r>
        <w:rPr>
          <w:rFonts w:hint="eastAsia" w:ascii="仿宋" w:hAnsi="仿宋" w:eastAsia="仿宋" w:cs="仿宋"/>
          <w:color w:val="000000" w:themeColor="text1"/>
          <w:sz w:val="24"/>
          <w:szCs w:val="24"/>
          <w14:textFill>
            <w14:solidFill>
              <w14:schemeClr w14:val="tx1"/>
            </w14:solidFill>
          </w14:textFill>
        </w:rPr>
        <w:t>开始，顺序打开支架放煤口进行放煤，并和移架的顺序相一致。放煤过程中遇见大块煤，利用支架尾梁将大块煤击碎或利用插板将大块煤捣碎。为了保证回收率，当放煤口出现矸石时，即可关闭放煤口，结束本架放煤。</w:t>
      </w:r>
    </w:p>
    <w:p>
      <w:pPr>
        <w:pStyle w:val="90"/>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（3）初次放煤：工作面初采前20m不放煤，待工作面采取强制放顶措施、老顶初次来压后，开始放煤，采放高度控制在6-7m之间。</w:t>
      </w:r>
    </w:p>
    <w:p>
      <w:pPr>
        <w:pStyle w:val="90"/>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正常放煤：采煤机割一刀煤，放一茬顶煤，正常情况下，第一轮放顶煤应滞后煤机后滚筒8～10架，滞后煤机后滚筒30架以下的顶煤必须全部放净，否则必须停机放煤。当煤机在机头（尾）调刀时，必须先停机将该处的煤全部放净，方可开机割三角煤。</w:t>
      </w:r>
    </w:p>
    <w:p>
      <w:pPr>
        <w:pStyle w:val="90"/>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（5）末采放煤：工作面煤帮距停采线50m时必须停止放煤。</w:t>
      </w:r>
    </w:p>
    <w:p>
      <w:pPr>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（6）本工作面采用多轮、循环、均匀顺序放煤工艺，放第一轮顶煤滞后煤机后滚筒8～10架，放煤工间隔不少于15架进行放煤。第一轮放煤高度在3～4m，第二轮放煤高度在4～</w:t>
      </w: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m，第三轮放煤高度在</w:t>
      </w: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10.5</w:t>
      </w:r>
      <w:r>
        <w:rPr>
          <w:rFonts w:hint="eastAsia" w:ascii="仿宋" w:hAnsi="仿宋" w:eastAsia="仿宋" w:cs="仿宋"/>
          <w:color w:val="000000" w:themeColor="text1"/>
          <w:sz w:val="24"/>
          <w14:textFill>
            <w14:solidFill>
              <w14:schemeClr w14:val="tx1"/>
            </w14:solidFill>
          </w14:textFill>
        </w:rPr>
        <w:t>m，每轮放煤厚度控制在3～</w:t>
      </w:r>
      <w:r>
        <w:rPr>
          <w:rFonts w:hint="eastAsia" w:ascii="仿宋" w:hAnsi="仿宋" w:eastAsia="仿宋" w:cs="仿宋"/>
          <w:color w:val="000000" w:themeColor="text1"/>
          <w:sz w:val="24"/>
          <w:lang w:val="en-US" w:eastAsia="zh-CN"/>
          <w14:textFill>
            <w14:solidFill>
              <w14:schemeClr w14:val="tx1"/>
            </w14:solidFill>
          </w14:textFill>
        </w:rPr>
        <w:t>4.5</w:t>
      </w:r>
      <w:r>
        <w:rPr>
          <w:rFonts w:hint="eastAsia" w:ascii="仿宋" w:hAnsi="仿宋" w:eastAsia="仿宋" w:cs="仿宋"/>
          <w:color w:val="000000" w:themeColor="text1"/>
          <w:sz w:val="24"/>
          <w14:textFill>
            <w14:solidFill>
              <w14:schemeClr w14:val="tx1"/>
            </w14:solidFill>
          </w14:textFill>
        </w:rPr>
        <w:t>m。为保证每轮3～4</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m左右的放煤高度，放煤工在每一轮放煤时，每个支架的尾梁上下摆动3～4次，时间控制在15～30s以内。</w:t>
      </w:r>
    </w:p>
    <w:p>
      <w:pPr>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（7）为保证上下端头安全出口畅通，机头4架、机尾5架可采取不放煤。</w:t>
      </w:r>
    </w:p>
    <w:p>
      <w:pPr>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放煤要求：</w:t>
      </w:r>
    </w:p>
    <w:p>
      <w:pPr>
        <w:pStyle w:val="90"/>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a）除机头机尾过渡架不放煤，其</w:t>
      </w:r>
      <w:r>
        <w:rPr>
          <w:rFonts w:hint="eastAsia" w:ascii="仿宋" w:hAnsi="仿宋" w:eastAsia="仿宋" w:cs="仿宋"/>
          <w:bCs w:val="0"/>
          <w:color w:val="000000" w:themeColor="text1"/>
          <w:sz w:val="24"/>
          <w:szCs w:val="24"/>
          <w:lang w:val="en-US" w:eastAsia="zh-CN"/>
          <w14:textFill>
            <w14:solidFill>
              <w14:schemeClr w14:val="tx1"/>
            </w14:solidFill>
          </w14:textFill>
        </w:rPr>
        <w:t>他</w:t>
      </w:r>
      <w:r>
        <w:rPr>
          <w:rFonts w:hint="eastAsia" w:ascii="仿宋" w:hAnsi="仿宋" w:eastAsia="仿宋" w:cs="仿宋"/>
          <w:bCs w:val="0"/>
          <w:color w:val="000000" w:themeColor="text1"/>
          <w:sz w:val="24"/>
          <w:szCs w:val="24"/>
          <w14:textFill>
            <w14:solidFill>
              <w14:schemeClr w14:val="tx1"/>
            </w14:solidFill>
          </w14:textFill>
        </w:rPr>
        <w:t>地段割煤、放煤可平行作业。</w:t>
      </w:r>
    </w:p>
    <w:p>
      <w:pPr>
        <w:pStyle w:val="90"/>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b）放煤要逐架、顺序进行，两轮放煤间隔不少于10架，在循环作业中，可不跟机放煤，煤机下行割煤时，放工作面上半部的顶煤，煤机上行割煤时，放工作面下半部的顶煤。</w:t>
      </w:r>
    </w:p>
    <w:p>
      <w:pPr>
        <w:pStyle w:val="90"/>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c）工作面顶板破碎，片帮冒顶严重的地段，可视情况少放煤或不放煤。</w:t>
      </w:r>
    </w:p>
    <w:p>
      <w:pPr>
        <w:pStyle w:val="90"/>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d）每班放煤要固定专人进行，必须保证放煤人数及轮次，要严格执行“无煤封口、见矸为止”的原则，同时，放煤工要控制好放煤量，防止后部运输机因煤量过大而过载运行或压死。</w:t>
      </w:r>
    </w:p>
    <w:p>
      <w:pPr>
        <w:pStyle w:val="90"/>
        <w:keepNext w:val="0"/>
        <w:keepLines w:val="0"/>
        <w:pageBreakBefore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val="0"/>
          <w:color w:val="000000" w:themeColor="text1"/>
          <w:sz w:val="24"/>
          <w:szCs w:val="24"/>
          <w14:textFill>
            <w14:solidFill>
              <w14:schemeClr w14:val="tx1"/>
            </w14:solidFill>
          </w14:textFill>
        </w:rPr>
      </w:pPr>
      <w:r>
        <w:rPr>
          <w:rFonts w:hint="eastAsia" w:ascii="仿宋" w:hAnsi="仿宋" w:eastAsia="仿宋" w:cs="仿宋"/>
          <w:bCs w:val="0"/>
          <w:color w:val="000000" w:themeColor="text1"/>
          <w:sz w:val="24"/>
          <w:szCs w:val="24"/>
          <w14:textFill>
            <w14:solidFill>
              <w14:schemeClr w14:val="tx1"/>
            </w14:solidFill>
          </w14:textFill>
        </w:rPr>
        <w:t>e）第二轮放顶煤后，安排专人对液压支架进行及时二次补液。</w:t>
      </w:r>
    </w:p>
    <w:p>
      <w:pPr>
        <w:pStyle w:val="24"/>
        <w:ind w:firstLine="48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f）放顶煤时，必须同时进行后部运输机的喷雾防尘工作。</w:t>
      </w: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7、拉后部运输机</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（1）拉后部运输机是在放煤结束后、下次移架之前进行的。</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（2）要随时关注后部运输机的运行状况，如出现大块煤矸或尾梁千斤顶脱落时，要及时停机处理。</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（3）拉后部运输机前，要及时清理支架与后部运输机间的浮煤。</w:t>
      </w: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8、拉移转载机  </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工作面每推进两个循环，必须及时拉移转载机，不得滞后，以避免转载机尾伸入下隅角采空区侧过多，而造成下隅角难以维护。</w:t>
      </w: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9、采空区处理</w:t>
      </w:r>
    </w:p>
    <w:p>
      <w:pPr>
        <w:pStyle w:val="60"/>
        <w:snapToGrid w:val="0"/>
        <w:ind w:firstLine="480" w:firstLineChars="200"/>
        <w:rPr>
          <w:rFonts w:ascii="仿宋" w:hAnsi="仿宋" w:eastAsia="仿宋" w:cs="仿宋"/>
          <w:b w:val="0"/>
          <w:color w:val="000000" w:themeColor="text1"/>
          <w:sz w:val="24"/>
          <w14:textFill>
            <w14:solidFill>
              <w14:schemeClr w14:val="tx1"/>
            </w14:solidFill>
          </w14:textFill>
        </w:rPr>
      </w:pPr>
      <w:r>
        <w:rPr>
          <w:rFonts w:hint="eastAsia" w:ascii="仿宋" w:hAnsi="仿宋" w:eastAsia="仿宋" w:cs="仿宋"/>
          <w:b w:val="0"/>
          <w:color w:val="000000" w:themeColor="text1"/>
          <w:sz w:val="24"/>
          <w14:textFill>
            <w14:solidFill>
              <w14:schemeClr w14:val="tx1"/>
            </w14:solidFill>
          </w14:textFill>
        </w:rPr>
        <w:t>（1）采用全部垮落法处理采空区顶板。</w:t>
      </w:r>
    </w:p>
    <w:p>
      <w:pPr>
        <w:pStyle w:val="60"/>
        <w:snapToGrid w:val="0"/>
        <w:ind w:firstLine="480" w:firstLineChars="200"/>
        <w:rPr>
          <w:rFonts w:ascii="仿宋" w:hAnsi="仿宋" w:eastAsia="仿宋" w:cs="仿宋"/>
          <w:b w:val="0"/>
          <w:color w:val="000000" w:themeColor="text1"/>
          <w:sz w:val="24"/>
          <w14:textFill>
            <w14:solidFill>
              <w14:schemeClr w14:val="tx1"/>
            </w14:solidFill>
          </w14:textFill>
        </w:rPr>
      </w:pPr>
      <w:r>
        <w:rPr>
          <w:rFonts w:hint="eastAsia" w:ascii="仿宋" w:hAnsi="仿宋" w:eastAsia="仿宋" w:cs="仿宋"/>
          <w:b w:val="0"/>
          <w:color w:val="000000" w:themeColor="text1"/>
          <w:sz w:val="24"/>
          <w14:textFill>
            <w14:solidFill>
              <w14:schemeClr w14:val="tx1"/>
            </w14:solidFill>
          </w14:textFill>
        </w:rPr>
        <w:t>（2）采空区顶板不垮落、悬顶面积超过10m</w:t>
      </w:r>
      <w:r>
        <w:rPr>
          <w:rFonts w:hint="eastAsia" w:ascii="仿宋" w:hAnsi="仿宋" w:eastAsia="仿宋" w:cs="仿宋"/>
          <w:b w:val="0"/>
          <w:color w:val="000000" w:themeColor="text1"/>
          <w:sz w:val="24"/>
          <w:vertAlign w:val="superscript"/>
          <w14:textFill>
            <w14:solidFill>
              <w14:schemeClr w14:val="tx1"/>
            </w14:solidFill>
          </w14:textFill>
        </w:rPr>
        <w:t>2</w:t>
      </w:r>
      <w:r>
        <w:rPr>
          <w:rFonts w:hint="eastAsia" w:ascii="仿宋" w:hAnsi="仿宋" w:eastAsia="仿宋" w:cs="仿宋"/>
          <w:b w:val="0"/>
          <w:color w:val="000000" w:themeColor="text1"/>
          <w:sz w:val="24"/>
          <w14:textFill>
            <w14:solidFill>
              <w14:schemeClr w14:val="tx1"/>
            </w14:solidFill>
          </w14:textFill>
        </w:rPr>
        <w:t>时，必须停止采煤，采取人工强制放顶或者其他措施进行处理。</w:t>
      </w:r>
    </w:p>
    <w:p>
      <w:pPr>
        <w:pStyle w:val="60"/>
        <w:snapToGrid w:val="0"/>
        <w:rPr>
          <w:rFonts w:ascii="仿宋" w:hAnsi="仿宋" w:eastAsia="仿宋" w:cs="仿宋"/>
          <w:color w:val="000000" w:themeColor="text1"/>
          <w:sz w:val="24"/>
          <w14:textFill>
            <w14:solidFill>
              <w14:schemeClr w14:val="tx1"/>
            </w14:solidFill>
          </w14:textFill>
        </w:rPr>
      </w:pPr>
      <w:bookmarkStart w:id="183" w:name="_Toc22312338"/>
      <w:bookmarkStart w:id="184" w:name="_Toc22312335"/>
      <w:bookmarkStart w:id="185" w:name="_Toc530307341"/>
      <w:r>
        <w:rPr>
          <w:rFonts w:hint="eastAsia" w:ascii="仿宋" w:hAnsi="仿宋" w:eastAsia="仿宋" w:cs="仿宋"/>
          <w:color w:val="000000" w:themeColor="text1"/>
          <w:sz w:val="24"/>
          <w14:textFill>
            <w14:solidFill>
              <w14:schemeClr w14:val="tx1"/>
            </w14:solidFill>
          </w14:textFill>
        </w:rPr>
        <w:t>三、工作面层位控制</w:t>
      </w:r>
    </w:p>
    <w:p>
      <w:pPr>
        <w:snapToGrid w:val="0"/>
        <w:ind w:firstLine="480"/>
        <w:rPr>
          <w:rFonts w:ascii="黑体" w:hAnsi="黑体" w:eastAsia="黑体" w:cs="黑体"/>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回采过程中，工作面机头机尾段要紧跟机风巷顶底板，严禁随意提车或刹底回采，使工作面层位控制合理，保证端头处安全出口畅通。</w:t>
      </w:r>
      <w:bookmarkEnd w:id="183"/>
      <w:bookmarkEnd w:id="184"/>
      <w:bookmarkEnd w:id="185"/>
      <w:bookmarkStart w:id="186" w:name="_Toc496212754"/>
      <w:bookmarkStart w:id="187" w:name="_Toc6331"/>
    </w:p>
    <w:p>
      <w:pPr>
        <w:pStyle w:val="4"/>
        <w:keepNext w:val="0"/>
        <w:keepLines w:val="0"/>
        <w:snapToGrid w:val="0"/>
        <w:spacing w:before="0" w:after="0"/>
        <w:ind w:firstLine="0" w:firstLineChars="0"/>
        <w:rPr>
          <w:rFonts w:ascii="黑体" w:hAnsi="黑体" w:eastAsia="黑体" w:cs="黑体"/>
          <w:color w:val="FF0000"/>
          <w:sz w:val="28"/>
          <w:szCs w:val="28"/>
        </w:rPr>
      </w:pPr>
    </w:p>
    <w:p>
      <w:pPr>
        <w:pStyle w:val="4"/>
        <w:keepNext w:val="0"/>
        <w:keepLines w:val="0"/>
        <w:snapToGrid w:val="0"/>
        <w:spacing w:before="0" w:after="0"/>
        <w:ind w:firstLine="0" w:firstLineChars="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第三节  设备配置</w:t>
      </w:r>
      <w:bookmarkEnd w:id="186"/>
      <w:bookmarkEnd w:id="187"/>
    </w:p>
    <w:p>
      <w:pPr>
        <w:snapToGrid w:val="0"/>
        <w:ind w:firstLine="0" w:firstLineChars="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一、工作面设备配置明细见下表：</w:t>
      </w:r>
    </w:p>
    <w:p>
      <w:pPr>
        <w:pStyle w:val="2"/>
        <w:snapToGrid w:val="0"/>
        <w:spacing w:line="360" w:lineRule="auto"/>
        <w:ind w:firstLine="420"/>
        <w:rPr>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表3  工作面设备配置明细</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135"/>
        <w:gridCol w:w="3175"/>
        <w:gridCol w:w="1297"/>
        <w:gridCol w:w="8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0" w:type="dxa"/>
            <w:tcBorders>
              <w:top w:val="single" w:color="auto" w:sz="12"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序号</w:t>
            </w:r>
          </w:p>
        </w:tc>
        <w:tc>
          <w:tcPr>
            <w:tcW w:w="2135" w:type="dxa"/>
            <w:tcBorders>
              <w:top w:val="single" w:color="auto" w:sz="12"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设备名称</w:t>
            </w:r>
          </w:p>
        </w:tc>
        <w:tc>
          <w:tcPr>
            <w:tcW w:w="3175" w:type="dxa"/>
            <w:tcBorders>
              <w:top w:val="single" w:color="auto" w:sz="12"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型  号</w:t>
            </w:r>
          </w:p>
        </w:tc>
        <w:tc>
          <w:tcPr>
            <w:tcW w:w="1297" w:type="dxa"/>
            <w:tcBorders>
              <w:top w:val="single" w:color="auto" w:sz="12"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数量</w:t>
            </w:r>
          </w:p>
        </w:tc>
        <w:tc>
          <w:tcPr>
            <w:tcW w:w="875" w:type="dxa"/>
            <w:tcBorders>
              <w:top w:val="single" w:color="auto" w:sz="12"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采煤机</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MG650/1510-WD</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前部运输机</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SGZ1000/1710</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180</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3</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后部运输机</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SGZ1000/1710</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180</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4</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转载机</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default"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SZZ1200/</w:t>
            </w:r>
            <w:r>
              <w:rPr>
                <w:rFonts w:hint="eastAsia" w:ascii="仿宋" w:hAnsi="仿宋" w:eastAsia="仿宋" w:cs="仿宋"/>
                <w:color w:val="000000" w:themeColor="text1"/>
                <w:kern w:val="0"/>
                <w:sz w:val="18"/>
                <w:szCs w:val="18"/>
                <w:lang w:val="en-US" w:eastAsia="zh-CN"/>
                <w14:textFill>
                  <w14:solidFill>
                    <w14:schemeClr w14:val="tx1"/>
                  </w14:solidFill>
                </w14:textFill>
              </w:rPr>
              <w:t>700</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71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5</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破碎机</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PCM400</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6</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带式输送机</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DSJ-1400/2×500</w:t>
            </w:r>
          </w:p>
        </w:tc>
        <w:tc>
          <w:tcPr>
            <w:tcW w:w="1297" w:type="dxa"/>
            <w:tcBorders>
              <w:top w:val="single" w:color="auto" w:sz="4" w:space="0"/>
              <w:left w:val="single" w:color="auto" w:sz="4" w:space="0"/>
              <w:bottom w:val="single" w:color="auto" w:sz="4" w:space="0"/>
              <w:right w:val="single" w:color="auto" w:sz="4" w:space="0"/>
            </w:tcBorders>
            <w:vAlign w:val="center"/>
          </w:tcPr>
          <w:p>
            <w:pPr>
              <w:pStyle w:val="12"/>
              <w:spacing w:after="0" w:line="240" w:lineRule="atLeast"/>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7</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皮带自移机尾</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ZY2700</w:t>
            </w:r>
          </w:p>
        </w:tc>
        <w:tc>
          <w:tcPr>
            <w:tcW w:w="1297" w:type="dxa"/>
            <w:tcBorders>
              <w:top w:val="single" w:color="auto" w:sz="4" w:space="0"/>
              <w:left w:val="single" w:color="auto" w:sz="4" w:space="0"/>
              <w:bottom w:val="single" w:color="auto" w:sz="4" w:space="0"/>
              <w:right w:val="single" w:color="auto" w:sz="4" w:space="0"/>
            </w:tcBorders>
            <w:vAlign w:val="center"/>
          </w:tcPr>
          <w:p>
            <w:pPr>
              <w:pStyle w:val="12"/>
              <w:spacing w:after="0" w:line="240" w:lineRule="atLeast"/>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8</w:t>
            </w:r>
          </w:p>
        </w:tc>
        <w:tc>
          <w:tcPr>
            <w:tcW w:w="2135" w:type="dxa"/>
            <w:tcBorders>
              <w:top w:val="single" w:color="auto" w:sz="4" w:space="0"/>
              <w:left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基本支架</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ZF16000/21/38</w:t>
            </w:r>
          </w:p>
        </w:tc>
        <w:tc>
          <w:tcPr>
            <w:tcW w:w="1297" w:type="dxa"/>
            <w:tcBorders>
              <w:top w:val="single" w:color="auto" w:sz="4" w:space="0"/>
              <w:left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95</w:t>
            </w:r>
          </w:p>
        </w:tc>
        <w:tc>
          <w:tcPr>
            <w:tcW w:w="875" w:type="dxa"/>
            <w:tcBorders>
              <w:top w:val="single" w:color="auto" w:sz="4" w:space="0"/>
              <w:left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9</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过渡支架</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ZFG16000/26/38</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7</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10</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特殊过渡支架</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ZFG16000/26/38</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11</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端头支架</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ZFT38000/26/40</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12</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超前支架</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ZQL2×6000/23/45</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6</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13</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乳化液泵</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BRW400/37.5BZ</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3</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14</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喷雾泵</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BPW315/10BZ</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15</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净化水装置</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MK-RF-12T</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16</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自动配比装置</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RPZ-12</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tcBorders>
              <w:top w:val="single" w:color="auto" w:sz="4" w:space="0"/>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17</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进回液过滤装置</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GLZ1000/31.5/2.5J/H</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Merge w:val="restart"/>
            <w:tcBorders>
              <w:top w:val="single" w:color="auto" w:sz="4" w:space="0"/>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18</w:t>
            </w:r>
          </w:p>
        </w:tc>
        <w:tc>
          <w:tcPr>
            <w:tcW w:w="2135" w:type="dxa"/>
            <w:vMerge w:val="restart"/>
            <w:tcBorders>
              <w:top w:val="single" w:color="auto" w:sz="4" w:space="0"/>
              <w:left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移动变压器</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_GB2312"/>
                <w:sz w:val="18"/>
                <w:szCs w:val="18"/>
                <w:lang w:val="zh-CN"/>
              </w:rPr>
              <w:t>KBSGZY-4000/10/3.3KV</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0" w:type="dxa"/>
            <w:vMerge w:val="continue"/>
            <w:tcBorders>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p>
        </w:tc>
        <w:tc>
          <w:tcPr>
            <w:tcW w:w="2135" w:type="dxa"/>
            <w:vMerge w:val="continue"/>
            <w:tcBorders>
              <w:left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_GB2312"/>
                <w:sz w:val="18"/>
                <w:szCs w:val="18"/>
                <w:lang w:val="zh-CN"/>
              </w:rPr>
              <w:t>KBSGZY-1</w:t>
            </w:r>
            <w:r>
              <w:rPr>
                <w:rFonts w:hint="eastAsia" w:ascii="仿宋" w:hAnsi="仿宋" w:eastAsia="仿宋" w:cs="仿宋_GB2312"/>
                <w:sz w:val="18"/>
                <w:szCs w:val="18"/>
              </w:rPr>
              <w:t>25</w:t>
            </w:r>
            <w:r>
              <w:rPr>
                <w:rFonts w:hint="eastAsia" w:ascii="仿宋" w:hAnsi="仿宋" w:eastAsia="仿宋" w:cs="仿宋_GB2312"/>
                <w:sz w:val="18"/>
                <w:szCs w:val="18"/>
                <w:lang w:val="zh-CN"/>
              </w:rPr>
              <w:t>0/10/1.2KV</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0" w:type="dxa"/>
            <w:vMerge w:val="continue"/>
            <w:tcBorders>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p>
        </w:tc>
        <w:tc>
          <w:tcPr>
            <w:tcW w:w="2135" w:type="dxa"/>
            <w:vMerge w:val="continue"/>
            <w:tcBorders>
              <w:left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_GB2312"/>
                <w:sz w:val="18"/>
                <w:szCs w:val="18"/>
                <w:lang w:val="zh-CN"/>
              </w:rPr>
            </w:pPr>
            <w:r>
              <w:rPr>
                <w:rFonts w:hint="eastAsia" w:ascii="仿宋" w:hAnsi="仿宋" w:eastAsia="仿宋" w:cs="仿宋_GB2312"/>
                <w:sz w:val="18"/>
                <w:szCs w:val="18"/>
                <w:lang w:val="zh-CN"/>
              </w:rPr>
              <w:t>KBSGZY-1600/10</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0" w:type="dxa"/>
            <w:vMerge w:val="continue"/>
            <w:tcBorders>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p>
        </w:tc>
        <w:tc>
          <w:tcPr>
            <w:tcW w:w="2135" w:type="dxa"/>
            <w:vMerge w:val="continue"/>
            <w:tcBorders>
              <w:left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_GB2312"/>
                <w:sz w:val="18"/>
                <w:szCs w:val="18"/>
                <w:lang w:val="zh-CN"/>
              </w:rPr>
            </w:pPr>
            <w:r>
              <w:rPr>
                <w:rFonts w:hint="eastAsia" w:ascii="仿宋" w:hAnsi="仿宋" w:eastAsia="仿宋" w:cs="仿宋_GB2312"/>
                <w:sz w:val="18"/>
                <w:szCs w:val="18"/>
                <w:lang w:val="zh-CN"/>
              </w:rPr>
              <w:t>KBSGZY-500/10</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10" w:type="dxa"/>
            <w:vMerge w:val="restart"/>
            <w:tcBorders>
              <w:top w:val="single" w:color="auto" w:sz="4" w:space="0"/>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19</w:t>
            </w:r>
          </w:p>
        </w:tc>
        <w:tc>
          <w:tcPr>
            <w:tcW w:w="2135" w:type="dxa"/>
            <w:vMerge w:val="restart"/>
            <w:tcBorders>
              <w:top w:val="single" w:color="auto" w:sz="4" w:space="0"/>
              <w:left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真空组合开关</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bCs/>
                <w:color w:val="000000" w:themeColor="text1"/>
                <w:kern w:val="0"/>
                <w:sz w:val="18"/>
                <w:szCs w:val="18"/>
                <w14:textFill>
                  <w14:solidFill>
                    <w14:schemeClr w14:val="tx1"/>
                  </w14:solidFill>
                </w14:textFill>
              </w:rPr>
            </w:pPr>
            <w:r>
              <w:rPr>
                <w:rFonts w:hint="eastAsia" w:ascii="仿宋_GB2312" w:hAnsi="仿宋_GB2312" w:cs="仿宋_GB2312"/>
                <w:sz w:val="18"/>
                <w:szCs w:val="18"/>
              </w:rPr>
              <w:t>QJZ-1600/1140-6</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0" w:type="dxa"/>
            <w:vMerge w:val="continue"/>
            <w:tcBorders>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p>
        </w:tc>
        <w:tc>
          <w:tcPr>
            <w:tcW w:w="2135" w:type="dxa"/>
            <w:vMerge w:val="continue"/>
            <w:tcBorders>
              <w:left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bCs/>
                <w:color w:val="000000" w:themeColor="text1"/>
                <w:kern w:val="0"/>
                <w:sz w:val="18"/>
                <w:szCs w:val="18"/>
                <w14:textFill>
                  <w14:solidFill>
                    <w14:schemeClr w14:val="tx1"/>
                  </w14:solidFill>
                </w14:textFill>
              </w:rPr>
            </w:pPr>
            <w:r>
              <w:rPr>
                <w:rFonts w:hint="eastAsia" w:ascii="仿宋_GB2312" w:hAnsi="仿宋_GB2312" w:cs="仿宋_GB2312"/>
                <w:sz w:val="18"/>
                <w:szCs w:val="18"/>
              </w:rPr>
              <w:t>QJZ-1600/3300-8</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tcBorders>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20</w:t>
            </w:r>
          </w:p>
        </w:tc>
        <w:tc>
          <w:tcPr>
            <w:tcW w:w="2135" w:type="dxa"/>
            <w:tcBorders>
              <w:left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单元式支架</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bCs/>
                <w:color w:val="000000" w:themeColor="text1"/>
                <w:kern w:val="0"/>
                <w:sz w:val="18"/>
                <w:szCs w:val="18"/>
                <w14:textFill>
                  <w14:solidFill>
                    <w14:schemeClr w14:val="tx1"/>
                  </w14:solidFill>
                </w14:textFill>
              </w:rPr>
            </w:pPr>
            <w:r>
              <w:rPr>
                <w:rFonts w:hint="eastAsia" w:ascii="仿宋" w:hAnsi="仿宋" w:eastAsia="仿宋" w:cs="仿宋"/>
                <w:bCs/>
                <w:color w:val="000000" w:themeColor="text1"/>
                <w:kern w:val="0"/>
                <w:sz w:val="18"/>
                <w:szCs w:val="18"/>
                <w14:textFill>
                  <w14:solidFill>
                    <w14:schemeClr w14:val="tx1"/>
                  </w14:solidFill>
                </w14:textFill>
              </w:rPr>
              <w:t>ZQ4000/20.6/45</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bCs/>
                <w:color w:val="000000" w:themeColor="text1"/>
                <w:kern w:val="0"/>
                <w:sz w:val="15"/>
                <w:szCs w:val="15"/>
                <w14:textFill>
                  <w14:solidFill>
                    <w14:schemeClr w14:val="tx1"/>
                  </w14:solidFill>
                </w14:textFill>
              </w:rPr>
            </w:pPr>
            <w:r>
              <w:rPr>
                <w:rFonts w:hint="eastAsia" w:ascii="仿宋" w:hAnsi="仿宋" w:eastAsia="仿宋" w:cs="仿宋"/>
                <w:bCs/>
                <w:color w:val="000000" w:themeColor="text1"/>
                <w:kern w:val="0"/>
                <w:sz w:val="15"/>
                <w:szCs w:val="15"/>
                <w14:textFill>
                  <w14:solidFill>
                    <w14:schemeClr w14:val="tx1"/>
                  </w14:solidFill>
                </w14:textFill>
              </w:rPr>
              <w:t>（机巷安装20架、风巷安装80架）</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ascii="仿宋" w:hAnsi="仿宋" w:eastAsia="仿宋" w:cs="仿宋"/>
                <w:bCs/>
                <w:color w:val="000000" w:themeColor="text1"/>
                <w:kern w:val="0"/>
                <w:sz w:val="18"/>
                <w:szCs w:val="18"/>
                <w14:textFill>
                  <w14:solidFill>
                    <w14:schemeClr w14:val="tx1"/>
                  </w14:solidFill>
                </w14:textFill>
              </w:rPr>
            </w:pPr>
            <w:r>
              <w:rPr>
                <w:rFonts w:hint="eastAsia" w:ascii="仿宋" w:hAnsi="仿宋" w:eastAsia="仿宋" w:cs="仿宋"/>
                <w:bCs/>
                <w:color w:val="000000" w:themeColor="text1"/>
                <w:kern w:val="0"/>
                <w:sz w:val="18"/>
                <w:szCs w:val="18"/>
                <w14:textFill>
                  <w14:solidFill>
                    <w14:schemeClr w14:val="tx1"/>
                  </w14:solidFill>
                </w14:textFill>
              </w:rPr>
              <w:t>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10" w:type="dxa"/>
            <w:tcBorders>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21</w:t>
            </w:r>
          </w:p>
        </w:tc>
        <w:tc>
          <w:tcPr>
            <w:tcW w:w="2135" w:type="dxa"/>
            <w:tcBorders>
              <w:left w:val="single" w:color="auto" w:sz="4" w:space="0"/>
              <w:right w:val="single" w:color="auto" w:sz="4" w:space="0"/>
            </w:tcBorders>
            <w:vAlign w:val="center"/>
          </w:tcPr>
          <w:p>
            <w:pPr>
              <w:spacing w:line="240" w:lineRule="auto"/>
              <w:ind w:firstLine="0" w:firstLineChars="0"/>
              <w:jc w:val="center"/>
              <w:rPr>
                <w:rFonts w:ascii="仿宋" w:hAnsi="仿宋" w:eastAsia="仿宋" w:cs="仿宋_GB2312"/>
                <w:color w:val="000000"/>
                <w:sz w:val="18"/>
                <w:szCs w:val="18"/>
                <w:lang w:val="zh-CN"/>
              </w:rPr>
            </w:pPr>
            <w:r>
              <w:rPr>
                <w:rFonts w:hint="eastAsia" w:ascii="仿宋" w:hAnsi="仿宋" w:eastAsia="仿宋" w:cs="仿宋_GB2312"/>
                <w:color w:val="000000"/>
                <w:sz w:val="18"/>
                <w:szCs w:val="18"/>
                <w:lang w:val="zh-CN"/>
              </w:rPr>
              <w:t>通信控制装置</w:t>
            </w:r>
          </w:p>
        </w:tc>
        <w:tc>
          <w:tcPr>
            <w:tcW w:w="317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仿宋" w:hAnsi="仿宋" w:eastAsia="仿宋" w:cs="仿宋_GB2312"/>
                <w:color w:val="000000"/>
                <w:sz w:val="18"/>
                <w:szCs w:val="18"/>
                <w:lang w:val="en-US" w:eastAsia="zh-CN"/>
              </w:rPr>
            </w:pPr>
            <w:r>
              <w:rPr>
                <w:rFonts w:hint="eastAsia" w:ascii="仿宋" w:hAnsi="仿宋" w:eastAsia="仿宋" w:cs="仿宋"/>
                <w:bCs/>
                <w:color w:val="000000" w:themeColor="text1"/>
                <w:kern w:val="0"/>
                <w:sz w:val="18"/>
                <w:szCs w:val="18"/>
                <w:lang w:val="zh-CN"/>
                <w14:textFill>
                  <w14:solidFill>
                    <w14:schemeClr w14:val="tx1"/>
                  </w14:solidFill>
                </w14:textFill>
              </w:rPr>
              <w:t>KTC</w:t>
            </w:r>
            <w:r>
              <w:rPr>
                <w:rFonts w:hint="eastAsia" w:ascii="仿宋" w:hAnsi="仿宋" w:eastAsia="仿宋" w:cs="仿宋"/>
                <w:bCs/>
                <w:color w:val="000000" w:themeColor="text1"/>
                <w:kern w:val="0"/>
                <w:sz w:val="18"/>
                <w:szCs w:val="18"/>
                <w:lang w:val="en-US" w:eastAsia="zh-CN"/>
                <w14:textFill>
                  <w14:solidFill>
                    <w14:schemeClr w14:val="tx1"/>
                  </w14:solidFill>
                </w14:textFill>
              </w:rPr>
              <w:t>101</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bCs/>
                <w:color w:val="000000" w:themeColor="text1"/>
                <w:kern w:val="0"/>
                <w:sz w:val="15"/>
                <w:szCs w:val="15"/>
                <w:lang w:val="zh-CN"/>
                <w14:textFill>
                  <w14:solidFill>
                    <w14:schemeClr w14:val="tx1"/>
                  </w14:solidFill>
                </w14:textFill>
              </w:rPr>
            </w:pPr>
            <w:r>
              <w:rPr>
                <w:rFonts w:hint="eastAsia" w:ascii="仿宋" w:hAnsi="仿宋" w:eastAsia="仿宋" w:cs="仿宋"/>
                <w:bCs/>
                <w:color w:val="000000" w:themeColor="text1"/>
                <w:kern w:val="0"/>
                <w:sz w:val="15"/>
                <w:szCs w:val="15"/>
                <w:lang w:val="en-US" w:eastAsia="zh-CN"/>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hint="eastAsia" w:ascii="仿宋" w:hAnsi="仿宋" w:eastAsia="仿宋" w:cs="仿宋"/>
                <w:bCs/>
                <w:color w:val="000000" w:themeColor="text1"/>
                <w:kern w:val="0"/>
                <w:sz w:val="15"/>
                <w:szCs w:val="15"/>
                <w:lang w:val="en-US" w:eastAsia="zh-CN"/>
                <w14:textFill>
                  <w14:solidFill>
                    <w14:schemeClr w14:val="tx1"/>
                  </w14:solidFill>
                </w14:textFill>
              </w:rPr>
            </w:pPr>
            <w:r>
              <w:rPr>
                <w:rFonts w:hint="eastAsia" w:ascii="仿宋" w:hAnsi="仿宋" w:eastAsia="仿宋" w:cs="仿宋"/>
                <w:bCs/>
                <w:color w:val="000000" w:themeColor="text1"/>
                <w:kern w:val="0"/>
                <w:sz w:val="15"/>
                <w:szCs w:val="15"/>
                <w:lang w:val="en-US" w:eastAsia="zh-CN"/>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10" w:type="dxa"/>
            <w:tcBorders>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22</w:t>
            </w:r>
          </w:p>
        </w:tc>
        <w:tc>
          <w:tcPr>
            <w:tcW w:w="2135" w:type="dxa"/>
            <w:tcBorders>
              <w:left w:val="single" w:color="auto" w:sz="4" w:space="0"/>
              <w:right w:val="single" w:color="auto" w:sz="4" w:space="0"/>
            </w:tcBorders>
            <w:vAlign w:val="center"/>
          </w:tcPr>
          <w:p>
            <w:pPr>
              <w:spacing w:line="240" w:lineRule="auto"/>
              <w:ind w:firstLine="0" w:firstLineChars="0"/>
              <w:jc w:val="center"/>
              <w:rPr>
                <w:rFonts w:ascii="仿宋" w:hAnsi="仿宋" w:eastAsia="仿宋" w:cs="仿宋_GB2312"/>
                <w:color w:val="000000"/>
                <w:sz w:val="18"/>
                <w:szCs w:val="18"/>
                <w:lang w:val="zh-CN"/>
              </w:rPr>
            </w:pPr>
            <w:r>
              <w:rPr>
                <w:rFonts w:hint="eastAsia" w:ascii="仿宋" w:hAnsi="仿宋" w:eastAsia="仿宋" w:cs="仿宋_GB2312"/>
                <w:color w:val="000000"/>
                <w:sz w:val="18"/>
                <w:szCs w:val="18"/>
                <w:lang w:val="zh-CN"/>
              </w:rPr>
              <w:t>电缆单轨吊</w:t>
            </w:r>
          </w:p>
        </w:tc>
        <w:tc>
          <w:tcPr>
            <w:tcW w:w="317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仿宋" w:hAnsi="仿宋" w:eastAsia="仿宋" w:cs="仿宋_GB2312"/>
                <w:color w:val="000000"/>
                <w:sz w:val="18"/>
                <w:szCs w:val="18"/>
                <w:lang w:val="zh-CN"/>
              </w:rPr>
            </w:pPr>
            <w:r>
              <w:rPr>
                <w:rFonts w:hint="eastAsia" w:ascii="仿宋" w:hAnsi="仿宋" w:eastAsia="仿宋" w:cs="仿宋_GB2312"/>
                <w:color w:val="000000"/>
                <w:sz w:val="18"/>
                <w:szCs w:val="18"/>
                <w:lang w:val="zh-CN"/>
              </w:rPr>
              <w:t>DGY-60</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bCs/>
                <w:color w:val="000000" w:themeColor="text1"/>
                <w:kern w:val="0"/>
                <w:sz w:val="15"/>
                <w:szCs w:val="15"/>
                <w:lang w:val="zh-CN"/>
                <w14:textFill>
                  <w14:solidFill>
                    <w14:schemeClr w14:val="tx1"/>
                  </w14:solidFill>
                </w14:textFill>
              </w:rPr>
            </w:pPr>
            <w:r>
              <w:rPr>
                <w:rFonts w:hint="eastAsia" w:ascii="仿宋" w:hAnsi="仿宋" w:eastAsia="仿宋" w:cs="仿宋"/>
                <w:bCs/>
                <w:color w:val="000000" w:themeColor="text1"/>
                <w:kern w:val="0"/>
                <w:sz w:val="15"/>
                <w:szCs w:val="15"/>
                <w:lang w:val="en-US" w:eastAsia="zh-CN"/>
                <w14:textFill>
                  <w14:solidFill>
                    <w14:schemeClr w14:val="tx1"/>
                  </w14:solidFill>
                </w14:textFill>
              </w:rPr>
              <w:t>1</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hint="eastAsia" w:ascii="仿宋" w:hAnsi="仿宋" w:eastAsia="仿宋" w:cs="仿宋"/>
                <w:bCs/>
                <w:color w:val="000000" w:themeColor="text1"/>
                <w:kern w:val="0"/>
                <w:sz w:val="15"/>
                <w:szCs w:val="15"/>
                <w:lang w:val="en-US" w:eastAsia="zh-CN"/>
                <w14:textFill>
                  <w14:solidFill>
                    <w14:schemeClr w14:val="tx1"/>
                  </w14:solidFill>
                </w14:textFill>
              </w:rPr>
            </w:pPr>
            <w:r>
              <w:rPr>
                <w:rFonts w:hint="eastAsia" w:ascii="仿宋" w:hAnsi="仿宋" w:eastAsia="仿宋" w:cs="仿宋"/>
                <w:bCs/>
                <w:color w:val="000000" w:themeColor="text1"/>
                <w:kern w:val="0"/>
                <w:sz w:val="15"/>
                <w:szCs w:val="15"/>
                <w:lang w:val="en-US" w:eastAsia="zh-CN"/>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10" w:type="dxa"/>
            <w:tcBorders>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23</w:t>
            </w:r>
          </w:p>
        </w:tc>
        <w:tc>
          <w:tcPr>
            <w:tcW w:w="2135" w:type="dxa"/>
            <w:tcBorders>
              <w:left w:val="single" w:color="auto" w:sz="4" w:space="0"/>
              <w:right w:val="single" w:color="auto" w:sz="4" w:space="0"/>
            </w:tcBorders>
            <w:vAlign w:val="center"/>
          </w:tcPr>
          <w:p>
            <w:pPr>
              <w:spacing w:line="240" w:lineRule="auto"/>
              <w:ind w:firstLine="0" w:firstLineChars="0"/>
              <w:jc w:val="center"/>
              <w:rPr>
                <w:rFonts w:ascii="仿宋" w:hAnsi="仿宋" w:eastAsia="仿宋" w:cs="仿宋_GB2312"/>
                <w:color w:val="000000"/>
                <w:sz w:val="18"/>
                <w:szCs w:val="18"/>
                <w:lang w:val="zh-CN"/>
              </w:rPr>
            </w:pPr>
            <w:r>
              <w:rPr>
                <w:rFonts w:hint="eastAsia" w:ascii="仿宋" w:hAnsi="仿宋" w:eastAsia="仿宋" w:cs="Times New Roman"/>
                <w:color w:val="000000"/>
                <w:kern w:val="0"/>
                <w:sz w:val="18"/>
                <w:szCs w:val="18"/>
                <w:lang w:val="en-US" w:eastAsia="zh-CN"/>
              </w:rPr>
              <w:t>防爆柴油机无轨胶轮车</w:t>
            </w:r>
          </w:p>
        </w:tc>
        <w:tc>
          <w:tcPr>
            <w:tcW w:w="317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仿宋" w:hAnsi="仿宋" w:eastAsia="仿宋" w:cs="仿宋_GB2312"/>
                <w:color w:val="000000"/>
                <w:sz w:val="18"/>
                <w:szCs w:val="18"/>
              </w:rPr>
            </w:pPr>
            <w:r>
              <w:rPr>
                <w:rFonts w:hint="eastAsia" w:ascii="仿宋" w:hAnsi="仿宋" w:eastAsia="仿宋" w:cs="Times New Roman"/>
                <w:color w:val="000000"/>
                <w:kern w:val="0"/>
                <w:sz w:val="18"/>
                <w:szCs w:val="18"/>
                <w:lang w:val="en-US" w:eastAsia="zh-CN"/>
              </w:rPr>
              <w:t>WCJS3E</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default" w:ascii="仿宋" w:hAnsi="仿宋" w:eastAsia="仿宋" w:cs="仿宋"/>
                <w:bCs/>
                <w:color w:val="000000" w:themeColor="text1"/>
                <w:kern w:val="0"/>
                <w:sz w:val="15"/>
                <w:szCs w:val="15"/>
                <w:lang w:val="en-US"/>
                <w14:textFill>
                  <w14:solidFill>
                    <w14:schemeClr w14:val="tx1"/>
                  </w14:solidFill>
                </w14:textFill>
              </w:rPr>
            </w:pPr>
            <w:r>
              <w:rPr>
                <w:rFonts w:hint="eastAsia" w:ascii="仿宋" w:hAnsi="仿宋" w:eastAsia="仿宋" w:cs="仿宋"/>
                <w:bCs/>
                <w:color w:val="000000" w:themeColor="text1"/>
                <w:kern w:val="0"/>
                <w:sz w:val="15"/>
                <w:szCs w:val="15"/>
                <w:lang w:val="en-US" w:eastAsia="zh-CN"/>
                <w14:textFill>
                  <w14:solidFill>
                    <w14:schemeClr w14:val="tx1"/>
                  </w14:solidFill>
                </w14:textFill>
              </w:rPr>
              <w:t>1（风巷）</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hint="default" w:ascii="仿宋" w:hAnsi="仿宋" w:eastAsia="仿宋" w:cs="仿宋"/>
                <w:bCs/>
                <w:color w:val="000000" w:themeColor="text1"/>
                <w:kern w:val="0"/>
                <w:sz w:val="15"/>
                <w:szCs w:val="15"/>
                <w:lang w:val="en-US" w:eastAsia="zh-CN"/>
                <w14:textFill>
                  <w14:solidFill>
                    <w14:schemeClr w14:val="tx1"/>
                  </w14:solidFill>
                </w14:textFill>
              </w:rPr>
            </w:pPr>
            <w:r>
              <w:rPr>
                <w:rFonts w:hint="eastAsia" w:ascii="仿宋" w:hAnsi="仿宋" w:eastAsia="仿宋" w:cs="仿宋"/>
                <w:bCs/>
                <w:color w:val="000000" w:themeColor="text1"/>
                <w:kern w:val="0"/>
                <w:sz w:val="15"/>
                <w:szCs w:val="15"/>
                <w:lang w:val="en-US" w:eastAsia="zh-CN"/>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tcBorders>
              <w:left w:val="single" w:color="auto" w:sz="12"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24</w:t>
            </w:r>
          </w:p>
        </w:tc>
        <w:tc>
          <w:tcPr>
            <w:tcW w:w="2135" w:type="dxa"/>
            <w:tcBorders>
              <w:left w:val="single" w:color="auto" w:sz="4" w:space="0"/>
              <w:right w:val="single" w:color="auto" w:sz="4" w:space="0"/>
            </w:tcBorders>
            <w:vAlign w:val="center"/>
          </w:tcPr>
          <w:p>
            <w:pPr>
              <w:spacing w:line="240" w:lineRule="auto"/>
              <w:ind w:firstLine="0" w:firstLineChars="0"/>
              <w:jc w:val="center"/>
              <w:rPr>
                <w:rFonts w:ascii="仿宋" w:hAnsi="仿宋" w:eastAsia="仿宋" w:cs="仿宋_GB2312"/>
                <w:color w:val="000000"/>
                <w:sz w:val="18"/>
                <w:szCs w:val="18"/>
                <w:lang w:val="zh-CN"/>
              </w:rPr>
            </w:pPr>
            <w:r>
              <w:rPr>
                <w:rFonts w:hint="eastAsia" w:ascii="仿宋" w:hAnsi="仿宋" w:eastAsia="仿宋" w:cs="仿宋_GB2312"/>
                <w:color w:val="000000"/>
                <w:sz w:val="18"/>
                <w:szCs w:val="18"/>
                <w:lang w:val="zh-CN"/>
              </w:rPr>
              <w:t>远程供液管路</w:t>
            </w:r>
          </w:p>
        </w:tc>
        <w:tc>
          <w:tcPr>
            <w:tcW w:w="317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仿宋" w:hAnsi="仿宋" w:eastAsia="仿宋" w:cs="仿宋_GB2312"/>
                <w:color w:val="000000"/>
                <w:sz w:val="18"/>
                <w:szCs w:val="18"/>
              </w:rPr>
            </w:pPr>
            <w:r>
              <w:rPr>
                <w:rFonts w:hint="eastAsia" w:ascii="仿宋" w:hAnsi="仿宋" w:eastAsia="仿宋" w:cs="仿宋_GB2312"/>
                <w:color w:val="000000"/>
                <w:sz w:val="18"/>
                <w:szCs w:val="18"/>
                <w:lang w:val="zh-CN"/>
              </w:rPr>
              <w:t>一路φ</w:t>
            </w:r>
            <w:r>
              <w:rPr>
                <w:rFonts w:hint="eastAsia" w:ascii="仿宋" w:hAnsi="仿宋" w:eastAsia="仿宋" w:cs="仿宋_GB2312"/>
                <w:color w:val="000000"/>
                <w:sz w:val="18"/>
                <w:szCs w:val="18"/>
              </w:rPr>
              <w:t>108，一路φ89，一路φ54</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bCs/>
                <w:color w:val="000000" w:themeColor="text1"/>
                <w:kern w:val="0"/>
                <w:sz w:val="15"/>
                <w:szCs w:val="15"/>
                <w:lang w:val="zh-CN"/>
                <w14:textFill>
                  <w14:solidFill>
                    <w14:schemeClr w14:val="tx1"/>
                  </w14:solidFill>
                </w14:textFill>
              </w:rPr>
            </w:pPr>
            <w:r>
              <w:rPr>
                <w:rFonts w:hint="eastAsia" w:ascii="仿宋" w:hAnsi="仿宋" w:eastAsia="仿宋" w:cs="仿宋"/>
                <w:bCs/>
                <w:color w:val="000000" w:themeColor="text1"/>
                <w:kern w:val="0"/>
                <w:sz w:val="15"/>
                <w:szCs w:val="15"/>
                <w:lang w:val="zh-CN"/>
                <w14:textFill>
                  <w14:solidFill>
                    <w14:schemeClr w14:val="tx1"/>
                  </w14:solidFill>
                </w14:textFill>
              </w:rPr>
              <w:t>3路各</w:t>
            </w:r>
            <w:r>
              <w:rPr>
                <w:rFonts w:hint="eastAsia" w:ascii="仿宋" w:hAnsi="仿宋" w:eastAsia="仿宋" w:cs="仿宋"/>
                <w:bCs/>
                <w:color w:val="000000" w:themeColor="text1"/>
                <w:kern w:val="0"/>
                <w:sz w:val="15"/>
                <w:szCs w:val="15"/>
                <w14:textFill>
                  <w14:solidFill>
                    <w14:schemeClr w14:val="tx1"/>
                  </w14:solidFill>
                </w14:textFill>
              </w:rPr>
              <w:t>900</w:t>
            </w:r>
            <w:r>
              <w:rPr>
                <w:rFonts w:hint="eastAsia" w:ascii="仿宋" w:hAnsi="仿宋" w:eastAsia="仿宋" w:cs="仿宋"/>
                <w:bCs/>
                <w:color w:val="000000" w:themeColor="text1"/>
                <w:kern w:val="0"/>
                <w:sz w:val="15"/>
                <w:szCs w:val="15"/>
                <w:lang w:val="zh-CN"/>
                <w14:textFill>
                  <w14:solidFill>
                    <w14:schemeClr w14:val="tx1"/>
                  </w14:solidFill>
                </w14:textFill>
              </w:rPr>
              <w:t>米</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hint="eastAsia" w:ascii="仿宋" w:hAnsi="仿宋" w:eastAsia="仿宋" w:cs="仿宋"/>
                <w:bCs/>
                <w:color w:val="000000" w:themeColor="text1"/>
                <w:kern w:val="0"/>
                <w:sz w:val="15"/>
                <w:szCs w:val="15"/>
                <w:lang w:val="en-US" w:eastAsia="zh-CN"/>
                <w14:textFill>
                  <w14:solidFill>
                    <w14:schemeClr w14:val="tx1"/>
                  </w14:solidFill>
                </w14:textFill>
              </w:rPr>
            </w:pPr>
            <w:r>
              <w:rPr>
                <w:rFonts w:hint="eastAsia" w:ascii="仿宋" w:hAnsi="仿宋" w:eastAsia="仿宋" w:cs="仿宋"/>
                <w:bCs/>
                <w:color w:val="000000" w:themeColor="text1"/>
                <w:kern w:val="0"/>
                <w:sz w:val="15"/>
                <w:szCs w:val="15"/>
                <w:lang w:val="en-US" w:eastAsia="zh-CN"/>
                <w14:textFill>
                  <w14:solidFill>
                    <w14:schemeClr w14:val="tx1"/>
                  </w14:solidFill>
                </w14:textFill>
              </w:rPr>
              <w:t>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0" w:type="dxa"/>
            <w:tcBorders>
              <w:left w:val="single" w:color="auto" w:sz="12"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25</w:t>
            </w:r>
          </w:p>
        </w:tc>
        <w:tc>
          <w:tcPr>
            <w:tcW w:w="2135" w:type="dxa"/>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仿宋" w:hAnsi="仿宋" w:eastAsia="仿宋" w:cs="仿宋_GB2312"/>
                <w:color w:val="000000"/>
                <w:sz w:val="18"/>
                <w:szCs w:val="18"/>
                <w:lang w:val="zh-CN"/>
              </w:rPr>
            </w:pPr>
            <w:r>
              <w:rPr>
                <w:rFonts w:hint="eastAsia" w:ascii="仿宋" w:hAnsi="仿宋" w:eastAsia="仿宋" w:cs="仿宋_GB2312"/>
                <w:color w:val="000000"/>
                <w:sz w:val="18"/>
                <w:szCs w:val="18"/>
                <w:lang w:val="zh-CN"/>
              </w:rPr>
              <w:t>高压总馈电柜</w:t>
            </w:r>
          </w:p>
        </w:tc>
        <w:tc>
          <w:tcPr>
            <w:tcW w:w="317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仿宋" w:hAnsi="仿宋" w:eastAsia="仿宋" w:cs="仿宋_GB2312"/>
                <w:color w:val="000000"/>
                <w:sz w:val="18"/>
                <w:szCs w:val="18"/>
                <w:lang w:val="zh-CN"/>
              </w:rPr>
            </w:pPr>
            <w:r>
              <w:rPr>
                <w:rFonts w:hint="eastAsia" w:ascii="仿宋" w:hAnsi="仿宋" w:eastAsia="仿宋" w:cs="仿宋_GB2312"/>
                <w:color w:val="000000"/>
                <w:sz w:val="18"/>
                <w:szCs w:val="18"/>
                <w:lang w:val="zh-CN"/>
              </w:rPr>
              <w:t>PBG23-10/400/5</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bCs/>
                <w:color w:val="000000" w:themeColor="text1"/>
                <w:kern w:val="0"/>
                <w:sz w:val="15"/>
                <w:szCs w:val="15"/>
                <w:lang w:val="zh-CN"/>
                <w14:textFill>
                  <w14:solidFill>
                    <w14:schemeClr w14:val="tx1"/>
                  </w14:solidFill>
                </w14:textFill>
              </w:rPr>
            </w:pPr>
            <w:r>
              <w:rPr>
                <w:rFonts w:hint="eastAsia" w:ascii="仿宋" w:hAnsi="仿宋" w:eastAsia="仿宋" w:cs="仿宋"/>
                <w:bCs/>
                <w:color w:val="000000" w:themeColor="text1"/>
                <w:kern w:val="0"/>
                <w:sz w:val="15"/>
                <w:szCs w:val="15"/>
                <w:lang w:val="en-US" w:eastAsia="zh-CN"/>
                <w14:textFill>
                  <w14:solidFill>
                    <w14:schemeClr w14:val="tx1"/>
                  </w14:solidFill>
                </w14:textFill>
              </w:rPr>
              <w:t>2</w:t>
            </w:r>
          </w:p>
        </w:tc>
        <w:tc>
          <w:tcPr>
            <w:tcW w:w="875" w:type="dxa"/>
            <w:tcBorders>
              <w:top w:val="single" w:color="auto" w:sz="4" w:space="0"/>
              <w:left w:val="single" w:color="auto" w:sz="4" w:space="0"/>
              <w:bottom w:val="single" w:color="auto" w:sz="4" w:space="0"/>
              <w:right w:val="single" w:color="auto" w:sz="12" w:space="0"/>
            </w:tcBorders>
            <w:vAlign w:val="center"/>
          </w:tcPr>
          <w:p>
            <w:pPr>
              <w:widowControl/>
              <w:snapToGrid w:val="0"/>
              <w:spacing w:line="240" w:lineRule="atLeast"/>
              <w:ind w:firstLine="0" w:firstLineChars="0"/>
              <w:jc w:val="center"/>
              <w:rPr>
                <w:rFonts w:hint="eastAsia" w:ascii="仿宋" w:hAnsi="仿宋" w:eastAsia="仿宋" w:cs="仿宋"/>
                <w:bCs/>
                <w:color w:val="000000" w:themeColor="text1"/>
                <w:kern w:val="0"/>
                <w:sz w:val="15"/>
                <w:szCs w:val="15"/>
                <w:lang w:val="en-US" w:eastAsia="zh-CN"/>
                <w14:textFill>
                  <w14:solidFill>
                    <w14:schemeClr w14:val="tx1"/>
                  </w14:solidFill>
                </w14:textFill>
              </w:rPr>
            </w:pPr>
            <w:r>
              <w:rPr>
                <w:rFonts w:hint="eastAsia" w:ascii="仿宋" w:hAnsi="仿宋" w:eastAsia="仿宋" w:cs="仿宋"/>
                <w:bCs/>
                <w:color w:val="000000" w:themeColor="text1"/>
                <w:kern w:val="0"/>
                <w:sz w:val="15"/>
                <w:szCs w:val="15"/>
                <w:lang w:val="en-US" w:eastAsia="zh-CN"/>
                <w14:textFill>
                  <w14:solidFill>
                    <w14:schemeClr w14:val="tx1"/>
                  </w14:solidFill>
                </w14:textFill>
              </w:rPr>
              <w:t>台</w:t>
            </w:r>
          </w:p>
        </w:tc>
      </w:tr>
    </w:tbl>
    <w:p>
      <w:pPr>
        <w:pStyle w:val="12"/>
        <w:snapToGrid w:val="0"/>
        <w:spacing w:after="0"/>
        <w:ind w:firstLine="422"/>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见附图3：1303工作面设备布置及支护示意图</w:t>
      </w:r>
    </w:p>
    <w:p>
      <w:pPr>
        <w:pStyle w:val="60"/>
        <w:snapToGrid w:val="0"/>
        <w:spacing w:line="240" w:lineRule="atLeas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二、设备的主要技术参数</w:t>
      </w:r>
    </w:p>
    <w:p>
      <w:pPr>
        <w:pStyle w:val="67"/>
        <w:snapToGrid w:val="0"/>
        <w:spacing w:line="240" w:lineRule="atLeas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1、液压支架</w:t>
      </w:r>
    </w:p>
    <w:p>
      <w:pPr>
        <w:snapToGrid w:val="0"/>
        <w:spacing w:line="240" w:lineRule="atLeast"/>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（1）基本支架</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号：             ZF16000/21/38</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式：             四柱四连杆支撑掩护式</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高度范围：             2.1～3.8m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宽    度：             1.66～1.86m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 心 距：             1.75m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初 撑 力：             12824kN（P=31.5MPa）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工作阻力：             16000kN（P=39.3MPa）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支护强度：             （平均）约1.59MPa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底板比压：             （平均）约3.45MPa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推移步距：             900mm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操纵方式：             电液控制，放煤机构采用本架控制</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支架重量：             约42.6t</w:t>
      </w:r>
    </w:p>
    <w:p>
      <w:pPr>
        <w:snapToGrid w:val="0"/>
        <w:spacing w:line="240" w:lineRule="atLeast"/>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（2）过渡支架</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号：             ZFG16000/26/38</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式：             四柱支撑掩护式</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高度范围：             2.6～3.8m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宽    度：             1.66～1.86m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 心 距：             1.75m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初 撑 力：             12824kN（P=31.5MPa）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工作阻力：             16000kN（P=39.3MPa）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支护强度：             （平均）约1.37MPa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底板比压：             （平均）约3.39MPa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推移步距：             900mm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操纵方式：             电液控制</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支架重量：             约43.1t</w:t>
      </w:r>
    </w:p>
    <w:p>
      <w:pPr>
        <w:snapToGrid w:val="0"/>
        <w:spacing w:line="240" w:lineRule="atLeast"/>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（3）特殊过渡支架</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号：             ZFG16000/26/38</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式：             四柱支撑掩护式</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高度范围：             2.6～3.8m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宽    度：             1.66～1.86m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 心 距：             1.75m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初 撑 力：             12824kN（P=31.5MPa）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工作阻力：             16000kN（P=39.3MPa）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支护强度：            （平均）约1.37MPa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底板比压：            （平均）约 3.39MPa</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推移步距：             900mm</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操纵方式：             电液控制</w:t>
      </w:r>
    </w:p>
    <w:p>
      <w:pPr>
        <w:snapToGrid w:val="0"/>
        <w:spacing w:line="240" w:lineRule="atLeast"/>
        <w:ind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支架重量：             约43.1t</w:t>
      </w:r>
    </w:p>
    <w:p>
      <w:pPr>
        <w:snapToGrid w:val="0"/>
        <w:spacing w:line="240" w:lineRule="atLeast"/>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（4）端头支架</w:t>
      </w:r>
    </w:p>
    <w:p>
      <w:pPr>
        <w:snapToGrid w:val="0"/>
        <w:spacing w:line="240" w:lineRule="atLeast"/>
        <w:ind w:firstLine="715" w:firstLineChars="2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号：              ZFT38000/26/40</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式：              中置八柱支撑掩护式</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高度范围：              2.6～4.0m  </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支护宽度：              3.15—3.61m</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初 撑 力：              25648KN(P=31.5MPa)</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工作阻力：              38000KN(P=46.7MPa)</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支护强度：              (平均)约0.86 MPa</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对底板比压：            (平均)约2.54 MPa</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推移步距：              900mm</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适应煤层倾角：          ≤15°</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操作方式：              电液控制</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重    量：              约121.5t</w:t>
      </w:r>
    </w:p>
    <w:p>
      <w:pPr>
        <w:snapToGrid w:val="0"/>
        <w:spacing w:line="240" w:lineRule="atLeast"/>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（5）超前支架</w:t>
      </w:r>
    </w:p>
    <w:p>
      <w:pPr>
        <w:snapToGrid w:val="0"/>
        <w:spacing w:line="240" w:lineRule="atLeast"/>
        <w:ind w:firstLine="708" w:firstLineChars="295"/>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号：              ZQL2×6000/23/45</w:t>
      </w:r>
    </w:p>
    <w:p>
      <w:pPr>
        <w:snapToGrid w:val="0"/>
        <w:spacing w:line="240" w:lineRule="atLeas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型    式：              四连杆支撑掩护式</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高度范围：              2.3～4.5m  </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顶梁宽度：              0.9m</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初 撑 力：              2×5066KN(P=31.5MPa)</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工作阻力：              2×6000KN(P=37.3MPa)</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支护强度：              (平均)约0.47 MPa</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对底板比压：            (平均)约1.93 MPa</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推移步距：              900mm</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操作方式：              电液控制</w:t>
      </w:r>
    </w:p>
    <w:p>
      <w:pPr>
        <w:snapToGrid w:val="0"/>
        <w:spacing w:line="240" w:lineRule="atLeast"/>
        <w:ind w:left="559" w:leftChars="266"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重    量：              约24.2t/单架</w:t>
      </w:r>
    </w:p>
    <w:p>
      <w:pPr>
        <w:snapToGrid w:val="0"/>
        <w:spacing w:line="240" w:lineRule="atLeast"/>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（6）单元式支架</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号：              ZQ4000/20.6/45</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型    式：             支撑式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支撑高度：             2.06～4.5m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支护宽度：             0.9m（底座）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初 撑 力：            （P=31.5MPa） 3092KN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工作阻力：             4000KN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支护强度：             4.85MPa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泵站压力：             31.5MPa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操作方式：             本架操作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立    柱：             双伸缩 2 根/架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缸    径：           250/180mm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柱    径：           235/160mm </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底板比压：             3.83MPa</w:t>
      </w:r>
    </w:p>
    <w:p>
      <w:pPr>
        <w:widowControl/>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支架重量：             4.42t  </w:t>
      </w:r>
    </w:p>
    <w:p>
      <w:pPr>
        <w:pStyle w:val="67"/>
        <w:snapToGrid w:val="0"/>
        <w:spacing w:line="240" w:lineRule="atLeas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2、采煤机</w:t>
      </w:r>
    </w:p>
    <w:p>
      <w:pPr>
        <w:snapToGrid w:val="0"/>
        <w:spacing w:line="240" w:lineRule="atLeas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工作面采煤机选用西安煤机厂生产的MG650/1510-WD型采煤机，其主要技术参数为：</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采高范围：</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2.5～4.5m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煤质硬度：              硬或中硬</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机面高度：              1662mm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适应煤层倾角：          ≤35°</w:t>
      </w:r>
    </w:p>
    <w:p>
      <w:pPr>
        <w:tabs>
          <w:tab w:val="left" w:pos="3600"/>
        </w:tabs>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下切深度：</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598mm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过煤高度：              692mm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供电电压：</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3300V</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供电频率：</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50Hz</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总装机功率：</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1510KW（2×650KW+2×90KW+30KW）</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滚筒直径：              2400mm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滚筒截深：              800mm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滚筒转速：           </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29.76r/min</w:t>
      </w:r>
    </w:p>
    <w:p>
      <w:pPr>
        <w:tabs>
          <w:tab w:val="left" w:pos="3600"/>
        </w:tabs>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摇臂长度：</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2775mm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摇臂摆动中心距：        8120mm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牵引型式:               交流变频调速，电机驱动齿轮销轨式无链牵引</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牵 引 力：              890～547KN</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牵引速度：              0～10.3～16.8m/min</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整机重量：              约80t</w:t>
      </w:r>
    </w:p>
    <w:p>
      <w:pPr>
        <w:pStyle w:val="67"/>
        <w:snapToGrid w:val="0"/>
        <w:spacing w:line="240" w:lineRule="atLeast"/>
        <w:ind w:firstLine="24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3、工作面运输设备</w:t>
      </w:r>
    </w:p>
    <w:p>
      <w:pPr>
        <w:snapToGrid w:val="0"/>
        <w:spacing w:line="240" w:lineRule="atLeast"/>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（1）前、后部运输机</w:t>
      </w:r>
    </w:p>
    <w:p>
      <w:pPr>
        <w:snapToGrid w:val="0"/>
        <w:spacing w:line="240" w:lineRule="atLeas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工作面前、后部运输机选用SGZ1000/1710型整体铸焊封底式溜槽刮板运输机，其主要技术参数为：</w:t>
      </w:r>
    </w:p>
    <w:p>
      <w:pPr>
        <w:snapToGrid w:val="0"/>
        <w:spacing w:line="240" w:lineRule="atLeas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标准长度：             </w:t>
      </w:r>
      <w:r>
        <w:rPr>
          <w:rFonts w:hint="eastAsia" w:ascii="仿宋" w:hAnsi="仿宋" w:eastAsia="仿宋" w:cs="仿宋"/>
          <w:color w:val="000000" w:themeColor="text1"/>
          <w:sz w:val="24"/>
          <w:lang w:val="en-US" w:eastAsia="zh-CN"/>
          <w14:textFill>
            <w14:solidFill>
              <w14:schemeClr w14:val="tx1"/>
            </w14:solidFill>
          </w14:textFill>
        </w:rPr>
        <w:t>180</w:t>
      </w:r>
      <w:r>
        <w:rPr>
          <w:rFonts w:hint="eastAsia" w:ascii="仿宋" w:hAnsi="仿宋" w:eastAsia="仿宋" w:cs="仿宋"/>
          <w:color w:val="000000" w:themeColor="text1"/>
          <w:sz w:val="24"/>
          <w14:textFill>
            <w14:solidFill>
              <w14:schemeClr w14:val="tx1"/>
            </w14:solidFill>
          </w14:textFill>
        </w:rPr>
        <w:t>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电机功率：             2×855KW</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电动机电压：           3300V</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冷却方式：             水冷</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输送能力：             2500t/h</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刮板链速度：           1.44m/s</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刮板链形式：           中双链 </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圆环链规格：           Φ48×152mm紧凑链</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链中心距：             280mm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中部槽规格：        前部运输机（长×内宽×高）1750×1000×372mm</w:t>
      </w:r>
    </w:p>
    <w:p>
      <w:pPr>
        <w:snapToGrid w:val="0"/>
        <w:spacing w:line="240" w:lineRule="atLeast"/>
        <w:ind w:firstLine="3120" w:firstLineChars="1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后部运输机（长×内宽×高）1750×1000×376mm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卸载方式：             端卸式</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紧链方式：             液压马达低速紧链和机尾伸缩辅助紧链</w:t>
      </w:r>
    </w:p>
    <w:p>
      <w:pPr>
        <w:snapToGrid w:val="0"/>
        <w:spacing w:line="240" w:lineRule="atLeast"/>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（2）转载机</w:t>
      </w:r>
    </w:p>
    <w:p>
      <w:pPr>
        <w:snapToGrid w:val="0"/>
        <w:spacing w:line="240" w:lineRule="atLeast"/>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工作面选用SZZ1200/</w:t>
      </w:r>
      <w:r>
        <w:rPr>
          <w:rFonts w:hint="eastAsia" w:ascii="仿宋" w:hAnsi="仿宋" w:eastAsia="仿宋" w:cs="仿宋"/>
          <w:color w:val="000000" w:themeColor="text1"/>
          <w:sz w:val="24"/>
          <w:lang w:val="en-US" w:eastAsia="zh-CN"/>
          <w14:textFill>
            <w14:solidFill>
              <w14:schemeClr w14:val="tx1"/>
            </w14:solidFill>
          </w14:textFill>
        </w:rPr>
        <w:t>700</w:t>
      </w:r>
      <w:r>
        <w:rPr>
          <w:rFonts w:hint="eastAsia" w:ascii="仿宋" w:hAnsi="仿宋" w:eastAsia="仿宋" w:cs="仿宋"/>
          <w:color w:val="000000" w:themeColor="text1"/>
          <w:sz w:val="24"/>
          <w14:textFill>
            <w14:solidFill>
              <w14:schemeClr w14:val="tx1"/>
            </w14:solidFill>
          </w14:textFill>
        </w:rPr>
        <w:t>型桥式转载机，其主要技术参数为：</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输送能力：             3500t/h</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爬坡角度：             10°</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供电电压：             3300v  </w:t>
      </w:r>
    </w:p>
    <w:p>
      <w:pPr>
        <w:snapToGrid w:val="0"/>
        <w:spacing w:line="240" w:lineRule="atLeast"/>
        <w:ind w:firstLine="720" w:firstLineChars="3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电机功率：             </w:t>
      </w:r>
      <w:r>
        <w:rPr>
          <w:rFonts w:hint="eastAsia" w:ascii="仿宋" w:hAnsi="仿宋" w:eastAsia="仿宋" w:cs="仿宋"/>
          <w:color w:val="000000" w:themeColor="text1"/>
          <w:sz w:val="24"/>
          <w:lang w:val="en-US" w:eastAsia="zh-CN"/>
          <w14:textFill>
            <w14:solidFill>
              <w14:schemeClr w14:val="tx1"/>
            </w14:solidFill>
          </w14:textFill>
        </w:rPr>
        <w:t>700</w:t>
      </w:r>
      <w:r>
        <w:rPr>
          <w:rFonts w:hint="eastAsia" w:ascii="仿宋" w:hAnsi="仿宋" w:eastAsia="仿宋" w:cs="仿宋"/>
          <w:color w:val="000000" w:themeColor="text1"/>
          <w:sz w:val="24"/>
          <w14:textFill>
            <w14:solidFill>
              <w14:schemeClr w14:val="tx1"/>
            </w14:solidFill>
          </w14:textFill>
        </w:rPr>
        <w:t>KW</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冷却方式：             水冷</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驱动链轮齿数：         7（头）、5（尾）</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刮板链速度：           1.81m/s</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刮板链形式：           中双链 </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圆环链规格：           Φ38×137mm紧凑链</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链    距：             500mm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机尾部中部槽规格：   （长×内宽）1500×1200mm、整体箱式焊接结构</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卸载方式：             端卸式</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紧链方式：             液压马达+阻链器紧链+伸缩机头辅助紧链</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自移装置：</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MY1100 型迈步自移装置（最大的自移行程1100mm）</w:t>
      </w:r>
    </w:p>
    <w:p>
      <w:pPr>
        <w:snapToGrid w:val="0"/>
        <w:spacing w:line="240" w:lineRule="atLeast"/>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（3）破碎机</w:t>
      </w:r>
    </w:p>
    <w:p>
      <w:pPr>
        <w:snapToGrid w:val="0"/>
        <w:spacing w:line="240" w:lineRule="atLeast"/>
        <w:ind w:firstLine="638" w:firstLineChars="266"/>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工作面选用PCM400型锤式破碎机，其主要技术参数为：</w:t>
      </w:r>
    </w:p>
    <w:p>
      <w:pPr>
        <w:tabs>
          <w:tab w:val="left" w:pos="3420"/>
        </w:tabs>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通过能力：</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3500t/h</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最大输入块度：         ≤长度不限×1200×900mm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最大出料粒度：         ≤300mm</w:t>
      </w:r>
    </w:p>
    <w:p>
      <w:pPr>
        <w:snapToGrid w:val="0"/>
        <w:spacing w:line="240" w:lineRule="atLeast"/>
        <w:ind w:firstLine="720" w:firstLineChars="3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破碎锤头数：           18</w:t>
      </w:r>
    </w:p>
    <w:p>
      <w:pPr>
        <w:snapToGrid w:val="0"/>
        <w:spacing w:line="240" w:lineRule="atLeast"/>
        <w:ind w:firstLine="676" w:firstLineChars="2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破碎锤头冲击速度：     22m/s</w:t>
      </w:r>
    </w:p>
    <w:p>
      <w:pPr>
        <w:snapToGrid w:val="0"/>
        <w:spacing w:line="240" w:lineRule="atLeast"/>
        <w:ind w:firstLine="676" w:firstLineChars="2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破碎板厚度：           80mm</w:t>
      </w:r>
    </w:p>
    <w:p>
      <w:pPr>
        <w:snapToGrid w:val="0"/>
        <w:spacing w:line="240" w:lineRule="atLeast"/>
        <w:ind w:firstLine="676" w:firstLineChars="282"/>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电机功率：             400KW</w:t>
      </w:r>
    </w:p>
    <w:p>
      <w:pPr>
        <w:snapToGrid w:val="0"/>
        <w:spacing w:line="240" w:lineRule="atLeast"/>
        <w:ind w:firstLine="676" w:firstLineChars="2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额定电压：             3300V</w:t>
      </w:r>
    </w:p>
    <w:p>
      <w:pPr>
        <w:snapToGrid w:val="0"/>
        <w:spacing w:line="240" w:lineRule="atLeast"/>
        <w:ind w:firstLine="676" w:firstLineChars="2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机器总重：             33654Kg</w:t>
      </w:r>
    </w:p>
    <w:p>
      <w:pPr>
        <w:snapToGrid w:val="0"/>
        <w:spacing w:line="240" w:lineRule="atLeast"/>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（4）机巷带式输送机</w:t>
      </w:r>
    </w:p>
    <w:p>
      <w:pPr>
        <w:snapToGrid w:val="0"/>
        <w:spacing w:line="240" w:lineRule="atLeast"/>
        <w:ind w:firstLine="720" w:firstLineChars="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选用</w:t>
      </w:r>
      <w:r>
        <w:rPr>
          <w:rFonts w:hint="eastAsia" w:ascii="仿宋" w:hAnsi="仿宋" w:eastAsia="仿宋" w:cs="仿宋"/>
          <w:color w:val="000000" w:themeColor="text1"/>
          <w:sz w:val="24"/>
          <w:lang w:val="zh-CN"/>
          <w14:textFill>
            <w14:solidFill>
              <w14:schemeClr w14:val="tx1"/>
            </w14:solidFill>
          </w14:textFill>
        </w:rPr>
        <w:t>DSJ-1400/</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500</w:t>
      </w:r>
      <w:r>
        <w:rPr>
          <w:rFonts w:hint="eastAsia" w:ascii="仿宋" w:hAnsi="仿宋" w:eastAsia="仿宋" w:cs="仿宋"/>
          <w:color w:val="000000" w:themeColor="text1"/>
          <w:kern w:val="0"/>
          <w:sz w:val="24"/>
          <w14:textFill>
            <w14:solidFill>
              <w14:schemeClr w14:val="tx1"/>
            </w14:solidFill>
          </w14:textFill>
        </w:rPr>
        <w:t>型可伸缩带式输送机</w:t>
      </w:r>
      <w:r>
        <w:rPr>
          <w:rFonts w:hint="eastAsia" w:ascii="仿宋" w:hAnsi="仿宋" w:eastAsia="仿宋" w:cs="仿宋"/>
          <w:color w:val="000000" w:themeColor="text1"/>
          <w:sz w:val="24"/>
          <w14:textFill>
            <w14:solidFill>
              <w14:schemeClr w14:val="tx1"/>
            </w14:solidFill>
          </w14:textFill>
        </w:rPr>
        <w:t>，其主要技术参数为：</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输送能力：             3000t/h</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提升高度：             218m </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胶带宽度：             1400mm</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带    速：             </w:t>
      </w:r>
      <w:r>
        <w:rPr>
          <w:rFonts w:hint="eastAsia" w:ascii="仿宋" w:hAnsi="仿宋" w:eastAsia="仿宋" w:cs="仿宋"/>
          <w:color w:val="000000" w:themeColor="text1"/>
          <w:sz w:val="24"/>
          <w:lang w:val="en-US" w:eastAsia="zh-CN"/>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 xml:space="preserve">m/s </w:t>
      </w:r>
    </w:p>
    <w:p>
      <w:pPr>
        <w:snapToGrid w:val="0"/>
        <w:spacing w:line="240" w:lineRule="atLeast"/>
        <w:ind w:firstLine="720" w:firstLineChars="3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主电机电压：           </w:t>
      </w:r>
      <w:r>
        <w:rPr>
          <w:rFonts w:hint="eastAsia" w:ascii="仿宋" w:hAnsi="仿宋" w:eastAsia="仿宋" w:cs="仿宋"/>
          <w:color w:val="000000" w:themeColor="text1"/>
          <w:sz w:val="24"/>
          <w:lang w:val="en-US" w:eastAsia="zh-CN"/>
          <w14:textFill>
            <w14:solidFill>
              <w14:schemeClr w14:val="tx1"/>
            </w14:solidFill>
          </w14:textFill>
        </w:rPr>
        <w:t>1140</w:t>
      </w:r>
      <w:r>
        <w:rPr>
          <w:rFonts w:hint="eastAsia" w:ascii="仿宋" w:hAnsi="仿宋" w:eastAsia="仿宋" w:cs="仿宋"/>
          <w:color w:val="000000" w:themeColor="text1"/>
          <w:sz w:val="24"/>
          <w14:textFill>
            <w14:solidFill>
              <w14:schemeClr w14:val="tx1"/>
            </w14:solidFill>
          </w14:textFill>
        </w:rPr>
        <w:t>V</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主电机功率：           2×500KW</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储带结构：             6层</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自移机尾：             ZY2700型自移装置（最大的自移行程2700mm）</w:t>
      </w:r>
    </w:p>
    <w:p>
      <w:pPr>
        <w:pStyle w:val="67"/>
        <w:snapToGrid w:val="0"/>
        <w:spacing w:line="240" w:lineRule="atLeast"/>
        <w:ind w:firstLine="24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4、泵站</w:t>
      </w:r>
    </w:p>
    <w:p>
      <w:pPr>
        <w:snapToGrid w:val="0"/>
        <w:spacing w:line="240" w:lineRule="atLeast"/>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（1）乳化泵</w:t>
      </w:r>
    </w:p>
    <w:p>
      <w:pPr>
        <w:snapToGrid w:val="0"/>
        <w:spacing w:line="240" w:lineRule="atLeast"/>
        <w:ind w:firstLine="720" w:firstLineChars="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型    号：             BRW400/37.5</w:t>
      </w:r>
    </w:p>
    <w:p>
      <w:pPr>
        <w:snapToGrid w:val="0"/>
        <w:spacing w:line="240" w:lineRule="atLeast"/>
        <w:ind w:firstLine="720" w:firstLineChars="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电机功率：             315KW</w:t>
      </w:r>
    </w:p>
    <w:p>
      <w:pPr>
        <w:widowControl/>
        <w:snapToGrid w:val="0"/>
        <w:spacing w:line="240" w:lineRule="atLeast"/>
        <w:ind w:firstLine="720" w:firstLineChars="3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电    压：             1140V</w:t>
      </w:r>
    </w:p>
    <w:p>
      <w:pPr>
        <w:widowControl/>
        <w:snapToGrid w:val="0"/>
        <w:spacing w:line="240" w:lineRule="atLeast"/>
        <w:ind w:firstLine="720" w:firstLineChars="3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额定压力：             37.5Mpa</w:t>
      </w:r>
    </w:p>
    <w:p>
      <w:pPr>
        <w:widowControl/>
        <w:snapToGrid w:val="0"/>
        <w:spacing w:line="240" w:lineRule="atLeast"/>
        <w:ind w:firstLine="720" w:firstLineChars="3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额定流量：             400L/min</w:t>
      </w:r>
    </w:p>
    <w:p>
      <w:pPr>
        <w:widowControl/>
        <w:snapToGrid w:val="0"/>
        <w:spacing w:line="240" w:lineRule="atLeast"/>
        <w:ind w:firstLine="720" w:firstLineChars="3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安全阀出厂调定压力：   41.25-43.15 Mpa</w:t>
      </w:r>
    </w:p>
    <w:p>
      <w:pPr>
        <w:widowControl/>
        <w:snapToGrid w:val="0"/>
        <w:spacing w:line="240" w:lineRule="atLeast"/>
        <w:ind w:firstLine="720" w:firstLineChars="3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卸载阀出厂调定压力：   37.5Mpa</w:t>
      </w:r>
    </w:p>
    <w:p>
      <w:pPr>
        <w:widowControl/>
        <w:snapToGrid w:val="0"/>
        <w:spacing w:line="240" w:lineRule="atLeast"/>
        <w:ind w:firstLine="720" w:firstLineChars="3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卸载阀恢复工作压力：   卸载阀调定压力的75-85%</w:t>
      </w:r>
    </w:p>
    <w:p>
      <w:pPr>
        <w:widowControl/>
        <w:snapToGrid w:val="0"/>
        <w:spacing w:line="240" w:lineRule="atLeast"/>
        <w:ind w:firstLine="720" w:firstLineChars="3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配备乳化液箱型号：     RX400/30BZ</w:t>
      </w:r>
    </w:p>
    <w:p>
      <w:pPr>
        <w:widowControl/>
        <w:snapToGrid w:val="0"/>
        <w:spacing w:line="240" w:lineRule="atLeas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工作介质：             </w:t>
      </w:r>
      <w:r>
        <w:rPr>
          <w:rFonts w:hint="eastAsia" w:ascii="仿宋" w:hAnsi="仿宋" w:eastAsia="仿宋" w:cs="仿宋"/>
          <w:color w:val="000000" w:themeColor="text1"/>
          <w:sz w:val="24"/>
          <w14:textFill>
            <w14:solidFill>
              <w14:schemeClr w14:val="tx1"/>
            </w14:solidFill>
          </w14:textFill>
        </w:rPr>
        <w:t>高浓缩液的浓度在2-3%</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数    量：             3泵2箱</w:t>
      </w:r>
    </w:p>
    <w:p>
      <w:pPr>
        <w:snapToGrid w:val="0"/>
        <w:spacing w:line="240" w:lineRule="atLeast"/>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（2）喷雾泵</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    号：             BPW315/10BZ</w:t>
      </w:r>
    </w:p>
    <w:p>
      <w:pPr>
        <w:snapToGrid w:val="0"/>
        <w:spacing w:line="240" w:lineRule="atLeast"/>
        <w:ind w:firstLine="720" w:firstLineChars="3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电机功率：             75KW</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    压：             1140V</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额定压力：             10Mpa</w:t>
      </w:r>
    </w:p>
    <w:p>
      <w:pPr>
        <w:pStyle w:val="12"/>
        <w:snapToGrid w:val="0"/>
        <w:spacing w:after="0"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额定流量：             315L/min</w:t>
      </w:r>
    </w:p>
    <w:p>
      <w:pPr>
        <w:pStyle w:val="12"/>
        <w:snapToGrid w:val="0"/>
        <w:spacing w:after="0"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工作介质：             清水</w:t>
      </w:r>
      <w:bookmarkStart w:id="188" w:name="_Toc11510"/>
    </w:p>
    <w:p>
      <w:pPr>
        <w:snapToGrid w:val="0"/>
        <w:spacing w:line="240" w:lineRule="atLeast"/>
        <w:ind w:firstLine="0" w:firstLineChars="0"/>
        <w:rPr>
          <w:rFonts w:ascii="仿宋" w:hAnsi="仿宋" w:eastAsia="仿宋" w:cs="仿宋"/>
          <w:b/>
          <w:color w:val="000000" w:themeColor="text1"/>
          <w:sz w:val="24"/>
          <w14:textFill>
            <w14:solidFill>
              <w14:schemeClr w14:val="tx1"/>
            </w14:solidFill>
          </w14:textFill>
        </w:rPr>
      </w:pPr>
      <w:bookmarkStart w:id="189" w:name="_Toc496212755"/>
      <w:r>
        <w:rPr>
          <w:rFonts w:hint="eastAsia" w:ascii="仿宋" w:hAnsi="仿宋" w:eastAsia="仿宋" w:cs="仿宋"/>
          <w:b/>
          <w:color w:val="000000" w:themeColor="text1"/>
          <w:sz w:val="24"/>
          <w14:textFill>
            <w14:solidFill>
              <w14:schemeClr w14:val="tx1"/>
            </w14:solidFill>
          </w14:textFill>
        </w:rPr>
        <w:t>（3）净化水装置</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设计出力:              50m³/h</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设计压力：             3Mpa</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试验压力：             4.5Mpa</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设计温度：             10℃～120℃ </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工作温度：             10℃～80℃</w:t>
      </w:r>
    </w:p>
    <w:p>
      <w:pPr>
        <w:snapToGrid w:val="0"/>
        <w:spacing w:line="240" w:lineRule="atLeas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滤芯精度：</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50μm（可选）</w:t>
      </w:r>
    </w:p>
    <w:p>
      <w:pPr>
        <w:snapToGrid w:val="0"/>
        <w:spacing w:line="240" w:lineRule="atLeast"/>
        <w:ind w:firstLine="720" w:firstLineChars="300"/>
        <w:rPr>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清洗时间：</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10-20 秒（可根据实际情况设定）</w:t>
      </w:r>
    </w:p>
    <w:p>
      <w:pPr>
        <w:pStyle w:val="12"/>
        <w:snapToGrid w:val="0"/>
        <w:spacing w:after="0"/>
        <w:ind w:firstLine="482"/>
        <w:rPr>
          <w:rFonts w:ascii="黑体" w:hAnsi="黑体" w:eastAsia="黑体" w:cs="黑体"/>
          <w:b/>
          <w:bCs/>
          <w:color w:val="FF0000"/>
          <w:sz w:val="24"/>
        </w:rPr>
      </w:pPr>
    </w:p>
    <w:p>
      <w:pPr>
        <w:snapToGrid w:val="0"/>
        <w:ind w:firstLine="0" w:firstLineChars="0"/>
        <w:jc w:val="center"/>
        <w:rPr>
          <w:rFonts w:ascii="黑体" w:hAnsi="黑体" w:eastAsia="黑体" w:cs="黑体"/>
          <w:b/>
          <w:bCs/>
          <w:color w:val="000000" w:themeColor="text1"/>
          <w:sz w:val="30"/>
          <w:szCs w:val="30"/>
          <w14:textFill>
            <w14:solidFill>
              <w14:schemeClr w14:val="tx1"/>
            </w14:solidFill>
          </w14:textFill>
        </w:rPr>
      </w:pPr>
      <w:r>
        <w:rPr>
          <w:rFonts w:hint="eastAsia" w:ascii="黑体" w:hAnsi="黑体" w:eastAsia="黑体" w:cs="黑体"/>
          <w:b/>
          <w:bCs/>
          <w:color w:val="000000" w:themeColor="text1"/>
          <w:sz w:val="30"/>
          <w:szCs w:val="30"/>
          <w14:textFill>
            <w14:solidFill>
              <w14:schemeClr w14:val="tx1"/>
            </w14:solidFill>
          </w14:textFill>
        </w:rPr>
        <w:t>第三章  顶板管理</w:t>
      </w:r>
      <w:bookmarkEnd w:id="189"/>
    </w:p>
    <w:p>
      <w:pPr>
        <w:snapToGrid w:val="0"/>
        <w:ind w:firstLine="0" w:firstLineChars="0"/>
        <w:jc w:val="center"/>
        <w:rPr>
          <w:rFonts w:ascii="黑体" w:hAnsi="黑体" w:eastAsia="黑体" w:cs="黑体"/>
          <w:b/>
          <w:bCs/>
          <w:color w:val="000000" w:themeColor="text1"/>
          <w:sz w:val="28"/>
          <w:szCs w:val="28"/>
          <w14:textFill>
            <w14:solidFill>
              <w14:schemeClr w14:val="tx1"/>
            </w14:solidFill>
          </w14:textFill>
        </w:rPr>
      </w:pPr>
      <w:bookmarkStart w:id="190" w:name="_Toc496212756"/>
      <w:r>
        <w:rPr>
          <w:rFonts w:hint="eastAsia" w:ascii="黑体" w:hAnsi="黑体" w:eastAsia="黑体" w:cs="黑体"/>
          <w:b/>
          <w:bCs/>
          <w:color w:val="000000" w:themeColor="text1"/>
          <w:sz w:val="28"/>
          <w:szCs w:val="28"/>
          <w14:textFill>
            <w14:solidFill>
              <w14:schemeClr w14:val="tx1"/>
            </w14:solidFill>
          </w14:textFill>
        </w:rPr>
        <w:t>第一节  矿压观测和支护设计</w:t>
      </w:r>
      <w:bookmarkEnd w:id="190"/>
    </w:p>
    <w:p>
      <w:pPr>
        <w:pStyle w:val="60"/>
        <w:snapToGrid w:val="0"/>
        <w:rPr>
          <w:rFonts w:ascii="仿宋" w:hAnsi="仿宋" w:eastAsia="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一、矿压观测</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在回采过程中，使用在线监测系统、顶板离层仪观测装置等进行矿压观测和数据分析，</w:t>
      </w:r>
      <w:r>
        <w:rPr>
          <w:rFonts w:hint="eastAsia" w:ascii="仿宋" w:hAnsi="仿宋" w:eastAsia="仿宋" w:cs="仿宋"/>
          <w:color w:val="000000" w:themeColor="text1"/>
          <w:kern w:val="0"/>
          <w:sz w:val="24"/>
          <w14:textFill>
            <w14:solidFill>
              <w14:schemeClr w14:val="tx1"/>
            </w14:solidFill>
          </w14:textFill>
        </w:rPr>
        <w:t>掌握工作面顶板活动规律、来压特征、超前压力影响范围和分布特点、工作面支架受力特点、巷道压力变化等情况，为本工作面及下一个工作面的回采提供依据。</w:t>
      </w:r>
    </w:p>
    <w:p>
      <w:pPr>
        <w:pStyle w:val="67"/>
        <w:snapToGrid w:val="0"/>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矿压观测内容</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工作面矿压监测指标应包括“三量”及围岩破坏特征。</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“三量”：包括顶底板移近量、支架载荷量、支柱（活柱）下缩量。</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围岩破坏特征：包括端面距及端面冒高、煤壁处切顶台阶数目与高度、煤壁片帮深度、顶板切顶线位置、采空区悬顶状况和冒落情况等。</w:t>
      </w:r>
    </w:p>
    <w:p>
      <w:pPr>
        <w:pStyle w:val="67"/>
        <w:keepNext w:val="0"/>
        <w:keepLines w:val="0"/>
        <w:pageBreakBefore w:val="0"/>
        <w:widowControl w:val="0"/>
        <w:kinsoku/>
        <w:wordWrap/>
        <w:overflowPunct/>
        <w:topLinePunct w:val="0"/>
        <w:autoSpaceDE/>
        <w:autoSpaceDN/>
        <w:bidi w:val="0"/>
        <w:adjustRightInd/>
        <w:snapToGrid w:val="0"/>
        <w:spacing w:line="440" w:lineRule="exact"/>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 矿压观测方法 </w:t>
      </w:r>
    </w:p>
    <w:p>
      <w:pPr>
        <w:keepNext w:val="0"/>
        <w:keepLines w:val="0"/>
        <w:pageBreakBefore w:val="0"/>
        <w:widowControl w:val="0"/>
        <w:kinsoku/>
        <w:wordWrap/>
        <w:overflowPunct/>
        <w:topLinePunct w:val="0"/>
        <w:autoSpaceDE/>
        <w:autoSpaceDN/>
        <w:bidi w:val="0"/>
        <w:adjustRightInd/>
        <w:snapToGrid w:val="0"/>
        <w:spacing w:line="440" w:lineRule="exact"/>
        <w:ind w:firstLine="520"/>
        <w:textAlignment w:val="auto"/>
        <w:rPr>
          <w:rFonts w:ascii="仿宋" w:hAnsi="仿宋" w:eastAsia="仿宋" w:cs="仿宋"/>
          <w:color w:val="000000" w:themeColor="text1"/>
          <w:spacing w:val="10"/>
          <w:kern w:val="10"/>
          <w:sz w:val="24"/>
          <w:lang w:val="en-GB"/>
          <w14:textFill>
            <w14:solidFill>
              <w14:schemeClr w14:val="tx1"/>
            </w14:solidFill>
          </w14:textFill>
        </w:rPr>
      </w:pPr>
      <w:r>
        <w:rPr>
          <w:rFonts w:hint="eastAsia" w:ascii="仿宋" w:hAnsi="仿宋" w:eastAsia="仿宋" w:cs="仿宋"/>
          <w:color w:val="000000" w:themeColor="text1"/>
          <w:spacing w:val="10"/>
          <w:kern w:val="10"/>
          <w:sz w:val="24"/>
          <w:lang w:val="en-GB"/>
          <w14:textFill>
            <w14:solidFill>
              <w14:schemeClr w14:val="tx1"/>
            </w14:solidFill>
          </w14:textFill>
        </w:rPr>
        <w:t>（</w:t>
      </w:r>
      <w:r>
        <w:rPr>
          <w:rFonts w:hint="eastAsia" w:ascii="仿宋" w:hAnsi="仿宋" w:eastAsia="仿宋" w:cs="仿宋"/>
          <w:color w:val="000000" w:themeColor="text1"/>
          <w:spacing w:val="10"/>
          <w:kern w:val="10"/>
          <w:sz w:val="24"/>
          <w14:textFill>
            <w14:solidFill>
              <w14:schemeClr w14:val="tx1"/>
            </w14:solidFill>
          </w14:textFill>
        </w:rPr>
        <w:t>1</w:t>
      </w:r>
      <w:r>
        <w:rPr>
          <w:rFonts w:hint="eastAsia" w:ascii="仿宋" w:hAnsi="仿宋" w:eastAsia="仿宋" w:cs="仿宋"/>
          <w:color w:val="000000" w:themeColor="text1"/>
          <w:spacing w:val="10"/>
          <w:kern w:val="10"/>
          <w:sz w:val="24"/>
          <w:lang w:val="en-GB"/>
          <w14:textFill>
            <w14:solidFill>
              <w14:schemeClr w14:val="tx1"/>
            </w14:solidFill>
          </w14:textFill>
        </w:rPr>
        <w:t>）工作面液压支架在线监测</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工作面</w:t>
      </w:r>
      <w:r>
        <w:rPr>
          <w:rFonts w:hint="eastAsia" w:ascii="仿宋" w:hAnsi="仿宋" w:eastAsia="仿宋" w:cs="仿宋_GB2312"/>
          <w:sz w:val="24"/>
        </w:rPr>
        <w:t>每台支架安装配置2件压力传感器，实现立柱下腔压力监测，根据监测数据实现压力预警、分析功能及顶板状态</w:t>
      </w:r>
      <w:r>
        <w:rPr>
          <w:rFonts w:hint="eastAsia" w:ascii="仿宋" w:hAnsi="仿宋" w:eastAsia="仿宋" w:cs="仿宋"/>
          <w:color w:val="000000" w:themeColor="text1"/>
          <w:sz w:val="24"/>
          <w14:textFill>
            <w14:solidFill>
              <w14:schemeClr w14:val="tx1"/>
            </w14:solidFill>
          </w14:textFill>
        </w:rPr>
        <w:t>；工作面内安装在线监测分站，连续采集测站内各支架的工作阻力，测得的数据由传输系统传至地面计算机，进行数据的综合处理，分析工作面压力状况，确定初次来压、周期来压、见方来压的时间和步距，为判断和控制工作面矿压提供理论依据。</w:t>
      </w:r>
    </w:p>
    <w:p>
      <w:pPr>
        <w:keepNext w:val="0"/>
        <w:keepLines w:val="0"/>
        <w:pageBreakBefore w:val="0"/>
        <w:widowControl w:val="0"/>
        <w:kinsoku/>
        <w:wordWrap/>
        <w:overflowPunct/>
        <w:topLinePunct w:val="0"/>
        <w:autoSpaceDE/>
        <w:autoSpaceDN/>
        <w:bidi w:val="0"/>
        <w:adjustRightInd/>
        <w:snapToGrid w:val="0"/>
        <w:spacing w:line="440" w:lineRule="exact"/>
        <w:ind w:firstLine="520"/>
        <w:textAlignment w:val="auto"/>
        <w:rPr>
          <w:rFonts w:ascii="仿宋" w:hAnsi="仿宋" w:eastAsia="仿宋" w:cs="仿宋"/>
          <w:color w:val="000000" w:themeColor="text1"/>
          <w:spacing w:val="10"/>
          <w:kern w:val="10"/>
          <w:sz w:val="24"/>
          <w:lang w:val="en-GB"/>
          <w14:textFill>
            <w14:solidFill>
              <w14:schemeClr w14:val="tx1"/>
            </w14:solidFill>
          </w14:textFill>
        </w:rPr>
      </w:pPr>
      <w:r>
        <w:rPr>
          <w:rFonts w:hint="eastAsia" w:ascii="仿宋" w:hAnsi="仿宋" w:eastAsia="仿宋" w:cs="仿宋"/>
          <w:color w:val="000000" w:themeColor="text1"/>
          <w:spacing w:val="10"/>
          <w:kern w:val="10"/>
          <w:sz w:val="24"/>
          <w:lang w:val="en-GB"/>
          <w14:textFill>
            <w14:solidFill>
              <w14:schemeClr w14:val="tx1"/>
            </w14:solidFill>
          </w14:textFill>
        </w:rPr>
        <w:t>（</w:t>
      </w:r>
      <w:r>
        <w:rPr>
          <w:rFonts w:hint="eastAsia" w:ascii="仿宋" w:hAnsi="仿宋" w:eastAsia="仿宋" w:cs="仿宋"/>
          <w:color w:val="000000" w:themeColor="text1"/>
          <w:spacing w:val="10"/>
          <w:kern w:val="10"/>
          <w:sz w:val="24"/>
          <w14:textFill>
            <w14:solidFill>
              <w14:schemeClr w14:val="tx1"/>
            </w14:solidFill>
          </w14:textFill>
        </w:rPr>
        <w:t>2</w:t>
      </w:r>
      <w:r>
        <w:rPr>
          <w:rFonts w:hint="eastAsia" w:ascii="仿宋" w:hAnsi="仿宋" w:eastAsia="仿宋" w:cs="仿宋"/>
          <w:color w:val="000000" w:themeColor="text1"/>
          <w:spacing w:val="10"/>
          <w:kern w:val="10"/>
          <w:sz w:val="24"/>
          <w:lang w:val="en-GB"/>
          <w14:textFill>
            <w14:solidFill>
              <w14:schemeClr w14:val="tx1"/>
            </w14:solidFill>
          </w14:textFill>
        </w:rPr>
        <w:t>）安排专人对顶底板移近量、活柱下缩量、围岩破坏特征进行观测并记录，对于采空区悬顶、端面距超宽、片帮等特殊地点，要详细记录所在位置及支架压力情况。</w:t>
      </w:r>
    </w:p>
    <w:p>
      <w:pPr>
        <w:keepNext w:val="0"/>
        <w:keepLines w:val="0"/>
        <w:pageBreakBefore w:val="0"/>
        <w:widowControl w:val="0"/>
        <w:kinsoku/>
        <w:wordWrap/>
        <w:overflowPunct/>
        <w:topLinePunct w:val="0"/>
        <w:autoSpaceDE/>
        <w:autoSpaceDN/>
        <w:bidi w:val="0"/>
        <w:adjustRightInd/>
        <w:snapToGrid w:val="0"/>
        <w:spacing w:line="440" w:lineRule="exact"/>
        <w:ind w:firstLine="520"/>
        <w:textAlignment w:val="auto"/>
        <w:rPr>
          <w:rFonts w:ascii="仿宋" w:hAnsi="仿宋" w:eastAsia="仿宋" w:cs="仿宋"/>
          <w:color w:val="000000" w:themeColor="text1"/>
          <w:spacing w:val="10"/>
          <w:kern w:val="10"/>
          <w:sz w:val="24"/>
          <w:lang w:val="en-GB"/>
          <w14:textFill>
            <w14:solidFill>
              <w14:schemeClr w14:val="tx1"/>
            </w14:solidFill>
          </w14:textFill>
        </w:rPr>
      </w:pPr>
      <w:r>
        <w:rPr>
          <w:rFonts w:hint="eastAsia" w:ascii="仿宋" w:hAnsi="仿宋" w:eastAsia="仿宋" w:cs="仿宋"/>
          <w:color w:val="000000" w:themeColor="text1"/>
          <w:spacing w:val="10"/>
          <w:kern w:val="10"/>
          <w:sz w:val="24"/>
          <w:lang w:val="en-GB"/>
          <w14:textFill>
            <w14:solidFill>
              <w14:schemeClr w14:val="tx1"/>
            </w14:solidFill>
          </w14:textFill>
        </w:rPr>
        <w:t>（</w:t>
      </w:r>
      <w:r>
        <w:rPr>
          <w:rFonts w:hint="eastAsia" w:ascii="仿宋" w:hAnsi="仿宋" w:eastAsia="仿宋" w:cs="仿宋"/>
          <w:color w:val="000000" w:themeColor="text1"/>
          <w:spacing w:val="10"/>
          <w:kern w:val="10"/>
          <w:sz w:val="24"/>
          <w14:textFill>
            <w14:solidFill>
              <w14:schemeClr w14:val="tx1"/>
            </w14:solidFill>
          </w14:textFill>
        </w:rPr>
        <w:t>3</w:t>
      </w:r>
      <w:r>
        <w:rPr>
          <w:rFonts w:hint="eastAsia" w:ascii="仿宋" w:hAnsi="仿宋" w:eastAsia="仿宋" w:cs="仿宋"/>
          <w:color w:val="000000" w:themeColor="text1"/>
          <w:spacing w:val="10"/>
          <w:kern w:val="10"/>
          <w:sz w:val="24"/>
          <w:lang w:val="en-GB"/>
          <w14:textFill>
            <w14:solidFill>
              <w14:schemeClr w14:val="tx1"/>
            </w14:solidFill>
          </w14:textFill>
        </w:rPr>
        <w:t>）及时整理观测数据，绘出压力曲线图，分析判断顶板来压情况，并采取相应措施。</w:t>
      </w:r>
    </w:p>
    <w:p>
      <w:pPr>
        <w:keepNext w:val="0"/>
        <w:keepLines w:val="0"/>
        <w:pageBreakBefore w:val="0"/>
        <w:widowControl w:val="0"/>
        <w:kinsoku/>
        <w:wordWrap/>
        <w:overflowPunct/>
        <w:topLinePunct w:val="0"/>
        <w:autoSpaceDE/>
        <w:autoSpaceDN/>
        <w:bidi w:val="0"/>
        <w:adjustRightInd/>
        <w:snapToGrid w:val="0"/>
        <w:spacing w:line="440" w:lineRule="exact"/>
        <w:ind w:firstLine="520"/>
        <w:textAlignment w:val="auto"/>
        <w:rPr>
          <w:rFonts w:ascii="仿宋" w:hAnsi="仿宋" w:eastAsia="仿宋" w:cs="仿宋"/>
          <w:color w:val="000000" w:themeColor="text1"/>
          <w:spacing w:val="10"/>
          <w:kern w:val="10"/>
          <w:sz w:val="24"/>
          <w:lang w:val="en-GB"/>
          <w14:textFill>
            <w14:solidFill>
              <w14:schemeClr w14:val="tx1"/>
            </w14:solidFill>
          </w14:textFill>
        </w:rPr>
      </w:pPr>
      <w:r>
        <w:rPr>
          <w:rFonts w:hint="eastAsia" w:ascii="仿宋" w:hAnsi="仿宋" w:eastAsia="仿宋" w:cs="仿宋"/>
          <w:color w:val="000000" w:themeColor="text1"/>
          <w:spacing w:val="10"/>
          <w:kern w:val="10"/>
          <w:sz w:val="24"/>
          <w:lang w:val="en-GB"/>
          <w14:textFill>
            <w14:solidFill>
              <w14:schemeClr w14:val="tx1"/>
            </w14:solidFill>
          </w14:textFill>
        </w:rPr>
        <w:t>（</w:t>
      </w:r>
      <w:r>
        <w:rPr>
          <w:rFonts w:hint="eastAsia" w:ascii="仿宋" w:hAnsi="仿宋" w:eastAsia="仿宋" w:cs="仿宋"/>
          <w:color w:val="000000" w:themeColor="text1"/>
          <w:spacing w:val="10"/>
          <w:kern w:val="10"/>
          <w:sz w:val="24"/>
          <w14:textFill>
            <w14:solidFill>
              <w14:schemeClr w14:val="tx1"/>
            </w14:solidFill>
          </w14:textFill>
        </w:rPr>
        <w:t>4</w:t>
      </w:r>
      <w:r>
        <w:rPr>
          <w:rFonts w:hint="eastAsia" w:ascii="仿宋" w:hAnsi="仿宋" w:eastAsia="仿宋" w:cs="仿宋"/>
          <w:color w:val="000000" w:themeColor="text1"/>
          <w:spacing w:val="10"/>
          <w:kern w:val="10"/>
          <w:sz w:val="24"/>
          <w:lang w:val="en-GB"/>
          <w14:textFill>
            <w14:solidFill>
              <w14:schemeClr w14:val="tx1"/>
            </w14:solidFill>
          </w14:textFill>
        </w:rPr>
        <w:t>）</w:t>
      </w:r>
      <w:r>
        <w:rPr>
          <w:rFonts w:ascii="仿宋" w:hAnsi="仿宋" w:eastAsia="仿宋"/>
          <w:color w:val="000000" w:themeColor="text1"/>
          <w:sz w:val="24"/>
          <w14:textFill>
            <w14:solidFill>
              <w14:schemeClr w14:val="tx1"/>
            </w14:solidFill>
          </w14:textFill>
        </w:rPr>
        <w:t>工作面回采期间，每天进行一次矿压监测。初次放顶和周期来压期间，每班进行一次矿压监测</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面内共设11个观测点</w:t>
      </w:r>
      <w:r>
        <w:rPr>
          <w:rFonts w:ascii="仿宋" w:hAnsi="仿宋" w:eastAsia="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40" w:lineRule="exact"/>
        <w:ind w:firstLine="520"/>
        <w:textAlignment w:val="auto"/>
        <w:rPr>
          <w:rFonts w:ascii="仿宋" w:hAnsi="仿宋" w:eastAsia="仿宋" w:cs="仿宋"/>
          <w:color w:val="000000" w:themeColor="text1"/>
          <w:spacing w:val="10"/>
          <w:kern w:val="10"/>
          <w:sz w:val="24"/>
          <w:lang w:val="en-GB"/>
          <w14:textFill>
            <w14:solidFill>
              <w14:schemeClr w14:val="tx1"/>
            </w14:solidFill>
          </w14:textFill>
        </w:rPr>
      </w:pPr>
      <w:r>
        <w:rPr>
          <w:rFonts w:hint="eastAsia" w:ascii="仿宋" w:hAnsi="仿宋" w:eastAsia="仿宋" w:cs="仿宋"/>
          <w:color w:val="000000" w:themeColor="text1"/>
          <w:spacing w:val="10"/>
          <w:kern w:val="10"/>
          <w:sz w:val="24"/>
          <w:lang w:val="en-GB"/>
          <w14:textFill>
            <w14:solidFill>
              <w14:schemeClr w14:val="tx1"/>
            </w14:solidFill>
          </w14:textFill>
        </w:rPr>
        <w:t>（</w:t>
      </w:r>
      <w:r>
        <w:rPr>
          <w:rFonts w:hint="eastAsia" w:ascii="仿宋" w:hAnsi="仿宋" w:eastAsia="仿宋" w:cs="仿宋"/>
          <w:color w:val="000000" w:themeColor="text1"/>
          <w:spacing w:val="10"/>
          <w:kern w:val="10"/>
          <w:sz w:val="24"/>
          <w14:textFill>
            <w14:solidFill>
              <w14:schemeClr w14:val="tx1"/>
            </w14:solidFill>
          </w14:textFill>
        </w:rPr>
        <w:t>5</w:t>
      </w:r>
      <w:r>
        <w:rPr>
          <w:rFonts w:hint="eastAsia" w:ascii="仿宋" w:hAnsi="仿宋" w:eastAsia="仿宋" w:cs="仿宋"/>
          <w:color w:val="000000" w:themeColor="text1"/>
          <w:spacing w:val="10"/>
          <w:kern w:val="10"/>
          <w:sz w:val="24"/>
          <w:lang w:val="en-GB"/>
          <w14:textFill>
            <w14:solidFill>
              <w14:schemeClr w14:val="tx1"/>
            </w14:solidFill>
          </w14:textFill>
        </w:rPr>
        <w:t>）机、风巷观测</w:t>
      </w:r>
    </w:p>
    <w:p>
      <w:pPr>
        <w:keepNext w:val="0"/>
        <w:keepLines w:val="0"/>
        <w:pageBreakBefore w:val="0"/>
        <w:widowControl w:val="0"/>
        <w:kinsoku/>
        <w:wordWrap/>
        <w:overflowPunct/>
        <w:topLinePunct w:val="0"/>
        <w:autoSpaceDE/>
        <w:autoSpaceDN/>
        <w:bidi w:val="0"/>
        <w:adjustRightInd/>
        <w:snapToGrid w:val="0"/>
        <w:spacing w:line="440" w:lineRule="exact"/>
        <w:ind w:firstLine="520"/>
        <w:textAlignment w:val="auto"/>
        <w:rPr>
          <w:rFonts w:ascii="仿宋" w:hAnsi="仿宋" w:eastAsia="仿宋" w:cs="仿宋"/>
          <w:color w:val="000000" w:themeColor="text1"/>
          <w:spacing w:val="10"/>
          <w:kern w:val="10"/>
          <w:sz w:val="24"/>
          <w:lang w:val="en-GB"/>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①</w:t>
      </w:r>
      <w:r>
        <w:rPr>
          <w:rFonts w:hint="eastAsia" w:ascii="仿宋" w:hAnsi="仿宋" w:eastAsia="仿宋" w:cs="仿宋"/>
          <w:color w:val="000000" w:themeColor="text1"/>
          <w:spacing w:val="10"/>
          <w:kern w:val="10"/>
          <w:sz w:val="24"/>
          <w:lang w:val="en-GB"/>
          <w14:textFill>
            <w14:solidFill>
              <w14:schemeClr w14:val="tx1"/>
            </w14:solidFill>
          </w14:textFill>
        </w:rPr>
        <w:t>机风巷超前支架压力观测，初次放顶期间每班要有专人监测一次，正常回采期间，每天监测一次，发现初撑力不够的及时进行二次补液；</w:t>
      </w:r>
    </w:p>
    <w:p>
      <w:pPr>
        <w:pStyle w:val="12"/>
        <w:keepNext w:val="0"/>
        <w:keepLines w:val="0"/>
        <w:pageBreakBefore w:val="0"/>
        <w:widowControl w:val="0"/>
        <w:kinsoku/>
        <w:wordWrap/>
        <w:overflowPunct/>
        <w:topLinePunct w:val="0"/>
        <w:autoSpaceDE/>
        <w:autoSpaceDN/>
        <w:bidi w:val="0"/>
        <w:adjustRightInd/>
        <w:snapToGrid w:val="0"/>
        <w:spacing w:after="0" w:line="440" w:lineRule="exact"/>
        <w:ind w:firstLine="520"/>
        <w:textAlignment w:val="auto"/>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②</w:t>
      </w:r>
      <w:r>
        <w:rPr>
          <w:rFonts w:hint="eastAsia" w:ascii="仿宋" w:hAnsi="仿宋" w:eastAsia="仿宋" w:cs="仿宋"/>
          <w:color w:val="000000" w:themeColor="text1"/>
          <w:kern w:val="10"/>
          <w:sz w:val="24"/>
          <w:lang w:val="en-GB"/>
          <w14:textFill>
            <w14:solidFill>
              <w14:schemeClr w14:val="tx1"/>
            </w14:solidFill>
          </w14:textFill>
        </w:rPr>
        <w:t>两巷顶板离层仪在正常条件下，每7天观测一次；在断层或破碎构造带附近及矿压显现较为明显的地段，每</w:t>
      </w:r>
      <w:r>
        <w:rPr>
          <w:rFonts w:hint="eastAsia" w:ascii="仿宋" w:hAnsi="仿宋" w:eastAsia="仿宋" w:cs="仿宋"/>
          <w:color w:val="000000" w:themeColor="text1"/>
          <w:kern w:val="10"/>
          <w:sz w:val="24"/>
          <w14:textFill>
            <w14:solidFill>
              <w14:schemeClr w14:val="tx1"/>
            </w14:solidFill>
          </w14:textFill>
        </w:rPr>
        <w:t>2</w:t>
      </w:r>
      <w:r>
        <w:rPr>
          <w:rFonts w:hint="eastAsia" w:ascii="仿宋" w:hAnsi="仿宋" w:eastAsia="仿宋" w:cs="仿宋"/>
          <w:color w:val="000000" w:themeColor="text1"/>
          <w:kern w:val="10"/>
          <w:sz w:val="24"/>
          <w:lang w:val="en-GB"/>
          <w14:textFill>
            <w14:solidFill>
              <w14:schemeClr w14:val="tx1"/>
            </w14:solidFill>
          </w14:textFill>
        </w:rPr>
        <w:t>天观测一次；</w:t>
      </w:r>
      <w:r>
        <w:rPr>
          <w:rFonts w:hint="eastAsia" w:ascii="仿宋" w:hAnsi="仿宋" w:eastAsia="仿宋" w:cs="仿宋"/>
          <w:color w:val="000000" w:themeColor="text1"/>
          <w:kern w:val="10"/>
          <w:sz w:val="24"/>
          <w14:textFill>
            <w14:solidFill>
              <w14:schemeClr w14:val="tx1"/>
            </w14:solidFill>
          </w14:textFill>
        </w:rPr>
        <w:t>两巷离层仪距工作面100m范围内每天观测不少于1次，100m外每周观测不少于1次。</w:t>
      </w:r>
      <w:r>
        <w:rPr>
          <w:rFonts w:hint="eastAsia" w:ascii="仿宋" w:hAnsi="仿宋" w:eastAsia="仿宋" w:cs="仿宋"/>
          <w:color w:val="000000" w:themeColor="text1"/>
          <w:kern w:val="10"/>
          <w:sz w:val="24"/>
          <w:lang w:val="en-GB"/>
          <w14:textFill>
            <w14:solidFill>
              <w14:schemeClr w14:val="tx1"/>
            </w14:solidFill>
          </w14:textFill>
        </w:rPr>
        <w:t>原巷道顶板离层观测指示仪损坏的，应及时重新安装。</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sz w:val="24"/>
        </w:rPr>
        <w:t>③建立两巷支护巡查制度，每班巡查一次，对支护质量不合格的，应及时整改；当顶板离层仪各基点离层量大于50mm</w:t>
      </w:r>
      <w:r>
        <w:rPr>
          <w:rFonts w:ascii="仿宋" w:hAnsi="仿宋" w:eastAsia="仿宋"/>
          <w:sz w:val="24"/>
        </w:rPr>
        <w:t>或各基点离层量每日大于10mm；</w:t>
      </w:r>
      <w:r>
        <w:rPr>
          <w:rFonts w:ascii="仿宋" w:hAnsi="仿宋" w:eastAsia="仿宋"/>
          <w:color w:val="000000" w:themeColor="text1"/>
          <w:sz w:val="24"/>
          <w14:textFill>
            <w14:solidFill>
              <w14:schemeClr w14:val="tx1"/>
            </w14:solidFill>
          </w14:textFill>
        </w:rPr>
        <w:t>累计离层量达到80mm</w:t>
      </w:r>
      <w:r>
        <w:rPr>
          <w:rFonts w:ascii="仿宋" w:hAnsi="仿宋" w:eastAsia="仿宋"/>
          <w:sz w:val="24"/>
        </w:rPr>
        <w:t>或累计离层量每周大于</w:t>
      </w:r>
      <w:r>
        <w:rPr>
          <w:rFonts w:hint="eastAsia" w:ascii="仿宋" w:hAnsi="仿宋" w:eastAsia="仿宋"/>
          <w:sz w:val="24"/>
        </w:rPr>
        <w:t>30mm的，其前后3m范围内必须补打锚索或采用一梁三柱进行托棚加固；顶板离层量或下沉量出现异常变化时，需及时</w:t>
      </w:r>
      <w:r>
        <w:rPr>
          <w:rFonts w:hint="eastAsia" w:ascii="仿宋" w:hAnsi="仿宋" w:eastAsia="仿宋"/>
          <w:color w:val="000000" w:themeColor="text1"/>
          <w:sz w:val="24"/>
          <w14:textFill>
            <w14:solidFill>
              <w14:schemeClr w14:val="tx1"/>
            </w14:solidFill>
          </w14:textFill>
        </w:rPr>
        <w:t>查明原因并采取措施。</w:t>
      </w:r>
    </w:p>
    <w:p>
      <w:pPr>
        <w:pStyle w:val="12"/>
        <w:keepNext w:val="0"/>
        <w:keepLines w:val="0"/>
        <w:pageBreakBefore w:val="0"/>
        <w:widowControl w:val="0"/>
        <w:kinsoku/>
        <w:wordWrap/>
        <w:overflowPunct/>
        <w:topLinePunct w:val="0"/>
        <w:autoSpaceDE/>
        <w:autoSpaceDN/>
        <w:bidi w:val="0"/>
        <w:adjustRightInd/>
        <w:snapToGrid w:val="0"/>
        <w:spacing w:after="0" w:line="440" w:lineRule="exact"/>
        <w:ind w:firstLine="520"/>
        <w:textAlignment w:val="auto"/>
        <w:rPr>
          <w:rFonts w:hint="default" w:eastAsia="仿宋"/>
          <w:color w:val="000000" w:themeColor="text1"/>
          <w:lang w:val="en-US" w:eastAsia="zh-CN"/>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④</w:t>
      </w:r>
      <w:r>
        <w:rPr>
          <w:rFonts w:hint="eastAsia"/>
          <w:color w:val="000000" w:themeColor="text1"/>
          <w:kern w:val="0"/>
          <w:sz w:val="24"/>
          <w14:textFill>
            <w14:solidFill>
              <w14:schemeClr w14:val="tx1"/>
            </w14:solidFill>
          </w14:textFill>
        </w:rPr>
        <w:t>在巷道内布置表面位移测站，</w:t>
      </w:r>
      <w:r>
        <w:rPr>
          <w:color w:val="000000" w:themeColor="text1"/>
          <w:kern w:val="0"/>
          <w:sz w:val="24"/>
          <w14:textFill>
            <w14:solidFill>
              <w14:schemeClr w14:val="tx1"/>
            </w14:solidFill>
          </w14:textFill>
        </w:rPr>
        <w:t>由工作面向外 200m 范围内每隔 50m 设置一个观测站</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由工作面</w:t>
      </w:r>
      <w:r>
        <w:rPr>
          <w:color w:val="000000" w:themeColor="text1"/>
          <w:kern w:val="0"/>
          <w:sz w:val="24"/>
          <w14:textFill>
            <w14:solidFill>
              <w14:schemeClr w14:val="tx1"/>
            </w14:solidFill>
          </w14:textFill>
        </w:rPr>
        <w:t>200m </w:t>
      </w:r>
      <w:r>
        <w:rPr>
          <w:rFonts w:hint="eastAsia"/>
          <w:color w:val="000000" w:themeColor="text1"/>
          <w:kern w:val="0"/>
          <w:sz w:val="24"/>
          <w14:textFill>
            <w14:solidFill>
              <w14:schemeClr w14:val="tx1"/>
            </w14:solidFill>
          </w14:textFill>
        </w:rPr>
        <w:t>向外每隔100m设置一个观测站</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正常条件下 7 天观测一次；在断层或破碎构造带附近及矿压显现较为明显的地段，每 2-3 天观测一次</w:t>
      </w:r>
      <w:r>
        <w:rPr>
          <w:rFonts w:hint="eastAsia" w:ascii="仿宋" w:hAnsi="仿宋" w:eastAsia="仿宋" w:cs="仿宋"/>
          <w:color w:val="000000" w:themeColor="text1"/>
          <w:kern w:val="10"/>
          <w:sz w:val="24"/>
          <w:lang w:val="en-GB"/>
          <w14:textFill>
            <w14:solidFill>
              <w14:schemeClr w14:val="tx1"/>
            </w14:solidFill>
          </w14:textFill>
        </w:rPr>
        <w:t>。</w:t>
      </w:r>
      <w:r>
        <w:rPr>
          <w:rFonts w:hint="eastAsia" w:ascii="仿宋" w:hAnsi="仿宋" w:eastAsia="仿宋" w:cs="仿宋"/>
          <w:color w:val="000000" w:themeColor="text1"/>
          <w:kern w:val="10"/>
          <w:sz w:val="24"/>
          <w:lang w:val="en-US" w:eastAsia="zh-CN"/>
          <w14:textFill>
            <w14:solidFill>
              <w14:schemeClr w14:val="tx1"/>
            </w14:solidFill>
          </w14:textFill>
        </w:rPr>
        <w:t>机巷现有剩余2个观测点、风巷有4个观测点。</w:t>
      </w:r>
    </w:p>
    <w:p>
      <w:pPr>
        <w:pStyle w:val="60"/>
        <w:snapToGrid w:val="0"/>
        <w:rPr>
          <w:rFonts w:hint="eastAsia" w:ascii="仿宋" w:hAnsi="仿宋" w:eastAsia="仿宋" w:cs="仿宋"/>
          <w:color w:val="000000" w:themeColor="text1"/>
          <w:sz w:val="24"/>
          <w14:textFill>
            <w14:solidFill>
              <w14:schemeClr w14:val="tx1"/>
            </w14:solidFill>
          </w14:textFill>
        </w:rPr>
      </w:pP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3、矿压在线监测系统使用管理规定</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矿压在线监测系统必须正常使用，并遵守下列规定：</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（1）做好矿压在线监测系统的统计、维护、数据上传。</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（2）矿应配备专用监测主机，并有专业人员负责主机日常维护。主机用于实时采集工作面矿压监测数据，硬件配置应符合要求，数据应及时、准确上传。</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（3）矿生产技术部应做好监测数据的分析工作，并将分析报告及时报送矿分管领导和下发至生产单位。</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（4）矿压传感器所接电源应有蓄电功能，断电后正常工作时间不小于2h。</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（5）矿压监测系统通信电缆必须专线专用。通信电缆出现断路或短路故障应及时恢复，恢复前应有专人负责收集矿压监测数据。</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（6）工作面回采结束后，应及时回收矿压在线监测设备。</w:t>
      </w:r>
    </w:p>
    <w:p>
      <w:pPr>
        <w:pStyle w:val="60"/>
        <w:snapToGrid w:val="0"/>
        <w:rPr>
          <w:rFonts w:ascii="仿宋" w:hAnsi="仿宋" w:eastAsia="仿宋" w:cs="仿宋"/>
          <w:color w:val="000000" w:themeColor="text1"/>
          <w:sz w:val="24"/>
          <w14:textFill>
            <w14:solidFill>
              <w14:schemeClr w14:val="tx1"/>
            </w14:solidFill>
          </w14:textFill>
        </w:rPr>
      </w:pPr>
      <w:bookmarkStart w:id="191" w:name="_Toc496212757"/>
      <w:r>
        <w:rPr>
          <w:rFonts w:hint="eastAsia" w:ascii="仿宋" w:hAnsi="仿宋" w:eastAsia="仿宋" w:cs="仿宋"/>
          <w:color w:val="000000" w:themeColor="text1"/>
          <w:sz w:val="24"/>
          <w14:textFill>
            <w14:solidFill>
              <w14:schemeClr w14:val="tx1"/>
            </w14:solidFill>
          </w14:textFill>
        </w:rPr>
        <w:t>二、工作面支护设计</w:t>
      </w:r>
    </w:p>
    <w:p>
      <w:pPr>
        <w:widowControl/>
        <w:snapToGrid w:val="0"/>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（一）支架所需的支护强度的计算</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支架支护强度采用估算法计算，对于放顶煤工作面，支架工作阻力应支撑直接顶和顶煤的重量，并平衡基本顶失稳时对支架的动载，计算公式如下：</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P=K</w:t>
      </w:r>
      <w:r>
        <w:rPr>
          <w:rFonts w:hint="eastAsia" w:ascii="仿宋" w:hAnsi="仿宋" w:eastAsia="仿宋"/>
          <w:color w:val="000000" w:themeColor="text1"/>
          <w:sz w:val="24"/>
          <w:vertAlign w:val="subscript"/>
          <w14:textFill>
            <w14:solidFill>
              <w14:schemeClr w14:val="tx1"/>
            </w14:solidFill>
          </w14:textFill>
        </w:rPr>
        <w:t>d</w:t>
      </w:r>
      <w:r>
        <w:rPr>
          <w:rFonts w:hint="eastAsia" w:ascii="仿宋" w:hAnsi="仿宋" w:eastAsia="仿宋"/>
          <w:color w:val="000000" w:themeColor="text1"/>
          <w:sz w:val="24"/>
          <w14:textFill>
            <w14:solidFill>
              <w14:schemeClr w14:val="tx1"/>
            </w14:solidFill>
          </w14:textFill>
        </w:rPr>
        <w:t>·(q</w:t>
      </w:r>
      <w:r>
        <w:rPr>
          <w:rFonts w:hint="eastAsia" w:ascii="仿宋" w:hAnsi="仿宋" w:eastAsia="仿宋"/>
          <w:color w:val="000000" w:themeColor="text1"/>
          <w:sz w:val="24"/>
          <w:vertAlign w:val="subscript"/>
          <w14:textFill>
            <w14:solidFill>
              <w14:schemeClr w14:val="tx1"/>
            </w14:solidFill>
          </w14:textFill>
        </w:rPr>
        <w:t>直</w:t>
      </w:r>
      <w:r>
        <w:rPr>
          <w:rFonts w:hint="eastAsia" w:ascii="仿宋" w:hAnsi="仿宋" w:eastAsia="仿宋"/>
          <w:color w:val="000000" w:themeColor="text1"/>
          <w:sz w:val="24"/>
          <w14:textFill>
            <w14:solidFill>
              <w14:schemeClr w14:val="tx1"/>
            </w14:solidFill>
          </w14:textFill>
        </w:rPr>
        <w:t>+q</w:t>
      </w:r>
      <w:r>
        <w:rPr>
          <w:rFonts w:hint="eastAsia" w:ascii="仿宋" w:hAnsi="仿宋" w:eastAsia="仿宋"/>
          <w:color w:val="000000" w:themeColor="text1"/>
          <w:sz w:val="24"/>
          <w:vertAlign w:val="subscript"/>
          <w14:textFill>
            <w14:solidFill>
              <w14:schemeClr w14:val="tx1"/>
            </w14:solidFill>
          </w14:textFill>
        </w:rPr>
        <w:t>煤</w:t>
      </w:r>
      <w:r>
        <w:rPr>
          <w:rFonts w:hint="eastAsia" w:ascii="仿宋" w:hAnsi="仿宋" w:eastAsia="仿宋"/>
          <w:color w:val="000000" w:themeColor="text1"/>
          <w:sz w:val="24"/>
          <w14:textFill>
            <w14:solidFill>
              <w14:schemeClr w14:val="tx1"/>
            </w14:solidFill>
          </w14:textFill>
        </w:rPr>
        <w:t>)</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式中：</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P——工作面所需支护强度，kN/m</w:t>
      </w:r>
      <w:r>
        <w:rPr>
          <w:rFonts w:hint="eastAsia" w:ascii="宋体" w:hAnsi="宋体" w:eastAsia="宋体" w:cs="宋体"/>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K</w:t>
      </w:r>
      <w:r>
        <w:rPr>
          <w:rFonts w:hint="eastAsia" w:ascii="仿宋" w:hAnsi="仿宋" w:eastAsia="仿宋"/>
          <w:color w:val="000000" w:themeColor="text1"/>
          <w:sz w:val="24"/>
          <w:vertAlign w:val="subscript"/>
          <w14:textFill>
            <w14:solidFill>
              <w14:schemeClr w14:val="tx1"/>
            </w14:solidFill>
          </w14:textFill>
        </w:rPr>
        <w:t>d</w:t>
      </w:r>
      <w:r>
        <w:rPr>
          <w:rFonts w:hint="eastAsia" w:ascii="仿宋" w:hAnsi="仿宋" w:eastAsia="仿宋"/>
          <w:color w:val="000000" w:themeColor="text1"/>
          <w:sz w:val="24"/>
          <w14:textFill>
            <w14:solidFill>
              <w14:schemeClr w14:val="tx1"/>
            </w14:solidFill>
          </w14:textFill>
        </w:rPr>
        <w:t xml:space="preserve"> ——基本顶失稳时动载系数，一般为1.1～1.8，由于顶板容易垮落，取值为1.6；</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q</w:t>
      </w:r>
      <w:r>
        <w:rPr>
          <w:rFonts w:hint="eastAsia" w:ascii="仿宋" w:hAnsi="仿宋" w:eastAsia="仿宋"/>
          <w:color w:val="000000" w:themeColor="text1"/>
          <w:sz w:val="24"/>
          <w:vertAlign w:val="subscript"/>
          <w14:textFill>
            <w14:solidFill>
              <w14:schemeClr w14:val="tx1"/>
            </w14:solidFill>
          </w14:textFill>
        </w:rPr>
        <w:t>直</w:t>
      </w:r>
      <w:r>
        <w:rPr>
          <w:rFonts w:hint="eastAsia" w:ascii="仿宋" w:hAnsi="仿宋" w:eastAsia="仿宋"/>
          <w:color w:val="000000" w:themeColor="text1"/>
          <w:sz w:val="24"/>
          <w14:textFill>
            <w14:solidFill>
              <w14:schemeClr w14:val="tx1"/>
            </w14:solidFill>
          </w14:textFill>
        </w:rPr>
        <w:t>——直接顶自重应力，q</w:t>
      </w:r>
      <w:r>
        <w:rPr>
          <w:rFonts w:hint="eastAsia" w:ascii="仿宋" w:hAnsi="仿宋" w:eastAsia="仿宋"/>
          <w:color w:val="000000" w:themeColor="text1"/>
          <w:sz w:val="24"/>
          <w:vertAlign w:val="subscript"/>
          <w14:textFill>
            <w14:solidFill>
              <w14:schemeClr w14:val="tx1"/>
            </w14:solidFill>
          </w14:textFill>
        </w:rPr>
        <w:t>直</w:t>
      </w:r>
      <w:r>
        <w:rPr>
          <w:rFonts w:hint="eastAsia" w:ascii="仿宋" w:hAnsi="仿宋" w:eastAsia="仿宋"/>
          <w:color w:val="000000" w:themeColor="text1"/>
          <w:sz w:val="24"/>
          <w14:textFill>
            <w14:solidFill>
              <w14:schemeClr w14:val="tx1"/>
            </w14:solidFill>
          </w14:textFill>
        </w:rPr>
        <w:t>=γ</w:t>
      </w:r>
      <w:r>
        <w:rPr>
          <w:rFonts w:hint="eastAsia" w:ascii="仿宋" w:hAnsi="仿宋" w:eastAsia="仿宋"/>
          <w:color w:val="000000" w:themeColor="text1"/>
          <w:sz w:val="24"/>
          <w:vertAlign w:val="subscript"/>
          <w14:textFill>
            <w14:solidFill>
              <w14:schemeClr w14:val="tx1"/>
            </w14:solidFill>
          </w14:textFill>
        </w:rPr>
        <w:t>直</w:t>
      </w:r>
      <w:r>
        <w:rPr>
          <w:rFonts w:hint="eastAsia" w:ascii="仿宋" w:hAnsi="仿宋" w:eastAsia="仿宋"/>
          <w:color w:val="000000" w:themeColor="text1"/>
          <w:sz w:val="24"/>
          <w14:textFill>
            <w14:solidFill>
              <w14:schemeClr w14:val="tx1"/>
            </w14:solidFill>
          </w14:textFill>
        </w:rPr>
        <w:t>·h；γ</w:t>
      </w:r>
      <w:r>
        <w:rPr>
          <w:rFonts w:hint="eastAsia" w:ascii="仿宋" w:hAnsi="仿宋" w:eastAsia="仿宋"/>
          <w:color w:val="000000" w:themeColor="text1"/>
          <w:sz w:val="24"/>
          <w:vertAlign w:val="subscript"/>
          <w14:textFill>
            <w14:solidFill>
              <w14:schemeClr w14:val="tx1"/>
            </w14:solidFill>
          </w14:textFill>
        </w:rPr>
        <w:t>直</w:t>
      </w:r>
      <w:r>
        <w:rPr>
          <w:rFonts w:hint="eastAsia" w:ascii="仿宋" w:hAnsi="仿宋" w:eastAsia="仿宋"/>
          <w:color w:val="000000" w:themeColor="text1"/>
          <w:sz w:val="24"/>
          <w14:textFill>
            <w14:solidFill>
              <w14:schemeClr w14:val="tx1"/>
            </w14:solidFill>
          </w14:textFill>
        </w:rPr>
        <w:t>为直接顶容重，取25kN/m</w:t>
      </w:r>
      <w:r>
        <w:rPr>
          <w:rFonts w:hint="eastAsia" w:ascii="宋体" w:hAnsi="宋体" w:eastAsia="宋体" w:cs="宋体"/>
          <w:color w:val="000000" w:themeColor="text1"/>
          <w:sz w:val="24"/>
          <w14:textFill>
            <w14:solidFill>
              <w14:schemeClr w14:val="tx1"/>
            </w14:solidFill>
          </w14:textFill>
        </w:rPr>
        <w:t>³</w:t>
      </w:r>
      <w:r>
        <w:rPr>
          <w:rFonts w:hint="eastAsia" w:ascii="仿宋" w:hAnsi="仿宋" w:eastAsia="仿宋"/>
          <w:color w:val="000000" w:themeColor="text1"/>
          <w:sz w:val="24"/>
          <w14:textFill>
            <w14:solidFill>
              <w14:schemeClr w14:val="tx1"/>
            </w14:solidFill>
          </w14:textFill>
        </w:rPr>
        <w:t>，h为直接顶厚度，h=M/(K-1)，其中M为采高，取平均采高10.</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m，K为岩石碎胀系数，一般为1.25～1.5m，取1.5；则h=2</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m；</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q</w:t>
      </w:r>
      <w:r>
        <w:rPr>
          <w:rFonts w:hint="eastAsia" w:ascii="仿宋" w:hAnsi="仿宋" w:eastAsia="仿宋"/>
          <w:color w:val="000000" w:themeColor="text1"/>
          <w:sz w:val="24"/>
          <w:vertAlign w:val="subscript"/>
          <w14:textFill>
            <w14:solidFill>
              <w14:schemeClr w14:val="tx1"/>
            </w14:solidFill>
          </w14:textFill>
        </w:rPr>
        <w:t>直</w:t>
      </w:r>
      <w:r>
        <w:rPr>
          <w:rFonts w:hint="eastAsia" w:ascii="仿宋" w:hAnsi="仿宋" w:eastAsia="仿宋"/>
          <w:color w:val="000000" w:themeColor="text1"/>
          <w:sz w:val="24"/>
          <w14:textFill>
            <w14:solidFill>
              <w14:schemeClr w14:val="tx1"/>
            </w14:solidFill>
          </w14:textFill>
        </w:rPr>
        <w:t>＝γ</w:t>
      </w:r>
      <w:r>
        <w:rPr>
          <w:rFonts w:hint="eastAsia" w:ascii="仿宋" w:hAnsi="仿宋" w:eastAsia="仿宋"/>
          <w:color w:val="000000" w:themeColor="text1"/>
          <w:sz w:val="24"/>
          <w:vertAlign w:val="subscript"/>
          <w14:textFill>
            <w14:solidFill>
              <w14:schemeClr w14:val="tx1"/>
            </w14:solidFill>
          </w14:textFill>
        </w:rPr>
        <w:t>直</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21.0</w:t>
      </w:r>
      <w:r>
        <w:rPr>
          <w:rFonts w:hint="eastAsia" w:ascii="仿宋" w:hAnsi="仿宋" w:eastAsia="仿宋"/>
          <w:color w:val="000000" w:themeColor="text1"/>
          <w:sz w:val="24"/>
          <w14:textFill>
            <w14:solidFill>
              <w14:schemeClr w14:val="tx1"/>
            </w14:solidFill>
          </w14:textFill>
        </w:rPr>
        <w:t>＝25×</w:t>
      </w:r>
      <w:r>
        <w:rPr>
          <w:rFonts w:hint="eastAsia" w:ascii="仿宋" w:hAnsi="仿宋" w:eastAsia="仿宋"/>
          <w:color w:val="000000" w:themeColor="text1"/>
          <w:sz w:val="24"/>
          <w:lang w:val="en-US" w:eastAsia="zh-CN"/>
          <w14:textFill>
            <w14:solidFill>
              <w14:schemeClr w14:val="tx1"/>
            </w14:solidFill>
          </w14:textFill>
        </w:rPr>
        <w:t>21</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525</w:t>
      </w:r>
      <w:r>
        <w:rPr>
          <w:rFonts w:hint="eastAsia" w:ascii="仿宋" w:hAnsi="仿宋" w:eastAsia="仿宋"/>
          <w:color w:val="000000" w:themeColor="text1"/>
          <w:sz w:val="24"/>
          <w14:textFill>
            <w14:solidFill>
              <w14:schemeClr w14:val="tx1"/>
            </w14:solidFill>
          </w14:textFill>
        </w:rPr>
        <w:t>KN/m</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q</w:t>
      </w:r>
      <w:r>
        <w:rPr>
          <w:rFonts w:hint="eastAsia" w:ascii="仿宋" w:hAnsi="仿宋" w:eastAsia="仿宋"/>
          <w:color w:val="000000" w:themeColor="text1"/>
          <w:sz w:val="24"/>
          <w:vertAlign w:val="subscript"/>
          <w14:textFill>
            <w14:solidFill>
              <w14:schemeClr w14:val="tx1"/>
            </w14:solidFill>
          </w14:textFill>
        </w:rPr>
        <w:t>煤</w:t>
      </w:r>
      <w:r>
        <w:rPr>
          <w:rFonts w:hint="eastAsia" w:ascii="仿宋" w:hAnsi="仿宋" w:eastAsia="仿宋"/>
          <w:color w:val="000000" w:themeColor="text1"/>
          <w:sz w:val="24"/>
          <w14:textFill>
            <w14:solidFill>
              <w14:schemeClr w14:val="tx1"/>
            </w14:solidFill>
          </w14:textFill>
        </w:rPr>
        <w:t>—支架上方顶煤的自重应力，q</w:t>
      </w:r>
      <w:r>
        <w:rPr>
          <w:rFonts w:hint="eastAsia" w:ascii="仿宋" w:hAnsi="仿宋" w:eastAsia="仿宋"/>
          <w:color w:val="000000" w:themeColor="text1"/>
          <w:sz w:val="24"/>
          <w:vertAlign w:val="subscript"/>
          <w14:textFill>
            <w14:solidFill>
              <w14:schemeClr w14:val="tx1"/>
            </w14:solidFill>
          </w14:textFill>
        </w:rPr>
        <w:t>煤</w:t>
      </w:r>
      <w:r>
        <w:rPr>
          <w:rFonts w:hint="eastAsia" w:ascii="仿宋" w:hAnsi="仿宋" w:eastAsia="仿宋"/>
          <w:color w:val="000000" w:themeColor="text1"/>
          <w:sz w:val="24"/>
          <w14:textFill>
            <w14:solidFill>
              <w14:schemeClr w14:val="tx1"/>
            </w14:solidFill>
          </w14:textFill>
        </w:rPr>
        <w:t>=γ</w:t>
      </w:r>
      <w:r>
        <w:rPr>
          <w:rFonts w:hint="eastAsia" w:ascii="仿宋" w:hAnsi="仿宋" w:eastAsia="仿宋"/>
          <w:color w:val="000000" w:themeColor="text1"/>
          <w:sz w:val="24"/>
          <w:vertAlign w:val="subscript"/>
          <w14:textFill>
            <w14:solidFill>
              <w14:schemeClr w14:val="tx1"/>
            </w14:solidFill>
          </w14:textFill>
        </w:rPr>
        <w:t>煤</w:t>
      </w:r>
      <w:r>
        <w:rPr>
          <w:rFonts w:hint="eastAsia" w:ascii="仿宋" w:hAnsi="仿宋" w:eastAsia="仿宋"/>
          <w:color w:val="000000" w:themeColor="text1"/>
          <w:sz w:val="24"/>
          <w14:textFill>
            <w14:solidFill>
              <w14:schemeClr w14:val="tx1"/>
            </w14:solidFill>
          </w14:textFill>
        </w:rPr>
        <w:t>·h；γ</w:t>
      </w:r>
      <w:r>
        <w:rPr>
          <w:rFonts w:hint="eastAsia" w:ascii="仿宋" w:hAnsi="仿宋" w:eastAsia="仿宋"/>
          <w:color w:val="000000" w:themeColor="text1"/>
          <w:sz w:val="24"/>
          <w:vertAlign w:val="subscript"/>
          <w14:textFill>
            <w14:solidFill>
              <w14:schemeClr w14:val="tx1"/>
            </w14:solidFill>
          </w14:textFill>
        </w:rPr>
        <w:t>煤</w:t>
      </w:r>
      <w:r>
        <w:rPr>
          <w:rFonts w:hint="eastAsia" w:ascii="仿宋" w:hAnsi="仿宋" w:eastAsia="仿宋"/>
          <w:color w:val="000000" w:themeColor="text1"/>
          <w:sz w:val="24"/>
          <w14:textFill>
            <w14:solidFill>
              <w14:schemeClr w14:val="tx1"/>
            </w14:solidFill>
          </w14:textFill>
        </w:rPr>
        <w:t>为煤容重，为1.4t/m</w:t>
      </w:r>
      <w:r>
        <w:rPr>
          <w:rFonts w:hint="eastAsia" w:ascii="宋体" w:hAnsi="宋体" w:eastAsia="宋体" w:cs="宋体"/>
          <w:color w:val="000000" w:themeColor="text1"/>
          <w:sz w:val="24"/>
          <w14:textFill>
            <w14:solidFill>
              <w14:schemeClr w14:val="tx1"/>
            </w14:solidFill>
          </w14:textFill>
        </w:rPr>
        <w:t>³</w:t>
      </w:r>
      <w:r>
        <w:rPr>
          <w:rFonts w:hint="eastAsia" w:ascii="仿宋" w:hAnsi="仿宋" w:eastAsia="仿宋"/>
          <w:color w:val="000000" w:themeColor="text1"/>
          <w:sz w:val="24"/>
          <w14:textFill>
            <w14:solidFill>
              <w14:schemeClr w14:val="tx1"/>
            </w14:solidFill>
          </w14:textFill>
        </w:rPr>
        <w:t>=13.72kN/m</w:t>
      </w:r>
      <w:r>
        <w:rPr>
          <w:rFonts w:hint="eastAsia" w:ascii="宋体" w:hAnsi="宋体" w:eastAsia="宋体" w:cs="宋体"/>
          <w:color w:val="000000" w:themeColor="text1"/>
          <w:sz w:val="24"/>
          <w14:textFill>
            <w14:solidFill>
              <w14:schemeClr w14:val="tx1"/>
            </w14:solidFill>
          </w14:textFill>
        </w:rPr>
        <w:t>³</w:t>
      </w:r>
      <w:r>
        <w:rPr>
          <w:rFonts w:hint="eastAsia" w:ascii="仿宋" w:hAnsi="仿宋" w:eastAsia="仿宋"/>
          <w:color w:val="000000" w:themeColor="text1"/>
          <w:sz w:val="24"/>
          <w14:textFill>
            <w14:solidFill>
              <w14:schemeClr w14:val="tx1"/>
            </w14:solidFill>
          </w14:textFill>
        </w:rPr>
        <w:t>，按煤层全厚10.</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m计算，采高3.5m，取顶煤厚度为</w:t>
      </w:r>
      <w:r>
        <w:rPr>
          <w:rFonts w:hint="eastAsia" w:ascii="仿宋" w:hAnsi="仿宋" w:eastAsia="仿宋"/>
          <w:color w:val="000000" w:themeColor="text1"/>
          <w:sz w:val="24"/>
          <w:lang w:val="en-US" w:eastAsia="zh-CN"/>
          <w14:textFill>
            <w14:solidFill>
              <w14:schemeClr w14:val="tx1"/>
            </w14:solidFill>
          </w14:textFill>
        </w:rPr>
        <w:t>7.0</w:t>
      </w:r>
      <w:r>
        <w:rPr>
          <w:rFonts w:hint="eastAsia" w:ascii="仿宋" w:hAnsi="仿宋" w:eastAsia="仿宋"/>
          <w:color w:val="000000" w:themeColor="text1"/>
          <w:sz w:val="24"/>
          <w14:textFill>
            <w14:solidFill>
              <w14:schemeClr w14:val="tx1"/>
            </w14:solidFill>
          </w14:textFill>
        </w:rPr>
        <w:t>m。</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则q</w:t>
      </w:r>
      <w:r>
        <w:rPr>
          <w:rFonts w:hint="eastAsia" w:ascii="仿宋" w:hAnsi="仿宋" w:eastAsia="仿宋"/>
          <w:color w:val="000000" w:themeColor="text1"/>
          <w:sz w:val="24"/>
          <w:vertAlign w:val="subscript"/>
          <w14:textFill>
            <w14:solidFill>
              <w14:schemeClr w14:val="tx1"/>
            </w14:solidFill>
          </w14:textFill>
        </w:rPr>
        <w:t>煤</w:t>
      </w:r>
      <w:r>
        <w:rPr>
          <w:rFonts w:hint="eastAsia" w:ascii="仿宋" w:hAnsi="仿宋" w:eastAsia="仿宋"/>
          <w:color w:val="000000" w:themeColor="text1"/>
          <w:sz w:val="24"/>
          <w14:textFill>
            <w14:solidFill>
              <w14:schemeClr w14:val="tx1"/>
            </w14:solidFill>
          </w14:textFill>
        </w:rPr>
        <w:t>=γ</w:t>
      </w:r>
      <w:r>
        <w:rPr>
          <w:rFonts w:hint="eastAsia" w:ascii="仿宋" w:hAnsi="仿宋" w:eastAsia="仿宋"/>
          <w:color w:val="000000" w:themeColor="text1"/>
          <w:sz w:val="24"/>
          <w:vertAlign w:val="subscript"/>
          <w14:textFill>
            <w14:solidFill>
              <w14:schemeClr w14:val="tx1"/>
            </w14:solidFill>
          </w14:textFill>
        </w:rPr>
        <w:t>煤</w:t>
      </w:r>
      <w:r>
        <w:rPr>
          <w:rFonts w:hint="eastAsia" w:ascii="仿宋" w:hAnsi="仿宋" w:eastAsia="仿宋"/>
          <w:color w:val="000000" w:themeColor="text1"/>
          <w:sz w:val="24"/>
          <w14:textFill>
            <w14:solidFill>
              <w14:schemeClr w14:val="tx1"/>
            </w14:solidFill>
          </w14:textFill>
        </w:rPr>
        <w:t>·h=13.72×</w:t>
      </w:r>
      <w:r>
        <w:rPr>
          <w:rFonts w:hint="eastAsia" w:ascii="仿宋" w:hAnsi="仿宋" w:eastAsia="仿宋"/>
          <w:color w:val="000000" w:themeColor="text1"/>
          <w:sz w:val="24"/>
          <w:lang w:val="en-US" w:eastAsia="zh-CN"/>
          <w14:textFill>
            <w14:solidFill>
              <w14:schemeClr w14:val="tx1"/>
            </w14:solidFill>
          </w14:textFill>
        </w:rPr>
        <w:t>7.0</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96.04</w:t>
      </w:r>
      <w:r>
        <w:rPr>
          <w:rFonts w:hint="eastAsia" w:ascii="仿宋" w:hAnsi="仿宋" w:eastAsia="仿宋"/>
          <w:color w:val="000000" w:themeColor="text1"/>
          <w:sz w:val="24"/>
          <w14:textFill>
            <w14:solidFill>
              <w14:schemeClr w14:val="tx1"/>
            </w14:solidFill>
          </w14:textFill>
        </w:rPr>
        <w:t>KN/m</w:t>
      </w:r>
      <w:r>
        <w:rPr>
          <w:rFonts w:hint="eastAsia" w:ascii="宋体" w:hAnsi="宋体" w:eastAsia="宋体" w:cs="宋体"/>
          <w:color w:val="000000" w:themeColor="text1"/>
          <w:sz w:val="24"/>
          <w14:textFill>
            <w14:solidFill>
              <w14:schemeClr w14:val="tx1"/>
            </w14:solidFill>
          </w14:textFill>
        </w:rPr>
        <w:t>²</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支架所需的支护强度为</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P=K</w:t>
      </w:r>
      <w:r>
        <w:rPr>
          <w:rFonts w:hint="eastAsia" w:ascii="仿宋" w:hAnsi="仿宋" w:eastAsia="仿宋"/>
          <w:color w:val="000000" w:themeColor="text1"/>
          <w:sz w:val="24"/>
          <w:vertAlign w:val="subscript"/>
          <w14:textFill>
            <w14:solidFill>
              <w14:schemeClr w14:val="tx1"/>
            </w14:solidFill>
          </w14:textFill>
        </w:rPr>
        <w:t>d</w:t>
      </w:r>
      <w:r>
        <w:rPr>
          <w:rFonts w:hint="eastAsia" w:ascii="仿宋" w:hAnsi="仿宋" w:eastAsia="仿宋"/>
          <w:color w:val="000000" w:themeColor="text1"/>
          <w:sz w:val="24"/>
          <w14:textFill>
            <w14:solidFill>
              <w14:schemeClr w14:val="tx1"/>
            </w14:solidFill>
          </w14:textFill>
        </w:rPr>
        <w:t>·(q</w:t>
      </w:r>
      <w:r>
        <w:rPr>
          <w:rFonts w:hint="eastAsia" w:ascii="仿宋" w:hAnsi="仿宋" w:eastAsia="仿宋"/>
          <w:color w:val="000000" w:themeColor="text1"/>
          <w:sz w:val="24"/>
          <w:vertAlign w:val="subscript"/>
          <w14:textFill>
            <w14:solidFill>
              <w14:schemeClr w14:val="tx1"/>
            </w14:solidFill>
          </w14:textFill>
        </w:rPr>
        <w:t>直</w:t>
      </w:r>
      <w:r>
        <w:rPr>
          <w:rFonts w:hint="eastAsia" w:ascii="仿宋" w:hAnsi="仿宋" w:eastAsia="仿宋"/>
          <w:color w:val="000000" w:themeColor="text1"/>
          <w:sz w:val="24"/>
          <w14:textFill>
            <w14:solidFill>
              <w14:schemeClr w14:val="tx1"/>
            </w14:solidFill>
          </w14:textFill>
        </w:rPr>
        <w:t>+q</w:t>
      </w:r>
      <w:r>
        <w:rPr>
          <w:rFonts w:hint="eastAsia" w:ascii="仿宋" w:hAnsi="仿宋" w:eastAsia="仿宋"/>
          <w:color w:val="000000" w:themeColor="text1"/>
          <w:sz w:val="24"/>
          <w:vertAlign w:val="subscript"/>
          <w14:textFill>
            <w14:solidFill>
              <w14:schemeClr w14:val="tx1"/>
            </w14:solidFill>
          </w14:textFill>
        </w:rPr>
        <w:t>煤</w:t>
      </w:r>
      <w:r>
        <w:rPr>
          <w:rFonts w:hint="eastAsia" w:ascii="仿宋" w:hAnsi="仿宋" w:eastAsia="仿宋"/>
          <w:color w:val="000000" w:themeColor="text1"/>
          <w:sz w:val="24"/>
          <w14:textFill>
            <w14:solidFill>
              <w14:schemeClr w14:val="tx1"/>
            </w14:solidFill>
          </w14:textFill>
        </w:rPr>
        <w:t>)</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r>
        <w:rPr>
          <w:rFonts w:hint="eastAsia" w:ascii="仿宋" w:hAnsi="仿宋" w:eastAsia="仿宋"/>
          <w:color w:val="000000" w:themeColor="text1"/>
          <w:sz w:val="24"/>
          <w:lang w:val="en-US" w:eastAsia="zh-CN"/>
          <w14:textFill>
            <w14:solidFill>
              <w14:schemeClr w14:val="tx1"/>
            </w14:solidFill>
          </w14:textFill>
        </w:rPr>
        <w:t>525</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96.04</w:t>
      </w:r>
      <w:r>
        <w:rPr>
          <w:rFonts w:hint="eastAsia" w:ascii="仿宋" w:hAnsi="仿宋" w:eastAsia="仿宋"/>
          <w:color w:val="000000" w:themeColor="text1"/>
          <w:sz w:val="24"/>
          <w14:textFill>
            <w14:solidFill>
              <w14:schemeClr w14:val="tx1"/>
            </w14:solidFill>
          </w14:textFill>
        </w:rPr>
        <w:t>)</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993.664</w:t>
      </w:r>
      <w:r>
        <w:rPr>
          <w:rFonts w:hint="eastAsia" w:ascii="仿宋" w:hAnsi="仿宋" w:eastAsia="仿宋"/>
          <w:color w:val="000000" w:themeColor="text1"/>
          <w:sz w:val="24"/>
          <w14:textFill>
            <w14:solidFill>
              <w14:schemeClr w14:val="tx1"/>
            </w14:solidFill>
          </w14:textFill>
        </w:rPr>
        <w:t>(kN/m</w:t>
      </w:r>
      <w:r>
        <w:rPr>
          <w:rFonts w:hint="eastAsia" w:ascii="宋体" w:hAnsi="宋体" w:eastAsia="宋体" w:cs="宋体"/>
          <w:color w:val="000000" w:themeColor="text1"/>
          <w:sz w:val="24"/>
          <w14:textFill>
            <w14:solidFill>
              <w14:schemeClr w14:val="tx1"/>
            </w14:solidFill>
          </w14:textFill>
        </w:rPr>
        <w:t>²</w:t>
      </w:r>
      <w:r>
        <w:rPr>
          <w:rFonts w:hint="eastAsia" w:ascii="仿宋" w:hAnsi="仿宋" w:eastAsia="仿宋"/>
          <w:color w:val="000000" w:themeColor="text1"/>
          <w:sz w:val="24"/>
          <w14:textFill>
            <w14:solidFill>
              <w14:schemeClr w14:val="tx1"/>
            </w14:solidFill>
          </w14:textFill>
        </w:rPr>
        <w:t>)</w:t>
      </w:r>
    </w:p>
    <w:p>
      <w:pPr>
        <w:widowControl/>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lang w:val="en-US" w:eastAsia="zh-CN"/>
          <w14:textFill>
            <w14:solidFill>
              <w14:schemeClr w14:val="tx1"/>
            </w14:solidFill>
          </w14:textFill>
        </w:rPr>
        <w:t>99</w:t>
      </w:r>
      <w:r>
        <w:rPr>
          <w:rFonts w:hint="eastAsia" w:ascii="仿宋" w:hAnsi="仿宋" w:eastAsia="仿宋"/>
          <w:color w:val="000000" w:themeColor="text1"/>
          <w:sz w:val="24"/>
          <w14:textFill>
            <w14:solidFill>
              <w14:schemeClr w14:val="tx1"/>
            </w14:solidFill>
          </w14:textFill>
        </w:rPr>
        <w:t>(MPa)</w:t>
      </w:r>
    </w:p>
    <w:p>
      <w:pPr>
        <w:pStyle w:val="19"/>
        <w:adjustRightInd w:val="0"/>
        <w:snapToGrid w:val="0"/>
        <w:ind w:firstLine="0" w:firstLineChars="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（二）支架所需的工作阻力计算</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支架所需初撑力和工作阻力的确定</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F=SP</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S=A(L+C)</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式中：</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F——支架工作阻力，MN；</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P——支架支护强度，0.9</w:t>
      </w:r>
      <w:r>
        <w:rPr>
          <w:rFonts w:hint="eastAsia" w:ascii="仿宋" w:hAnsi="仿宋" w:eastAsia="仿宋" w:cs="Courier New"/>
          <w:color w:val="000000" w:themeColor="text1"/>
          <w:sz w:val="24"/>
          <w:lang w:val="en-US" w:eastAsia="zh-CN"/>
          <w14:textFill>
            <w14:solidFill>
              <w14:schemeClr w14:val="tx1"/>
            </w14:solidFill>
          </w14:textFill>
        </w:rPr>
        <w:t>9</w:t>
      </w:r>
      <w:r>
        <w:rPr>
          <w:rFonts w:hint="eastAsia" w:ascii="仿宋" w:hAnsi="仿宋" w:eastAsia="仿宋" w:cs="Courier New"/>
          <w:color w:val="000000" w:themeColor="text1"/>
          <w:sz w:val="24"/>
          <w14:textFill>
            <w14:solidFill>
              <w14:schemeClr w14:val="tx1"/>
            </w14:solidFill>
          </w14:textFill>
        </w:rPr>
        <w:t>MPa；</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A——支架中心距，A=1.75m；</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L——支架顶梁长， L=5.38m；</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C——梁端面距，c=0.30m；</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则：</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S=A(L+C)=1.75×(5.38+0.30)</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 xml:space="preserve"> =9.94（m</w:t>
      </w:r>
      <w:r>
        <w:rPr>
          <w:rFonts w:hint="eastAsia" w:ascii="宋体" w:hAnsi="宋体" w:eastAsia="宋体" w:cs="宋体"/>
          <w:color w:val="000000" w:themeColor="text1"/>
          <w:sz w:val="24"/>
          <w14:textFill>
            <w14:solidFill>
              <w14:schemeClr w14:val="tx1"/>
            </w14:solidFill>
          </w14:textFill>
        </w:rPr>
        <w:t>²</w:t>
      </w:r>
      <w:r>
        <w:rPr>
          <w:rFonts w:hint="eastAsia" w:ascii="仿宋" w:hAnsi="仿宋" w:eastAsia="仿宋" w:cs="Courier New"/>
          <w:color w:val="000000" w:themeColor="text1"/>
          <w:sz w:val="24"/>
          <w14:textFill>
            <w14:solidFill>
              <w14:schemeClr w14:val="tx1"/>
            </w14:solidFill>
          </w14:textFill>
        </w:rPr>
        <w:t>）</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工作阻力：</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F=SP</w:t>
      </w:r>
    </w:p>
    <w:p>
      <w:pPr>
        <w:widowControl/>
        <w:snapToGrid w:val="0"/>
        <w:ind w:firstLine="480"/>
        <w:rPr>
          <w:rFonts w:hint="eastAsia" w:ascii="仿宋" w:hAnsi="仿宋" w:eastAsia="仿宋" w:cs="Courier New"/>
          <w:color w:val="000000" w:themeColor="text1"/>
          <w:sz w:val="24"/>
          <w:lang w:eastAsia="zh-CN"/>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=9.94×0.9</w:t>
      </w:r>
      <w:r>
        <w:rPr>
          <w:rFonts w:hint="eastAsia" w:ascii="仿宋" w:hAnsi="仿宋" w:eastAsia="仿宋" w:cs="Courier New"/>
          <w:color w:val="000000" w:themeColor="text1"/>
          <w:sz w:val="24"/>
          <w:lang w:val="en-US" w:eastAsia="zh-CN"/>
          <w14:textFill>
            <w14:solidFill>
              <w14:schemeClr w14:val="tx1"/>
            </w14:solidFill>
          </w14:textFill>
        </w:rPr>
        <w:t>9</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=9.</w:t>
      </w:r>
      <w:r>
        <w:rPr>
          <w:rFonts w:hint="eastAsia" w:ascii="仿宋" w:hAnsi="仿宋" w:eastAsia="仿宋" w:cs="Courier New"/>
          <w:color w:val="000000" w:themeColor="text1"/>
          <w:sz w:val="24"/>
          <w:lang w:val="en-US" w:eastAsia="zh-CN"/>
          <w14:textFill>
            <w14:solidFill>
              <w14:schemeClr w14:val="tx1"/>
            </w14:solidFill>
          </w14:textFill>
        </w:rPr>
        <w:t>84</w:t>
      </w:r>
      <w:r>
        <w:rPr>
          <w:rFonts w:hint="eastAsia" w:ascii="仿宋" w:hAnsi="仿宋" w:eastAsia="仿宋" w:cs="Courier New"/>
          <w:color w:val="000000" w:themeColor="text1"/>
          <w:sz w:val="24"/>
          <w14:textFill>
            <w14:solidFill>
              <w14:schemeClr w14:val="tx1"/>
            </w14:solidFill>
          </w14:textFill>
        </w:rPr>
        <w:t>(MN)</w:t>
      </w:r>
    </w:p>
    <w:p>
      <w:pPr>
        <w:widowControl/>
        <w:snapToGrid w:val="0"/>
        <w:ind w:firstLine="480"/>
        <w:rPr>
          <w:rFonts w:ascii="仿宋" w:hAnsi="仿宋" w:eastAsia="仿宋" w:cs="Courier New"/>
          <w:color w:val="000000" w:themeColor="text1"/>
          <w:sz w:val="24"/>
          <w14:textFill>
            <w14:solidFill>
              <w14:schemeClr w14:val="tx1"/>
            </w14:solidFill>
          </w14:textFill>
        </w:rPr>
      </w:pPr>
      <w:r>
        <w:rPr>
          <w:rFonts w:hint="eastAsia" w:ascii="仿宋" w:hAnsi="仿宋" w:eastAsia="仿宋" w:cs="Courier New"/>
          <w:color w:val="000000" w:themeColor="text1"/>
          <w:sz w:val="24"/>
          <w14:textFill>
            <w14:solidFill>
              <w14:schemeClr w14:val="tx1"/>
            </w14:solidFill>
          </w14:textFill>
        </w:rPr>
        <w:t>=9</w:t>
      </w:r>
      <w:r>
        <w:rPr>
          <w:rFonts w:hint="eastAsia" w:ascii="仿宋" w:hAnsi="仿宋" w:eastAsia="仿宋" w:cs="Courier New"/>
          <w:color w:val="000000" w:themeColor="text1"/>
          <w:sz w:val="24"/>
          <w:lang w:val="en-US" w:eastAsia="zh-CN"/>
          <w14:textFill>
            <w14:solidFill>
              <w14:schemeClr w14:val="tx1"/>
            </w14:solidFill>
          </w14:textFill>
        </w:rPr>
        <w:t>840</w:t>
      </w:r>
      <w:r>
        <w:rPr>
          <w:rFonts w:hint="eastAsia" w:ascii="仿宋" w:hAnsi="仿宋" w:eastAsia="仿宋" w:cs="Courier New"/>
          <w:color w:val="000000" w:themeColor="text1"/>
          <w:sz w:val="24"/>
          <w14:textFill>
            <w14:solidFill>
              <w14:schemeClr w14:val="tx1"/>
            </w14:solidFill>
          </w14:textFill>
        </w:rPr>
        <w:t>KN</w:t>
      </w:r>
    </w:p>
    <w:p>
      <w:pPr>
        <w:widowControl/>
        <w:snapToGrid w:val="0"/>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（三）</w:t>
      </w:r>
      <w:r>
        <w:rPr>
          <w:rFonts w:hint="eastAsia" w:ascii="仿宋" w:hAnsi="仿宋" w:eastAsia="仿宋" w:cs="宋体"/>
          <w:b/>
          <w:color w:val="000000" w:themeColor="text1"/>
          <w:sz w:val="24"/>
          <w14:textFill>
            <w14:solidFill>
              <w14:schemeClr w14:val="tx1"/>
            </w14:solidFill>
          </w14:textFill>
        </w:rPr>
        <w:t>风巷超前支护采用单元支架支护强度验算</w:t>
      </w:r>
    </w:p>
    <w:p>
      <w:pPr>
        <w:snapToGrid w:val="0"/>
        <w:ind w:firstLine="0" w:firstLineChars="0"/>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1、基于塑性区的理论估算方法</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根据公式计算最大断面回采巷道的塑性区半径：</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R0=1/2×（a</w:t>
      </w:r>
      <w:r>
        <w:rPr>
          <w:rFonts w:hint="eastAsia" w:ascii="仿宋" w:hAnsi="仿宋" w:eastAsia="仿宋" w:cs="仿宋_GB2312"/>
          <w:color w:val="000000" w:themeColor="text1"/>
          <w:sz w:val="24"/>
          <w:vertAlign w:val="superscript"/>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+H</w:t>
      </w:r>
      <w:r>
        <w:rPr>
          <w:rFonts w:hint="eastAsia" w:ascii="仿宋" w:hAnsi="仿宋" w:eastAsia="仿宋" w:cs="仿宋_GB2312"/>
          <w:color w:val="000000" w:themeColor="text1"/>
          <w:sz w:val="24"/>
          <w:vertAlign w:val="superscript"/>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vertAlign w:val="superscript"/>
          <w14:textFill>
            <w14:solidFill>
              <w14:schemeClr w14:val="tx1"/>
            </w14:solidFill>
          </w14:textFill>
        </w:rPr>
        <w:t>0.5</w:t>
      </w:r>
      <w:r>
        <w:rPr>
          <w:rFonts w:hint="eastAsia" w:ascii="仿宋" w:hAnsi="仿宋" w:eastAsia="仿宋" w:cs="仿宋_GB2312"/>
          <w:color w:val="000000" w:themeColor="text1"/>
          <w:sz w:val="24"/>
          <w14:textFill>
            <w14:solidFill>
              <w14:schemeClr w14:val="tx1"/>
            </w14:solidFill>
          </w14:textFill>
        </w:rPr>
        <w:t>=0.5×（5.7×5.7+4×4）</w:t>
      </w:r>
      <w:r>
        <w:rPr>
          <w:rFonts w:hint="eastAsia" w:ascii="仿宋" w:hAnsi="仿宋" w:eastAsia="仿宋" w:cs="仿宋_GB2312"/>
          <w:color w:val="000000" w:themeColor="text1"/>
          <w:sz w:val="24"/>
          <w:vertAlign w:val="superscript"/>
          <w14:textFill>
            <w14:solidFill>
              <w14:schemeClr w14:val="tx1"/>
            </w14:solidFill>
          </w14:textFill>
        </w:rPr>
        <w:t>0.5</w:t>
      </w:r>
      <w:r>
        <w:rPr>
          <w:rFonts w:hint="eastAsia" w:ascii="仿宋" w:hAnsi="仿宋" w:eastAsia="仿宋" w:cs="仿宋_GB2312"/>
          <w:color w:val="000000" w:themeColor="text1"/>
          <w:sz w:val="24"/>
          <w14:textFill>
            <w14:solidFill>
              <w14:schemeClr w14:val="tx1"/>
            </w14:solidFill>
          </w14:textFill>
        </w:rPr>
        <w:t>=3.5m</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Rp=R0[γ顶Z/（γ顶Zsinφ +Ccosφ）]</w:t>
      </w:r>
      <w:r>
        <w:rPr>
          <w:rFonts w:hint="eastAsia" w:ascii="仿宋" w:hAnsi="仿宋" w:eastAsia="仿宋" w:cs="仿宋_GB2312"/>
          <w:color w:val="000000" w:themeColor="text1"/>
          <w:sz w:val="24"/>
          <w:vertAlign w:val="superscript"/>
          <w14:textFill>
            <w14:solidFill>
              <w14:schemeClr w14:val="tx1"/>
            </w14:solidFill>
          </w14:textFill>
        </w:rPr>
        <w:t>0.5</w:t>
      </w:r>
      <w:r>
        <w:rPr>
          <w:rFonts w:hint="eastAsia" w:ascii="仿宋" w:hAnsi="仿宋" w:eastAsia="仿宋" w:cs="仿宋_GB2312"/>
          <w:color w:val="000000" w:themeColor="text1"/>
          <w:sz w:val="24"/>
          <w14:textFill>
            <w14:solidFill>
              <w14:schemeClr w14:val="tx1"/>
            </w14:solidFill>
          </w14:textFill>
        </w:rPr>
        <w:t>=3.5×[25×690÷(25×690×0.707+4×0.707）]</w:t>
      </w:r>
      <w:r>
        <w:rPr>
          <w:rFonts w:hint="eastAsia" w:ascii="仿宋" w:hAnsi="仿宋" w:eastAsia="仿宋" w:cs="仿宋_GB2312"/>
          <w:color w:val="000000" w:themeColor="text1"/>
          <w:sz w:val="24"/>
          <w:vertAlign w:val="superscript"/>
          <w14:textFill>
            <w14:solidFill>
              <w14:schemeClr w14:val="tx1"/>
            </w14:solidFill>
          </w14:textFill>
        </w:rPr>
        <w:t>0.5</w:t>
      </w:r>
      <w:r>
        <w:rPr>
          <w:rFonts w:hint="eastAsia" w:ascii="仿宋" w:hAnsi="仿宋" w:eastAsia="仿宋" w:cs="仿宋_GB2312"/>
          <w:color w:val="000000" w:themeColor="text1"/>
          <w:sz w:val="24"/>
          <w14:textFill>
            <w14:solidFill>
              <w14:schemeClr w14:val="tx1"/>
            </w14:solidFill>
          </w14:textFill>
        </w:rPr>
        <w:t>=4.2m</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静压下单位面积顶板载荷：Q静=γ顶（Rp-H/2）=25×（4.2-4÷2）=55kN/m</w:t>
      </w:r>
      <w:r>
        <w:rPr>
          <w:rFonts w:hint="eastAsia" w:ascii="仿宋" w:hAnsi="仿宋" w:eastAsia="仿宋" w:cs="仿宋_GB2312"/>
          <w:color w:val="000000" w:themeColor="text1"/>
          <w:sz w:val="24"/>
          <w:vertAlign w:val="superscript"/>
          <w14:textFill>
            <w14:solidFill>
              <w14:schemeClr w14:val="tx1"/>
            </w14:solidFill>
          </w14:textFill>
        </w:rPr>
        <w:t>2</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动压影响下单位面积顶板载荷（动压约是静压的2～4倍，取最大值4）：Q动=4×Q动=4×55=220kN/m</w:t>
      </w:r>
      <w:r>
        <w:rPr>
          <w:rFonts w:hint="eastAsia" w:ascii="仿宋" w:hAnsi="仿宋" w:eastAsia="仿宋" w:cs="仿宋_GB2312"/>
          <w:color w:val="000000" w:themeColor="text1"/>
          <w:sz w:val="24"/>
          <w:vertAlign w:val="superscript"/>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=0.22MPa</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超前段顶板总载荷：F顶=L×a×Q动（kN）=20×5.5×220=24200kN</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锚索支护阻力：F锚索=η索×n索×N索破（kN）=60%×36×500=10800kN</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单元支架超前支护每延米所需支护强度：</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P总=F超前/A单元支架＝（F顶-F锚索）/A单元支架=(24200-10800)÷(20×5.5)=0.13MPa</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式中：γ顶—顶板岩石平均容重，kN/m</w:t>
      </w:r>
      <w:r>
        <w:rPr>
          <w:rFonts w:hint="eastAsia" w:ascii="仿宋" w:hAnsi="仿宋" w:eastAsia="仿宋" w:cs="仿宋_GB2312"/>
          <w:color w:val="000000" w:themeColor="text1"/>
          <w:sz w:val="24"/>
          <w:vertAlign w:val="superscript"/>
          <w14:textFill>
            <w14:solidFill>
              <w14:schemeClr w14:val="tx1"/>
            </w14:solidFill>
          </w14:textFill>
        </w:rPr>
        <w:t>3</w:t>
      </w:r>
      <w:r>
        <w:rPr>
          <w:rFonts w:hint="eastAsia" w:ascii="仿宋" w:hAnsi="仿宋" w:eastAsia="仿宋" w:cs="仿宋_GB2312"/>
          <w:color w:val="000000" w:themeColor="text1"/>
          <w:sz w:val="24"/>
          <w14:textFill>
            <w14:solidFill>
              <w14:schemeClr w14:val="tx1"/>
            </w14:solidFill>
          </w14:textFill>
        </w:rPr>
        <w:t>；R0—矩形巷道外接圆半径，m；Rp—塑性区半径，m；H—巷道高度，m；a—巷道宽度，m；L—超前维护距离，按20m；Q静—静压情况下顶板载荷，kN/m</w:t>
      </w:r>
      <w:r>
        <w:rPr>
          <w:rFonts w:hint="eastAsia" w:ascii="仿宋" w:hAnsi="仿宋" w:eastAsia="仿宋" w:cs="仿宋_GB2312"/>
          <w:color w:val="000000" w:themeColor="text1"/>
          <w:sz w:val="24"/>
          <w:vertAlign w:val="superscript"/>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；Z—巷道埋藏深度，m；φ—摩擦角，取45°；C—粘结系数，取4；η索—锚索支护效率，按60%；Q动—动压影响下单位面积顶板载荷，kN/m</w:t>
      </w:r>
      <w:r>
        <w:rPr>
          <w:rFonts w:hint="eastAsia" w:ascii="仿宋" w:hAnsi="仿宋" w:eastAsia="仿宋" w:cs="仿宋_GB2312"/>
          <w:color w:val="000000" w:themeColor="text1"/>
          <w:sz w:val="24"/>
          <w:vertAlign w:val="superscript"/>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；N索破—锚索破断力，取500kN；F单体—单元支架工作阻力，取4000kN。</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风巷超前0-20m布置双排单元支架14架，中心距3m，工作阻力4000kN，则支护强度为14×4000/(20×5.5)=0.51MPa&gt;0.13MPa。因此，在不考虑冲击载荷的前提下，回风顺槽超前支护满足要求。</w:t>
      </w:r>
    </w:p>
    <w:p>
      <w:pPr>
        <w:snapToGrid w:val="0"/>
        <w:ind w:firstLine="0" w:firstLineChars="0"/>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2、基于顶板结构的理论估算方法</w:t>
      </w:r>
    </w:p>
    <w:p>
      <w:pPr>
        <w:snapToGrid w:val="0"/>
        <w:ind w:firstLine="0" w:firstLineChars="0"/>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（1）0-20m超前支护强度验算</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工作面超前支护强度由两部分支护构成：一是锚杆、锚索的支护，二是超前支架的支护。按照巷道顶板上方直至基本顶发生垮落的极端情况进行分析，超前支护的支护强度计算公式：</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P=Kd×q冒×cosα，q冒=hγ</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式中，P—巷道所需支护强度，MPa；q冒—垮落岩层自重应力，MPa；Kd—巷道动载系数，取2；γ—体积力，主要为顶煤，取20kN/m</w:t>
      </w:r>
      <w:r>
        <w:rPr>
          <w:rFonts w:hint="eastAsia" w:ascii="仿宋" w:hAnsi="仿宋" w:eastAsia="仿宋" w:cs="仿宋_GB2312"/>
          <w:color w:val="000000" w:themeColor="text1"/>
          <w:sz w:val="24"/>
          <w:vertAlign w:val="superscript"/>
          <w14:textFill>
            <w14:solidFill>
              <w14:schemeClr w14:val="tx1"/>
            </w14:solidFill>
          </w14:textFill>
        </w:rPr>
        <w:t>3</w:t>
      </w:r>
      <w:r>
        <w:rPr>
          <w:rFonts w:hint="eastAsia" w:ascii="仿宋" w:hAnsi="仿宋" w:eastAsia="仿宋" w:cs="仿宋_GB2312"/>
          <w:color w:val="000000" w:themeColor="text1"/>
          <w:sz w:val="24"/>
          <w14:textFill>
            <w14:solidFill>
              <w14:schemeClr w14:val="tx1"/>
            </w14:solidFill>
          </w14:textFill>
        </w:rPr>
        <w:t>；h—覆岩破坏高度，直接顶取10.</w:t>
      </w:r>
      <w:r>
        <w:rPr>
          <w:rFonts w:hint="eastAsia" w:ascii="仿宋" w:hAnsi="仿宋" w:eastAsia="仿宋" w:cs="仿宋_GB2312"/>
          <w:color w:val="000000" w:themeColor="text1"/>
          <w:sz w:val="24"/>
          <w:lang w:val="en-US" w:eastAsia="zh-CN"/>
          <w14:textFill>
            <w14:solidFill>
              <w14:schemeClr w14:val="tx1"/>
            </w14:solidFill>
          </w14:textFill>
        </w:rPr>
        <w:t>5</w:t>
      </w:r>
      <w:r>
        <w:rPr>
          <w:rFonts w:hint="eastAsia" w:ascii="仿宋" w:hAnsi="仿宋" w:eastAsia="仿宋" w:cs="仿宋_GB2312"/>
          <w:color w:val="000000" w:themeColor="text1"/>
          <w:sz w:val="24"/>
          <w14:textFill>
            <w14:solidFill>
              <w14:schemeClr w14:val="tx1"/>
            </w14:solidFill>
          </w14:textFill>
        </w:rPr>
        <w:t>m；α—煤层倾角，取14°。</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计算知，1303风巷超前支护所需的支护强度至少为0.4MPa。</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巷道顶板每排布置3根锚索，间排距均1.6m。受采动影响后锚索支护强度降低，锚索张拉破断力按500kN，有效系数取0.6，则每根锚索残余支护力为300kN。超前支护20m范围内有36根锚索，支护面积为110m</w:t>
      </w:r>
      <w:r>
        <w:rPr>
          <w:rFonts w:hint="eastAsia" w:ascii="仿宋" w:hAnsi="仿宋" w:eastAsia="仿宋" w:cs="仿宋_GB2312"/>
          <w:color w:val="000000" w:themeColor="text1"/>
          <w:sz w:val="24"/>
          <w:vertAlign w:val="superscript"/>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（巷宽5.5m，长度20m），则锚索提供的残余支护强度（残余支护力/支护面积）约为0.1MPa。</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通过计算，超前支护单元支架的支护强度至少为0.3MPa。</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超前支护强度校验：风巷超前0-20m布置双排单元支架14架，中心距3m，工作阻力4000kN，则支护强度为14×4000/(20×5.5)=0.51MPa&gt;0.3MPa。因此，在不考虑冲击载荷的前提下，风巷超前支护满足要求。</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端头支护强度校验：1303风巷端头拟采用6架单元式支架，支护方式为两架一组，共3组6架，中心距3m，双排交替迈步式布置，支护长度8m，控顶面积按巷道宽度5.5m验算，每部单元式支架4000kN，则端头支护强度为：6×4000/8×5.5=0.55MPa＞0.3Mpa，因此，在不考虑冲击载荷的前提下，风巷端头支护满足要求。</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回采期间风巷端头支护断面增加时要逐渐递增单元式支架，提高端头处支护强度，且工作面末架液压支架与单元式支架之间的空顶距离不得大于500mm，否则必须增加单元式支架或单体支护棚。</w:t>
      </w:r>
    </w:p>
    <w:p>
      <w:pPr>
        <w:snapToGrid w:val="0"/>
        <w:ind w:firstLine="0" w:firstLineChars="0"/>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（2）20m-200m超前支护强度验算</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1303风巷20m-200m范围超前采动应力较0-20m范围集中系数小，超前支护的支护强度计算公式：</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P=Kd×q冒×cosα，q冒=hγ</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式中，P—巷道所需支护强度，MPa；q冒—垮落岩层自重应力，MPa；Kd—巷道动载系数，取1.1~1.3；γ—体积力，主要为顶煤，取20kN/m</w:t>
      </w:r>
      <w:r>
        <w:rPr>
          <w:rFonts w:hint="eastAsia" w:ascii="仿宋" w:hAnsi="仿宋" w:eastAsia="仿宋" w:cs="仿宋_GB2312"/>
          <w:color w:val="000000" w:themeColor="text1"/>
          <w:sz w:val="24"/>
          <w:vertAlign w:val="superscript"/>
          <w14:textFill>
            <w14:solidFill>
              <w14:schemeClr w14:val="tx1"/>
            </w14:solidFill>
          </w14:textFill>
        </w:rPr>
        <w:t>3</w:t>
      </w:r>
      <w:r>
        <w:rPr>
          <w:rFonts w:hint="eastAsia" w:ascii="仿宋" w:hAnsi="仿宋" w:eastAsia="仿宋" w:cs="仿宋_GB2312"/>
          <w:color w:val="000000" w:themeColor="text1"/>
          <w:sz w:val="24"/>
          <w14:textFill>
            <w14:solidFill>
              <w14:schemeClr w14:val="tx1"/>
            </w14:solidFill>
          </w14:textFill>
        </w:rPr>
        <w:t>；h—覆岩破坏高度，根据1303工作面设计说明书，并结合钻孔岩性及层厚分析，易垮落的直接顶厚度分别为12.7m、1.1m，取13.8m；α—煤层倾角，取7°。</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通过计算，1303风巷超前20m-200m范围所需的支护强度至少0.22~0.26MPa。</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强度校验：1303风巷20m-200m范围采用1排单元式支架进行加强支护，共60架，则支护强度为60×4000/(180×5.5)=0.24MPa。从计算结果来看，1303风巷20m-200m范围内超前支护基本满足控顶要求。</w:t>
      </w:r>
    </w:p>
    <w:p>
      <w:pPr>
        <w:widowControl/>
        <w:snapToGrid w:val="0"/>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（四）支架选择</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1、放顶煤中部支架ZF16000/21/38支护强度为约1.59Mpa，支撑高度为2.1～3.8m，初撑力为12824kN，工作阻力为16000kN，满足回采要求。</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2、放顶煤特殊过渡支架ZFG16000/26/38支护强度为约1.37Mpa，支撑高度为2.6～3.8m，初撑力为12824kN，工作阻力为16000kN，满足回采要求。</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3、放顶煤端头支架ZFT38000/26/40支护强度为约0.86Mpa，支撑高度为2.6～4.0m，初撑力为25648kN，工作阻力为38000kN，满足回采要求。</w:t>
      </w:r>
    </w:p>
    <w:p>
      <w:pPr>
        <w:pStyle w:val="12"/>
        <w:snapToGrid w:val="0"/>
        <w:spacing w:after="0"/>
        <w:ind w:firstLine="480"/>
        <w:rPr>
          <w:rFonts w:ascii="仿宋" w:hAnsi="仿宋" w:eastAsia="仿宋" w:cs="仿宋"/>
          <w:color w:val="000000" w:themeColor="text1"/>
          <w:kern w:val="10"/>
          <w:sz w:val="24"/>
          <w:lang w:val="en-GB"/>
          <w14:textFill>
            <w14:solidFill>
              <w14:schemeClr w14:val="tx1"/>
            </w14:solidFill>
          </w14:textFill>
        </w:rPr>
      </w:pPr>
      <w:r>
        <w:rPr>
          <w:rFonts w:hint="eastAsia" w:ascii="仿宋" w:hAnsi="仿宋" w:eastAsia="仿宋" w:cs="仿宋"/>
          <w:color w:val="000000" w:themeColor="text1"/>
          <w:kern w:val="10"/>
          <w:sz w:val="24"/>
          <w:lang w:val="en-GB"/>
          <w14:textFill>
            <w14:solidFill>
              <w14:schemeClr w14:val="tx1"/>
            </w14:solidFill>
          </w14:textFill>
        </w:rPr>
        <w:t>4、</w:t>
      </w:r>
      <w:r>
        <w:rPr>
          <w:rFonts w:hint="eastAsia" w:ascii="仿宋" w:hAnsi="仿宋" w:eastAsia="仿宋" w:cs="仿宋"/>
          <w:color w:val="000000" w:themeColor="text1"/>
          <w:kern w:val="10"/>
          <w:sz w:val="24"/>
          <w14:textFill>
            <w14:solidFill>
              <w14:schemeClr w14:val="tx1"/>
            </w14:solidFill>
          </w14:textFill>
        </w:rPr>
        <w:t>机巷</w:t>
      </w:r>
      <w:r>
        <w:rPr>
          <w:rFonts w:hint="eastAsia" w:ascii="仿宋" w:hAnsi="仿宋" w:eastAsia="仿宋" w:cs="仿宋"/>
          <w:color w:val="000000" w:themeColor="text1"/>
          <w:kern w:val="10"/>
          <w:sz w:val="24"/>
          <w:lang w:val="en-GB"/>
          <w14:textFill>
            <w14:solidFill>
              <w14:schemeClr w14:val="tx1"/>
            </w14:solidFill>
          </w14:textFill>
        </w:rPr>
        <w:t>超前支护液压支架（机巷3组6架）ZQL2×6000/23/45支护强度为约0.47Mpa，支撑高度为2.3～4.5m，初撑力为2×5066kN，工作阻力为2×6000kN，满足回采要求。</w:t>
      </w:r>
    </w:p>
    <w:p>
      <w:pPr>
        <w:pStyle w:val="12"/>
        <w:snapToGrid w:val="0"/>
        <w:spacing w:after="0"/>
        <w:ind w:firstLine="48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5、单元支架顶梁宽度/长度：660/1600mm，支护高度2060-4500mm，工作阻力4000kN，前后架中心距3000mm，支架初撑力3092KN，支架重量4.6T，顶梁适应顶板倾角走向±15°，倾向±5°。</w:t>
      </w:r>
      <w:r>
        <w:rPr>
          <w:rFonts w:hint="eastAsia" w:ascii="仿宋" w:hAnsi="仿宋" w:eastAsia="仿宋" w:cs="仿宋"/>
          <w:color w:val="000000" w:themeColor="text1"/>
          <w:kern w:val="0"/>
          <w:sz w:val="24"/>
          <w14:textFill>
            <w14:solidFill>
              <w14:schemeClr w14:val="tx1"/>
            </w14:solidFill>
          </w14:textFill>
        </w:rPr>
        <w:t>机巷转载机向外50m范围内布置一排</w:t>
      </w:r>
      <w:r>
        <w:rPr>
          <w:rFonts w:hint="eastAsia" w:ascii="仿宋" w:hAnsi="仿宋" w:eastAsia="仿宋" w:cs="仿宋"/>
          <w:color w:val="000000" w:themeColor="text1"/>
          <w:kern w:val="0"/>
          <w:sz w:val="24"/>
          <w:lang w:val="en-US" w:eastAsia="zh-CN"/>
          <w14:textFill>
            <w14:solidFill>
              <w14:schemeClr w14:val="tx1"/>
            </w14:solidFill>
          </w14:textFill>
        </w:rPr>
        <w:t>17</w:t>
      </w:r>
      <w:r>
        <w:rPr>
          <w:rFonts w:hint="eastAsia" w:ascii="仿宋" w:hAnsi="仿宋" w:eastAsia="仿宋" w:cs="仿宋"/>
          <w:color w:val="000000" w:themeColor="text1"/>
          <w:kern w:val="0"/>
          <w:sz w:val="24"/>
          <w14:textFill>
            <w14:solidFill>
              <w14:schemeClr w14:val="tx1"/>
            </w14:solidFill>
          </w14:textFill>
        </w:rPr>
        <w:t>架单元支架</w:t>
      </w:r>
      <w:r>
        <w:rPr>
          <w:rFonts w:hint="eastAsia" w:ascii="仿宋" w:hAnsi="仿宋" w:eastAsia="仿宋" w:cs="仿宋_GB2312"/>
          <w:color w:val="000000" w:themeColor="text1"/>
          <w:sz w:val="24"/>
          <w14:textFill>
            <w14:solidFill>
              <w14:schemeClr w14:val="tx1"/>
            </w14:solidFill>
          </w14:textFill>
        </w:rPr>
        <w:t>（靠皮带机侧）</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宋体"/>
          <w:color w:val="000000" w:themeColor="text1"/>
          <w:sz w:val="24"/>
          <w14:textFill>
            <w14:solidFill>
              <w14:schemeClr w14:val="tx1"/>
            </w14:solidFill>
          </w14:textFill>
        </w:rPr>
        <w:t>风巷超前支护20m范围内双排布置共计14架单元支架，超前支护走向中心距3.0m±0.5m。向外180m范围内单排布置共计60架单元支架</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机巷单元支架支护强度计算方式同风巷一样。</w:t>
      </w:r>
    </w:p>
    <w:p>
      <w:pPr>
        <w:pStyle w:val="67"/>
        <w:snapToGrid w:val="0"/>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三、支架类型及数量</w:t>
      </w:r>
    </w:p>
    <w:p>
      <w:pPr>
        <w:snapToGrid w:val="0"/>
        <w:ind w:firstLine="468" w:firstLineChars="195"/>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1303工作面切眼共安装支架104架，其中基本支架95架，机头过渡支架</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架，特殊过渡支架1架，机尾过渡支架</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架，特殊过渡支架1架，端头支架1组2架，机巷超前支架3组6架，单元式支架机巷设计安装20架、风巷设计安装80架。</w:t>
      </w:r>
    </w:p>
    <w:p>
      <w:pPr>
        <w:pStyle w:val="67"/>
        <w:snapToGrid w:val="0"/>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四、顶板控制冒落及来压</w:t>
      </w:r>
    </w:p>
    <w:p>
      <w:pPr>
        <w:snapToGrid w:val="0"/>
        <w:ind w:firstLine="520"/>
        <w:rPr>
          <w:rFonts w:ascii="仿宋" w:hAnsi="仿宋" w:eastAsia="仿宋" w:cs="仿宋"/>
          <w:color w:val="000000" w:themeColor="text1"/>
          <w:sz w:val="24"/>
          <w14:textFill>
            <w14:solidFill>
              <w14:schemeClr w14:val="tx1"/>
            </w14:solidFill>
          </w14:textFill>
        </w:rPr>
      </w:pPr>
      <w:r>
        <w:rPr>
          <w:rFonts w:hint="eastAsia" w:ascii="仿宋" w:hAnsi="仿宋" w:eastAsia="仿宋" w:cs="仿宋_GB2312"/>
          <w:color w:val="000000" w:themeColor="text1"/>
          <w:spacing w:val="10"/>
          <w:sz w:val="24"/>
          <w14:textFill>
            <w14:solidFill>
              <w14:schemeClr w14:val="tx1"/>
            </w14:solidFill>
          </w14:textFill>
        </w:rPr>
        <w:t>依据G6、</w:t>
      </w:r>
      <w:r>
        <w:rPr>
          <w:rFonts w:ascii="仿宋" w:hAnsi="仿宋" w:eastAsia="仿宋"/>
          <w:color w:val="000000" w:themeColor="text1"/>
          <w:sz w:val="24"/>
          <w14:textFill>
            <w14:solidFill>
              <w14:schemeClr w14:val="tx1"/>
            </w14:solidFill>
          </w14:textFill>
        </w:rPr>
        <w:t>B4</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s="仿宋_GB2312"/>
          <w:color w:val="000000" w:themeColor="text1"/>
          <w:spacing w:val="10"/>
          <w:sz w:val="24"/>
          <w14:textFill>
            <w14:solidFill>
              <w14:schemeClr w14:val="tx1"/>
            </w14:solidFill>
          </w14:textFill>
        </w:rPr>
        <w:t>B20、B2、</w:t>
      </w:r>
      <w:r>
        <w:rPr>
          <w:rFonts w:ascii="仿宋" w:hAnsi="仿宋" w:eastAsia="仿宋" w:cs="仿宋_GB2312"/>
          <w:color w:val="000000" w:themeColor="text1"/>
          <w:spacing w:val="10"/>
          <w:sz w:val="24"/>
          <w14:textFill>
            <w14:solidFill>
              <w14:schemeClr w14:val="tx1"/>
            </w14:solidFill>
          </w14:textFill>
        </w:rPr>
        <w:t>ZK05-</w:t>
      </w:r>
      <w:r>
        <w:rPr>
          <w:rFonts w:hint="eastAsia" w:ascii="仿宋" w:hAnsi="仿宋" w:eastAsia="仿宋" w:cs="仿宋_GB2312"/>
          <w:color w:val="000000" w:themeColor="text1"/>
          <w:spacing w:val="10"/>
          <w:sz w:val="24"/>
          <w14:textFill>
            <w14:solidFill>
              <w14:schemeClr w14:val="tx1"/>
            </w14:solidFill>
          </w14:textFill>
        </w:rPr>
        <w:t>34、</w:t>
      </w:r>
      <w:r>
        <w:rPr>
          <w:rFonts w:ascii="仿宋" w:hAnsi="仿宋" w:eastAsia="仿宋" w:cs="仿宋_GB2312"/>
          <w:color w:val="000000" w:themeColor="text1"/>
          <w:spacing w:val="10"/>
          <w:sz w:val="24"/>
          <w14:textFill>
            <w14:solidFill>
              <w14:schemeClr w14:val="tx1"/>
            </w14:solidFill>
          </w14:textFill>
        </w:rPr>
        <w:t>B</w:t>
      </w:r>
      <w:r>
        <w:rPr>
          <w:rFonts w:hint="eastAsia" w:ascii="仿宋" w:hAnsi="仿宋" w:eastAsia="仿宋" w:cs="仿宋_GB2312"/>
          <w:color w:val="000000" w:themeColor="text1"/>
          <w:spacing w:val="10"/>
          <w:sz w:val="24"/>
          <w14:textFill>
            <w14:solidFill>
              <w14:schemeClr w14:val="tx1"/>
            </w14:solidFill>
          </w14:textFill>
        </w:rPr>
        <w:t>22、</w:t>
      </w:r>
      <w:r>
        <w:rPr>
          <w:rFonts w:ascii="仿宋" w:hAnsi="仿宋" w:eastAsia="仿宋"/>
          <w:color w:val="000000" w:themeColor="text1"/>
          <w:sz w:val="24"/>
          <w14:textFill>
            <w14:solidFill>
              <w14:schemeClr w14:val="tx1"/>
            </w14:solidFill>
          </w14:textFill>
        </w:rPr>
        <w:t>Y1</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Z5-95</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Z17-93</w:t>
      </w:r>
      <w:r>
        <w:rPr>
          <w:rFonts w:hint="eastAsia" w:ascii="仿宋" w:hAnsi="仿宋" w:eastAsia="仿宋" w:cs="仿宋_GB2312"/>
          <w:color w:val="000000" w:themeColor="text1"/>
          <w:spacing w:val="10"/>
          <w:sz w:val="24"/>
          <w14:textFill>
            <w14:solidFill>
              <w14:schemeClr w14:val="tx1"/>
            </w14:solidFill>
          </w14:textFill>
        </w:rPr>
        <w:t>钻孔及机、风两巷掘进揭露地质资料，</w:t>
      </w:r>
      <w:r>
        <w:rPr>
          <w:rFonts w:hint="eastAsia" w:ascii="仿宋" w:hAnsi="仿宋" w:eastAsia="仿宋" w:cs="仿宋"/>
          <w:color w:val="000000" w:themeColor="text1"/>
          <w:sz w:val="24"/>
          <w14:textFill>
            <w14:solidFill>
              <w14:schemeClr w14:val="tx1"/>
            </w14:solidFill>
          </w14:textFill>
        </w:rPr>
        <w:t>根据1303工作面综合柱状图和临近1305工作面回采经验，1303工作面顶板冒落及来压情况预计如下：</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（一）顶板</w:t>
      </w:r>
    </w:p>
    <w:p>
      <w:pPr>
        <w:snapToGrid w:val="0"/>
        <w:ind w:firstLine="520"/>
        <w:rPr>
          <w:rFonts w:ascii="仿宋_GB2312"/>
          <w:color w:val="000000" w:themeColor="text1"/>
          <w:spacing w:val="10"/>
          <w:sz w:val="24"/>
          <w14:textFill>
            <w14:solidFill>
              <w14:schemeClr w14:val="tx1"/>
            </w14:solidFill>
          </w14:textFill>
        </w:rPr>
      </w:pPr>
      <w:r>
        <w:rPr>
          <w:rFonts w:hint="eastAsia" w:ascii="仿宋_GB2312" w:cs="仿宋_GB2312"/>
          <w:color w:val="000000" w:themeColor="text1"/>
          <w:spacing w:val="10"/>
          <w:sz w:val="24"/>
          <w14:textFill>
            <w14:solidFill>
              <w14:schemeClr w14:val="tx1"/>
            </w14:solidFill>
          </w14:textFill>
        </w:rPr>
        <w:t>伪顶：本工作面伪顶局部分布，B20钻孔附近有伪顶，厚度小于</w:t>
      </w:r>
      <w:r>
        <w:rPr>
          <w:rFonts w:ascii="仿宋_GB2312" w:cs="仿宋_GB2312"/>
          <w:color w:val="000000" w:themeColor="text1"/>
          <w:spacing w:val="10"/>
          <w:sz w:val="24"/>
          <w14:textFill>
            <w14:solidFill>
              <w14:schemeClr w14:val="tx1"/>
            </w14:solidFill>
          </w14:textFill>
        </w:rPr>
        <w:t>1.0m</w:t>
      </w:r>
      <w:r>
        <w:rPr>
          <w:rFonts w:hint="eastAsia" w:ascii="仿宋_GB2312" w:cs="仿宋_GB2312"/>
          <w:color w:val="000000" w:themeColor="text1"/>
          <w:spacing w:val="10"/>
          <w:sz w:val="24"/>
          <w14:textFill>
            <w14:solidFill>
              <w14:schemeClr w14:val="tx1"/>
            </w14:solidFill>
          </w14:textFill>
        </w:rPr>
        <w:t>，为碳质泥岩、粉砂岩。伪顶厚度薄，稳定性差，随煤层开采而冒落，属不稳定岩体。</w:t>
      </w:r>
    </w:p>
    <w:p>
      <w:pPr>
        <w:snapToGrid w:val="0"/>
        <w:ind w:firstLine="520"/>
        <w:rPr>
          <w:rFonts w:ascii="仿宋_GB2312"/>
          <w:color w:val="000000" w:themeColor="text1"/>
          <w:spacing w:val="10"/>
          <w:sz w:val="24"/>
          <w14:textFill>
            <w14:solidFill>
              <w14:schemeClr w14:val="tx1"/>
            </w14:solidFill>
          </w14:textFill>
        </w:rPr>
      </w:pPr>
      <w:r>
        <w:rPr>
          <w:rFonts w:hint="eastAsia" w:ascii="仿宋_GB2312" w:cs="仿宋_GB2312"/>
          <w:color w:val="000000" w:themeColor="text1"/>
          <w:spacing w:val="10"/>
          <w:sz w:val="24"/>
          <w14:textFill>
            <w14:solidFill>
              <w14:schemeClr w14:val="tx1"/>
            </w14:solidFill>
          </w14:textFill>
        </w:rPr>
        <w:t>直接顶：煤层直接顶粉砂岩，厚度一般为1.1</w:t>
      </w:r>
      <w:r>
        <w:rPr>
          <w:rFonts w:ascii="仿宋_GB2312" w:cs="仿宋_GB2312"/>
          <w:color w:val="000000" w:themeColor="text1"/>
          <w:spacing w:val="10"/>
          <w:sz w:val="24"/>
          <w14:textFill>
            <w14:solidFill>
              <w14:schemeClr w14:val="tx1"/>
            </w14:solidFill>
          </w14:textFill>
        </w:rPr>
        <w:t>m</w:t>
      </w:r>
      <w:r>
        <w:rPr>
          <w:rFonts w:hint="eastAsia" w:ascii="仿宋_GB2312" w:cs="仿宋_GB2312"/>
          <w:color w:val="000000" w:themeColor="text1"/>
          <w:spacing w:val="10"/>
          <w:sz w:val="24"/>
          <w14:textFill>
            <w14:solidFill>
              <w14:schemeClr w14:val="tx1"/>
            </w14:solidFill>
          </w14:textFill>
        </w:rPr>
        <w:t>。局部达8.1</w:t>
      </w:r>
      <w:r>
        <w:rPr>
          <w:rFonts w:ascii="仿宋_GB2312" w:cs="仿宋_GB2312"/>
          <w:color w:val="000000" w:themeColor="text1"/>
          <w:spacing w:val="10"/>
          <w:sz w:val="24"/>
          <w14:textFill>
            <w14:solidFill>
              <w14:schemeClr w14:val="tx1"/>
            </w14:solidFill>
          </w14:textFill>
        </w:rPr>
        <w:t>m</w:t>
      </w:r>
      <w:r>
        <w:rPr>
          <w:rFonts w:hint="eastAsia" w:ascii="仿宋_GB2312" w:cs="仿宋_GB2312"/>
          <w:color w:val="000000" w:themeColor="text1"/>
          <w:spacing w:val="10"/>
          <w:sz w:val="24"/>
          <w14:textFill>
            <w14:solidFill>
              <w14:schemeClr w14:val="tx1"/>
            </w14:solidFill>
          </w14:textFill>
        </w:rPr>
        <w:t>（B2），属稳定性较差的岩体</w:t>
      </w:r>
      <w:r>
        <w:rPr>
          <w:rFonts w:hint="eastAsia" w:ascii="仿宋" w:hAnsi="仿宋" w:eastAsia="仿宋" w:cs="仿宋"/>
          <w:color w:val="000000" w:themeColor="text1"/>
          <w:sz w:val="24"/>
          <w14:textFill>
            <w14:solidFill>
              <w14:schemeClr w14:val="tx1"/>
            </w14:solidFill>
          </w14:textFill>
        </w:rPr>
        <w:t xml:space="preserve">。初次垮落步距为随采随落。 </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3、老顶：</w:t>
      </w:r>
      <w:r>
        <w:rPr>
          <w:rFonts w:hint="eastAsia" w:ascii="仿宋" w:hAnsi="仿宋" w:eastAsia="仿宋" w:cs="仿宋_GB2312"/>
          <w:color w:val="000000" w:themeColor="text1"/>
          <w:spacing w:val="10"/>
          <w:sz w:val="24"/>
          <w14:textFill>
            <w14:solidFill>
              <w14:schemeClr w14:val="tx1"/>
            </w14:solidFill>
          </w14:textFill>
        </w:rPr>
        <w:t>煤层老顶细砂岩和粗砂岩，厚度一般</w:t>
      </w:r>
      <w:r>
        <w:rPr>
          <w:rFonts w:ascii="仿宋" w:hAnsi="仿宋" w:eastAsia="仿宋" w:cs="仿宋_GB2312"/>
          <w:color w:val="000000" w:themeColor="text1"/>
          <w:spacing w:val="10"/>
          <w:sz w:val="24"/>
          <w14:textFill>
            <w14:solidFill>
              <w14:schemeClr w14:val="tx1"/>
            </w14:solidFill>
          </w14:textFill>
        </w:rPr>
        <w:t>20m</w:t>
      </w:r>
      <w:r>
        <w:rPr>
          <w:rFonts w:hint="eastAsia" w:ascii="仿宋" w:hAnsi="仿宋" w:eastAsia="仿宋" w:cs="仿宋_GB2312"/>
          <w:color w:val="000000" w:themeColor="text1"/>
          <w:spacing w:val="10"/>
          <w:sz w:val="24"/>
          <w14:textFill>
            <w14:solidFill>
              <w14:schemeClr w14:val="tx1"/>
            </w14:solidFill>
          </w14:textFill>
        </w:rPr>
        <w:t>左右</w:t>
      </w:r>
      <w:r>
        <w:rPr>
          <w:rFonts w:ascii="仿宋" w:hAnsi="仿宋" w:eastAsia="仿宋" w:cs="仿宋_GB2312"/>
          <w:color w:val="000000" w:themeColor="text1"/>
          <w:spacing w:val="10"/>
          <w:sz w:val="24"/>
          <w14:textFill>
            <w14:solidFill>
              <w14:schemeClr w14:val="tx1"/>
            </w14:solidFill>
          </w14:textFill>
        </w:rPr>
        <w:t xml:space="preserve"> </w:t>
      </w:r>
      <w:r>
        <w:rPr>
          <w:rFonts w:hint="eastAsia" w:ascii="仿宋" w:hAnsi="仿宋" w:eastAsia="仿宋" w:cs="仿宋_GB2312"/>
          <w:color w:val="000000" w:themeColor="text1"/>
          <w:spacing w:val="10"/>
          <w:sz w:val="24"/>
          <w14:textFill>
            <w14:solidFill>
              <w14:schemeClr w14:val="tx1"/>
            </w14:solidFill>
          </w14:textFill>
        </w:rPr>
        <w:t>，一般为中等稳定岩体</w:t>
      </w:r>
      <w:r>
        <w:rPr>
          <w:rFonts w:hint="eastAsia" w:ascii="仿宋" w:hAnsi="仿宋" w:eastAsia="仿宋" w:cs="仿宋"/>
          <w:color w:val="000000" w:themeColor="text1"/>
          <w:sz w:val="24"/>
          <w14:textFill>
            <w14:solidFill>
              <w14:schemeClr w14:val="tx1"/>
            </w14:solidFill>
          </w14:textFill>
        </w:rPr>
        <w:t>。初次来压步距32-52m，周期来压步距12-17m。</w:t>
      </w:r>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（二）底板</w:t>
      </w:r>
    </w:p>
    <w:p>
      <w:pPr>
        <w:snapToGrid w:val="0"/>
        <w:ind w:firstLine="480"/>
        <w:rPr>
          <w:rFonts w:ascii="仿宋" w:hAnsi="仿宋" w:eastAsia="仿宋" w:cs="仿宋_GB2312"/>
          <w:color w:val="000000" w:themeColor="text1"/>
          <w:spacing w:val="1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1、直接底：</w:t>
      </w:r>
      <w:r>
        <w:rPr>
          <w:rFonts w:hint="eastAsia" w:ascii="仿宋" w:hAnsi="仿宋" w:eastAsia="仿宋" w:cs="仿宋_GB2312"/>
          <w:color w:val="000000" w:themeColor="text1"/>
          <w:spacing w:val="10"/>
          <w:sz w:val="24"/>
          <w14:textFill>
            <w14:solidFill>
              <w14:schemeClr w14:val="tx1"/>
            </w14:solidFill>
          </w14:textFill>
        </w:rPr>
        <w:t>为碳质泥岩、泥岩互层，厚度1.3m-7.0m，平均厚度5.0m。</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2、老底：</w:t>
      </w:r>
      <w:r>
        <w:rPr>
          <w:rFonts w:hint="eastAsia" w:ascii="仿宋" w:hAnsi="仿宋" w:eastAsia="仿宋" w:cs="仿宋_GB2312"/>
          <w:color w:val="000000" w:themeColor="text1"/>
          <w:spacing w:val="10"/>
          <w:sz w:val="24"/>
          <w14:textFill>
            <w14:solidFill>
              <w14:schemeClr w14:val="tx1"/>
            </w14:solidFill>
          </w14:textFill>
        </w:rPr>
        <w:t>为粉砂岩和细砂岩，厚度分别为8.9</w:t>
      </w:r>
      <w:r>
        <w:rPr>
          <w:rFonts w:ascii="仿宋" w:hAnsi="仿宋" w:eastAsia="仿宋" w:cs="仿宋_GB2312"/>
          <w:color w:val="000000" w:themeColor="text1"/>
          <w:spacing w:val="10"/>
          <w:sz w:val="24"/>
          <w14:textFill>
            <w14:solidFill>
              <w14:schemeClr w14:val="tx1"/>
            </w14:solidFill>
          </w14:textFill>
        </w:rPr>
        <w:t>m</w:t>
      </w:r>
      <w:r>
        <w:rPr>
          <w:rFonts w:hint="eastAsia" w:ascii="仿宋" w:hAnsi="仿宋" w:eastAsia="仿宋" w:cs="仿宋_GB2312"/>
          <w:color w:val="000000" w:themeColor="text1"/>
          <w:spacing w:val="10"/>
          <w:sz w:val="24"/>
          <w14:textFill>
            <w14:solidFill>
              <w14:schemeClr w14:val="tx1"/>
            </w14:solidFill>
          </w14:textFill>
        </w:rPr>
        <w:t>-15.1m，平均厚度12.0m</w:t>
      </w:r>
      <w:r>
        <w:rPr>
          <w:rFonts w:hint="eastAsia" w:ascii="仿宋" w:hAnsi="仿宋" w:eastAsia="仿宋" w:cs="仿宋"/>
          <w:color w:val="000000" w:themeColor="text1"/>
          <w:sz w:val="24"/>
          <w14:textFill>
            <w14:solidFill>
              <w14:schemeClr w14:val="tx1"/>
            </w14:solidFill>
          </w14:textFill>
        </w:rPr>
        <w:t>。</w:t>
      </w:r>
    </w:p>
    <w:p>
      <w:pPr>
        <w:pStyle w:val="67"/>
        <w:snapToGrid w:val="0"/>
        <w:ind w:firstLine="0" w:firstLineChars="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五、液压系统</w:t>
      </w:r>
    </w:p>
    <w:p>
      <w:pPr>
        <w:snapToGrid w:val="0"/>
        <w:ind w:firstLine="0" w:firstLineChars="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1、泵站型号、数量</w:t>
      </w:r>
    </w:p>
    <w:p>
      <w:pPr>
        <w:snapToGrid w:val="0"/>
        <w:ind w:firstLine="52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工作面液压系统包括：净化水装置1套、乳化液自动配比装置1套，进回液过滤装置1套、乳化泵3台，乳化液泵箱2台，乳化泵站型号为</w:t>
      </w:r>
      <w:r>
        <w:rPr>
          <w:rFonts w:hint="eastAsia" w:ascii="仿宋" w:hAnsi="仿宋" w:eastAsia="仿宋" w:cs="仿宋"/>
          <w:color w:val="000000" w:themeColor="text1"/>
          <w:sz w:val="24"/>
          <w14:textFill>
            <w14:solidFill>
              <w14:schemeClr w14:val="tx1"/>
            </w14:solidFill>
          </w14:textFill>
        </w:rPr>
        <w:t>BRW400/37.5BZ型，</w:t>
      </w:r>
      <w:r>
        <w:rPr>
          <w:rFonts w:hint="eastAsia" w:ascii="仿宋" w:hAnsi="仿宋" w:eastAsia="仿宋" w:cs="仿宋"/>
          <w:color w:val="000000" w:themeColor="text1"/>
          <w:spacing w:val="10"/>
          <w:kern w:val="10"/>
          <w:sz w:val="24"/>
          <w14:textFill>
            <w14:solidFill>
              <w14:schemeClr w14:val="tx1"/>
            </w14:solidFill>
          </w14:textFill>
        </w:rPr>
        <w:t>通过1进1回两趟液压管完成工作面液压支架的供液、回液。</w:t>
      </w:r>
    </w:p>
    <w:p>
      <w:pPr>
        <w:snapToGrid w:val="0"/>
        <w:ind w:firstLine="0" w:firstLineChars="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2、泵站设备位置</w:t>
      </w:r>
    </w:p>
    <w:p>
      <w:pPr>
        <w:snapToGrid w:val="0"/>
        <w:ind w:firstLine="480"/>
        <w:rPr>
          <w:rFonts w:ascii="黑体" w:hAnsi="黑体" w:eastAsia="黑体"/>
          <w:color w:val="FF0000"/>
          <w:sz w:val="28"/>
          <w:szCs w:val="28"/>
        </w:rPr>
      </w:pPr>
      <w:r>
        <w:rPr>
          <w:rFonts w:hint="eastAsia" w:ascii="仿宋" w:hAnsi="仿宋" w:eastAsia="仿宋" w:cs="仿宋"/>
          <w:color w:val="000000" w:themeColor="text1"/>
          <w:sz w:val="24"/>
          <w14:textFill>
            <w14:solidFill>
              <w14:schemeClr w14:val="tx1"/>
            </w14:solidFill>
          </w14:textFill>
        </w:rPr>
        <w:t>泵站列车安装在</w:t>
      </w:r>
      <w:r>
        <w:rPr>
          <w:rFonts w:hint="eastAsia" w:ascii="仿宋" w:hAnsi="仿宋" w:eastAsia="仿宋" w:cs="仿宋_GB2312"/>
          <w:color w:val="000000" w:themeColor="text1"/>
          <w:sz w:val="24"/>
          <w14:textFill>
            <w14:solidFill>
              <w14:schemeClr w14:val="tx1"/>
            </w14:solidFill>
          </w14:textFill>
        </w:rPr>
        <w:t>1303机巷</w:t>
      </w:r>
      <w:r>
        <w:rPr>
          <w:rFonts w:hint="eastAsia" w:ascii="仿宋" w:hAnsi="仿宋" w:eastAsia="仿宋" w:cs="仿宋_GB2312"/>
          <w:color w:val="000000" w:themeColor="text1"/>
          <w:sz w:val="24"/>
          <w:lang w:val="zh-CN"/>
          <w14:textFill>
            <w14:solidFill>
              <w14:schemeClr w14:val="tx1"/>
            </w14:solidFill>
          </w14:textFill>
        </w:rPr>
        <w:t>距切眼约</w:t>
      </w:r>
      <w:r>
        <w:rPr>
          <w:rFonts w:hint="eastAsia" w:ascii="仿宋" w:hAnsi="仿宋" w:eastAsia="仿宋" w:cs="仿宋_GB2312"/>
          <w:color w:val="000000" w:themeColor="text1"/>
          <w:sz w:val="24"/>
          <w14:textFill>
            <w14:solidFill>
              <w14:schemeClr w14:val="tx1"/>
            </w14:solidFill>
          </w14:textFill>
        </w:rPr>
        <w:t>980m位置处</w:t>
      </w:r>
      <w:r>
        <w:rPr>
          <w:rFonts w:hint="eastAsia" w:ascii="仿宋" w:hAnsi="仿宋" w:eastAsia="仿宋" w:cs="仿宋"/>
          <w:color w:val="000000" w:themeColor="text1"/>
          <w:sz w:val="24"/>
          <w14:textFill>
            <w14:solidFill>
              <w14:schemeClr w14:val="tx1"/>
            </w14:solidFill>
          </w14:textFill>
        </w:rPr>
        <w:t>,并铺设3路远距离供液管路</w:t>
      </w:r>
      <w:r>
        <w:rPr>
          <w:rFonts w:hint="eastAsia" w:ascii="仿宋" w:hAnsi="仿宋" w:eastAsia="仿宋" w:cs="仿宋_GB2312"/>
          <w:color w:val="000000" w:themeColor="text1"/>
          <w:sz w:val="24"/>
          <w:lang w:val="zh-CN"/>
          <w14:textFill>
            <w14:solidFill>
              <w14:schemeClr w14:val="tx1"/>
            </w14:solidFill>
          </w14:textFill>
        </w:rPr>
        <w:t>（一路φ</w:t>
      </w:r>
      <w:r>
        <w:rPr>
          <w:rFonts w:hint="eastAsia" w:ascii="仿宋" w:hAnsi="仿宋" w:eastAsia="仿宋" w:cs="仿宋_GB2312"/>
          <w:color w:val="000000" w:themeColor="text1"/>
          <w:sz w:val="24"/>
          <w14:textFill>
            <w14:solidFill>
              <w14:schemeClr w14:val="tx1"/>
            </w14:solidFill>
          </w14:textFill>
        </w:rPr>
        <w:t>108×10×4000mm进液管路，一路φ89×5×4500mm回液管路，一路φ54×7×4500mm喷雾泵站进液管路</w:t>
      </w:r>
      <w:r>
        <w:rPr>
          <w:rFonts w:hint="eastAsia" w:ascii="仿宋" w:hAnsi="仿宋" w:eastAsia="仿宋" w:cs="仿宋_GB2312"/>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从泵站出口用高压软管与三路钢管连接，机巷各拐点均采用高压软管进行过渡，机巷高压钢管靠皮带机里侧布置，正常高度不低于底板2.4米（高度不够以吊挂到顶板高端为准、起伏调节时管路顺滑度时以顺滑度为准），铺设至切眼100米左右时，用高压软管与钢管连接铺设至工作面。</w:t>
      </w:r>
    </w:p>
    <w:p>
      <w:pPr>
        <w:pStyle w:val="4"/>
        <w:keepNext w:val="0"/>
        <w:keepLines w:val="0"/>
        <w:snapToGrid w:val="0"/>
        <w:spacing w:before="0" w:after="0"/>
        <w:ind w:firstLine="562"/>
        <w:rPr>
          <w:rFonts w:ascii="仿宋" w:hAnsi="仿宋" w:eastAsia="仿宋"/>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第二节  工作面顶板管理</w:t>
      </w:r>
      <w:bookmarkEnd w:id="191"/>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一、顶板管理方法</w:t>
      </w:r>
    </w:p>
    <w:p>
      <w:pPr>
        <w:autoSpaceDE w:val="0"/>
        <w:autoSpaceDN w:val="0"/>
        <w:adjustRightInd w:val="0"/>
        <w:snapToGrid w:val="0"/>
        <w:ind w:firstLine="48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1、本工作面采用全部垮落法处理采空区顶板，</w:t>
      </w:r>
      <w:r>
        <w:rPr>
          <w:rFonts w:hint="eastAsia" w:ascii="仿宋" w:hAnsi="仿宋" w:eastAsia="仿宋" w:cs="仿宋"/>
          <w:color w:val="000000" w:themeColor="text1"/>
          <w:kern w:val="0"/>
          <w:sz w:val="24"/>
          <w14:textFill>
            <w14:solidFill>
              <w14:schemeClr w14:val="tx1"/>
            </w14:solidFill>
          </w14:textFill>
        </w:rPr>
        <w:t>通过液压支架的支、降、移达到顶板支护和放顶的目的。</w:t>
      </w:r>
    </w:p>
    <w:p>
      <w:pPr>
        <w:autoSpaceDE w:val="0"/>
        <w:autoSpaceDN w:val="0"/>
        <w:adjustRightInd w:val="0"/>
        <w:snapToGrid w:val="0"/>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2、本</w:t>
      </w:r>
      <w:r>
        <w:rPr>
          <w:rFonts w:hint="eastAsia" w:ascii="仿宋" w:hAnsi="仿宋" w:eastAsia="仿宋" w:cs="仿宋"/>
          <w:color w:val="000000" w:themeColor="text1"/>
          <w:sz w:val="24"/>
          <w14:textFill>
            <w14:solidFill>
              <w14:schemeClr w14:val="tx1"/>
            </w14:solidFill>
          </w14:textFill>
        </w:rPr>
        <w:t xml:space="preserve">工作面配置95架ZF16000/21/38型基本液压支架、2架ZFG16000/26/38型特殊过渡支架和7架ZFG16000/26/38型过渡支架对工作面顶板实行全支护法管理。    </w:t>
      </w:r>
    </w:p>
    <w:p>
      <w:pPr>
        <w:pStyle w:val="19"/>
        <w:snapToGrid w:val="0"/>
        <w:ind w:firstLine="448"/>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pacing w:val="-8"/>
          <w:sz w:val="24"/>
          <w:szCs w:val="24"/>
          <w14:textFill>
            <w14:solidFill>
              <w14:schemeClr w14:val="tx1"/>
            </w14:solidFill>
          </w14:textFill>
        </w:rPr>
        <w:t>3、工作面最大控顶距、最小控顶距、放顶步距的确</w:t>
      </w:r>
      <w:r>
        <w:rPr>
          <w:rFonts w:hint="eastAsia" w:ascii="仿宋" w:hAnsi="仿宋" w:eastAsia="仿宋" w:cs="仿宋"/>
          <w:color w:val="000000" w:themeColor="text1"/>
          <w:sz w:val="24"/>
          <w:szCs w:val="24"/>
          <w14:textFill>
            <w14:solidFill>
              <w14:schemeClr w14:val="tx1"/>
            </w14:solidFill>
          </w14:textFill>
        </w:rPr>
        <w:t>定。</w:t>
      </w:r>
    </w:p>
    <w:p>
      <w:pPr>
        <w:snapToGrid w:val="0"/>
        <w:ind w:firstLine="52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最大控顶距Lmax＝L</w:t>
      </w:r>
      <w:r>
        <w:rPr>
          <w:rFonts w:hint="eastAsia" w:ascii="仿宋" w:hAnsi="仿宋" w:eastAsia="仿宋" w:cs="仿宋"/>
          <w:color w:val="000000" w:themeColor="text1"/>
          <w:spacing w:val="10"/>
          <w:kern w:val="10"/>
          <w:sz w:val="24"/>
          <w:vertAlign w:val="subscript"/>
          <w14:textFill>
            <w14:solidFill>
              <w14:schemeClr w14:val="tx1"/>
            </w14:solidFill>
          </w14:textFill>
        </w:rPr>
        <w:t>1</w:t>
      </w:r>
      <w:r>
        <w:rPr>
          <w:rFonts w:hint="eastAsia" w:ascii="仿宋" w:hAnsi="仿宋" w:eastAsia="仿宋" w:cs="仿宋"/>
          <w:color w:val="000000" w:themeColor="text1"/>
          <w:spacing w:val="10"/>
          <w:kern w:val="10"/>
          <w:sz w:val="24"/>
          <w14:textFill>
            <w14:solidFill>
              <w14:schemeClr w14:val="tx1"/>
            </w14:solidFill>
          </w14:textFill>
        </w:rPr>
        <w:t>＋L</w:t>
      </w:r>
      <w:r>
        <w:rPr>
          <w:rFonts w:hint="eastAsia" w:ascii="仿宋" w:hAnsi="仿宋" w:eastAsia="仿宋" w:cs="仿宋"/>
          <w:color w:val="000000" w:themeColor="text1"/>
          <w:spacing w:val="10"/>
          <w:kern w:val="10"/>
          <w:sz w:val="24"/>
          <w:vertAlign w:val="subscript"/>
          <w14:textFill>
            <w14:solidFill>
              <w14:schemeClr w14:val="tx1"/>
            </w14:solidFill>
          </w14:textFill>
        </w:rPr>
        <w:t>2</w:t>
      </w:r>
      <w:r>
        <w:rPr>
          <w:rFonts w:hint="eastAsia" w:ascii="仿宋" w:hAnsi="仿宋" w:eastAsia="仿宋" w:cs="仿宋"/>
          <w:color w:val="000000" w:themeColor="text1"/>
          <w:spacing w:val="10"/>
          <w:kern w:val="10"/>
          <w:sz w:val="24"/>
          <w14:textFill>
            <w14:solidFill>
              <w14:schemeClr w14:val="tx1"/>
            </w14:solidFill>
          </w14:textFill>
        </w:rPr>
        <w:t>＋S</w:t>
      </w:r>
    </w:p>
    <w:p>
      <w:pPr>
        <w:snapToGrid w:val="0"/>
        <w:ind w:firstLine="52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最小控顶距Lmin＝L</w:t>
      </w:r>
      <w:r>
        <w:rPr>
          <w:rFonts w:hint="eastAsia" w:ascii="仿宋" w:hAnsi="仿宋" w:eastAsia="仿宋" w:cs="仿宋"/>
          <w:color w:val="000000" w:themeColor="text1"/>
          <w:spacing w:val="10"/>
          <w:kern w:val="10"/>
          <w:sz w:val="24"/>
          <w:vertAlign w:val="subscript"/>
          <w14:textFill>
            <w14:solidFill>
              <w14:schemeClr w14:val="tx1"/>
            </w14:solidFill>
          </w14:textFill>
        </w:rPr>
        <w:t>1</w:t>
      </w:r>
      <w:r>
        <w:rPr>
          <w:rFonts w:hint="eastAsia" w:ascii="仿宋" w:hAnsi="仿宋" w:eastAsia="仿宋" w:cs="仿宋"/>
          <w:color w:val="000000" w:themeColor="text1"/>
          <w:spacing w:val="10"/>
          <w:kern w:val="10"/>
          <w:sz w:val="24"/>
          <w14:textFill>
            <w14:solidFill>
              <w14:schemeClr w14:val="tx1"/>
            </w14:solidFill>
          </w14:textFill>
        </w:rPr>
        <w:t>＋L</w:t>
      </w:r>
      <w:r>
        <w:rPr>
          <w:rFonts w:hint="eastAsia" w:ascii="仿宋" w:hAnsi="仿宋" w:eastAsia="仿宋" w:cs="仿宋"/>
          <w:color w:val="000000" w:themeColor="text1"/>
          <w:spacing w:val="10"/>
          <w:kern w:val="10"/>
          <w:sz w:val="24"/>
          <w:vertAlign w:val="subscript"/>
          <w14:textFill>
            <w14:solidFill>
              <w14:schemeClr w14:val="tx1"/>
            </w14:solidFill>
          </w14:textFill>
        </w:rPr>
        <w:t>2</w:t>
      </w:r>
    </w:p>
    <w:p>
      <w:pPr>
        <w:snapToGrid w:val="0"/>
        <w:ind w:firstLine="52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其中：L</w:t>
      </w:r>
      <w:r>
        <w:rPr>
          <w:rFonts w:hint="eastAsia" w:ascii="仿宋" w:hAnsi="仿宋" w:eastAsia="仿宋" w:cs="仿宋"/>
          <w:color w:val="000000" w:themeColor="text1"/>
          <w:spacing w:val="10"/>
          <w:kern w:val="10"/>
          <w:sz w:val="24"/>
          <w:vertAlign w:val="subscript"/>
          <w14:textFill>
            <w14:solidFill>
              <w14:schemeClr w14:val="tx1"/>
            </w14:solidFill>
          </w14:textFill>
        </w:rPr>
        <w:t>1</w:t>
      </w:r>
      <w:r>
        <w:rPr>
          <w:rFonts w:hint="eastAsia" w:ascii="仿宋" w:hAnsi="仿宋" w:eastAsia="仿宋" w:cs="仿宋"/>
          <w:color w:val="000000" w:themeColor="text1"/>
          <w:spacing w:val="10"/>
          <w:kern w:val="10"/>
          <w:sz w:val="24"/>
          <w14:textFill>
            <w14:solidFill>
              <w14:schemeClr w14:val="tx1"/>
            </w14:solidFill>
          </w14:textFill>
        </w:rPr>
        <w:t>－－支架顶梁长度之和，为5380mm；</w:t>
      </w:r>
    </w:p>
    <w:p>
      <w:pPr>
        <w:snapToGrid w:val="0"/>
        <w:ind w:firstLine="1300" w:firstLineChars="50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L</w:t>
      </w:r>
      <w:r>
        <w:rPr>
          <w:rFonts w:hint="eastAsia" w:ascii="仿宋" w:hAnsi="仿宋" w:eastAsia="仿宋" w:cs="仿宋"/>
          <w:color w:val="000000" w:themeColor="text1"/>
          <w:spacing w:val="10"/>
          <w:kern w:val="10"/>
          <w:sz w:val="24"/>
          <w:vertAlign w:val="subscript"/>
          <w14:textFill>
            <w14:solidFill>
              <w14:schemeClr w14:val="tx1"/>
            </w14:solidFill>
          </w14:textFill>
        </w:rPr>
        <w:t>2</w:t>
      </w:r>
      <w:r>
        <w:rPr>
          <w:rFonts w:hint="eastAsia" w:ascii="仿宋" w:hAnsi="仿宋" w:eastAsia="仿宋" w:cs="仿宋"/>
          <w:color w:val="000000" w:themeColor="text1"/>
          <w:spacing w:val="10"/>
          <w:kern w:val="10"/>
          <w:sz w:val="24"/>
          <w14:textFill>
            <w14:solidFill>
              <w14:schemeClr w14:val="tx1"/>
            </w14:solidFill>
          </w14:textFill>
        </w:rPr>
        <w:t>－－</w:t>
      </w:r>
      <w:r>
        <w:rPr>
          <w:rFonts w:hint="eastAsia" w:ascii="仿宋" w:hAnsi="仿宋" w:eastAsia="仿宋" w:cs="仿宋"/>
          <w:color w:val="000000" w:themeColor="text1"/>
          <w:spacing w:val="11"/>
          <w:kern w:val="10"/>
          <w:sz w:val="24"/>
          <w14:textFill>
            <w14:solidFill>
              <w14:schemeClr w14:val="tx1"/>
            </w14:solidFill>
          </w14:textFill>
        </w:rPr>
        <w:t>端面距，为300mm；</w:t>
      </w:r>
    </w:p>
    <w:p>
      <w:pPr>
        <w:snapToGrid w:val="0"/>
        <w:ind w:firstLine="1300" w:firstLineChars="50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S－－截深，为800mm；</w:t>
      </w:r>
    </w:p>
    <w:p>
      <w:pPr>
        <w:snapToGrid w:val="0"/>
        <w:ind w:firstLine="52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最大控顶距L</w:t>
      </w:r>
      <w:r>
        <w:rPr>
          <w:rFonts w:hint="eastAsia" w:ascii="仿宋" w:hAnsi="仿宋" w:eastAsia="仿宋" w:cs="仿宋"/>
          <w:color w:val="000000" w:themeColor="text1"/>
          <w:spacing w:val="10"/>
          <w:kern w:val="10"/>
          <w:sz w:val="24"/>
          <w:vertAlign w:val="subscript"/>
          <w14:textFill>
            <w14:solidFill>
              <w14:schemeClr w14:val="tx1"/>
            </w14:solidFill>
          </w14:textFill>
        </w:rPr>
        <w:t>max</w:t>
      </w:r>
      <w:r>
        <w:rPr>
          <w:rFonts w:hint="eastAsia" w:ascii="仿宋" w:hAnsi="仿宋" w:eastAsia="仿宋" w:cs="仿宋"/>
          <w:color w:val="000000" w:themeColor="text1"/>
          <w:spacing w:val="10"/>
          <w:kern w:val="10"/>
          <w:sz w:val="24"/>
          <w14:textFill>
            <w14:solidFill>
              <w14:schemeClr w14:val="tx1"/>
            </w14:solidFill>
          </w14:textFill>
        </w:rPr>
        <w:t>＝5380＋800＋300＝6480mm；</w:t>
      </w:r>
    </w:p>
    <w:p>
      <w:pPr>
        <w:snapToGrid w:val="0"/>
        <w:ind w:firstLine="52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最小控顶距L</w:t>
      </w:r>
      <w:r>
        <w:rPr>
          <w:rFonts w:hint="eastAsia" w:ascii="仿宋" w:hAnsi="仿宋" w:eastAsia="仿宋" w:cs="仿宋"/>
          <w:color w:val="000000" w:themeColor="text1"/>
          <w:spacing w:val="10"/>
          <w:kern w:val="10"/>
          <w:sz w:val="24"/>
          <w:vertAlign w:val="subscript"/>
          <w14:textFill>
            <w14:solidFill>
              <w14:schemeClr w14:val="tx1"/>
            </w14:solidFill>
          </w14:textFill>
        </w:rPr>
        <w:t>min</w:t>
      </w:r>
      <w:r>
        <w:rPr>
          <w:rFonts w:hint="eastAsia" w:ascii="仿宋" w:hAnsi="仿宋" w:eastAsia="仿宋" w:cs="仿宋"/>
          <w:color w:val="000000" w:themeColor="text1"/>
          <w:spacing w:val="10"/>
          <w:kern w:val="10"/>
          <w:sz w:val="24"/>
          <w14:textFill>
            <w14:solidFill>
              <w14:schemeClr w14:val="tx1"/>
            </w14:solidFill>
          </w14:textFill>
        </w:rPr>
        <w:t>＝5380＋300=5680mm；</w:t>
      </w:r>
    </w:p>
    <w:p>
      <w:pPr>
        <w:snapToGrid w:val="0"/>
        <w:ind w:firstLine="52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最大控顶距为6.48m，最小控顶距为5.68m；</w:t>
      </w:r>
    </w:p>
    <w:p>
      <w:pPr>
        <w:snapToGrid w:val="0"/>
        <w:ind w:firstLine="520"/>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放顶步距与移架步距一致，为0.8m。</w:t>
      </w: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二、正常回采时期的顶板管理</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采用追机移架的方式对顶板进行及时支护，移架步距0.8m。</w:t>
      </w:r>
    </w:p>
    <w:p>
      <w:pPr>
        <w:pStyle w:val="67"/>
        <w:keepNext w:val="0"/>
        <w:keepLines w:val="0"/>
        <w:pageBreakBefore w:val="0"/>
        <w:widowControl w:val="0"/>
        <w:kinsoku/>
        <w:wordWrap/>
        <w:overflowPunct/>
        <w:topLinePunct w:val="0"/>
        <w:autoSpaceDE/>
        <w:autoSpaceDN/>
        <w:bidi w:val="0"/>
        <w:adjustRightInd/>
        <w:snapToGrid w:val="0"/>
        <w:spacing w:line="430" w:lineRule="exact"/>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1、支架操作要求</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（1）快：移架及时、迅速，做到少降、快拉。</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（2）正：支架定向前移，不上下歪斜，不前倾后仰。</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（3）够：每次移架要移到位，支架移过后要成一直线。</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（4）匀：支架间距要按规定保持均匀。</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（5）平：要使顶梁和底座平整地和顶底板接触，受力均匀。</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（6）紧：使顶梁紧贴顶板，伸缩梁抵紧煤壁、护帮板贴住煤壁，移架后支架必须达到足够的初撑力。</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（7）严：架间空隙要挡严，侧护板要保持正常工作状态。</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（8）净：将底板上的浮煤，浮矸清理干净，保证支架和运输机顺利前移。</w:t>
      </w:r>
    </w:p>
    <w:p>
      <w:pPr>
        <w:pStyle w:val="67"/>
        <w:keepNext w:val="0"/>
        <w:keepLines w:val="0"/>
        <w:pageBreakBefore w:val="0"/>
        <w:widowControl w:val="0"/>
        <w:kinsoku/>
        <w:wordWrap/>
        <w:overflowPunct/>
        <w:topLinePunct w:val="0"/>
        <w:autoSpaceDE/>
        <w:autoSpaceDN/>
        <w:bidi w:val="0"/>
        <w:adjustRightInd/>
        <w:snapToGrid w:val="0"/>
        <w:spacing w:line="430" w:lineRule="exact"/>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2、支护质量要求</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（1）正常回采期间，采高控制在3.2-3.5m左右，严禁超高或过低开采；基本支架活柱行程不小于200㎜，端头支架活柱行程不小于300㎜，支架最大支撑高度必须小于设计最大支撑高度200㎜。</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（2）支架初撑力不低于额定值的80%。</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（3）工作面拉线作业，支架排成一条直线，前后偏差不得超过±50mm，中心距偏差不超过±100mm。</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（4）相邻支架顶梁保持平整，不能有明显错差（不超过顶梁侧护板的2/3，即456mm）；支架不挤、不咬。</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（5）侧护板正常使用，架间空隙小于</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00mm。</w:t>
      </w:r>
      <w:r>
        <w:rPr>
          <w:rFonts w:hint="eastAsia" w:ascii="仿宋" w:hAnsi="仿宋" w:eastAsia="仿宋" w:cs="仿宋"/>
          <w:color w:val="000000" w:themeColor="text1"/>
          <w:kern w:val="2"/>
          <w:sz w:val="24"/>
          <w:szCs w:val="24"/>
          <w:lang w:val="en-US" w:eastAsia="zh-CN" w:bidi="ar-SA"/>
          <w14:textFill>
            <w14:solidFill>
              <w14:schemeClr w14:val="tx1"/>
            </w14:solidFill>
          </w14:textFill>
        </w:rPr>
        <w:t>基本支架活柱行程不小于200mm，端头支架活柱行程不小于300mm。支架最大支撑高度必须小于设计最大支撑高度200mm。</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（6）支架垂直顶底板不歪斜（&lt;±5°），垂直链板机不吊斜(&lt;100mm)；升架后，顶梁与顶板平行支设，其最大仰俯角不大于7°。</w:t>
      </w:r>
    </w:p>
    <w:p>
      <w:pPr>
        <w:pStyle w:val="12"/>
        <w:keepNext w:val="0"/>
        <w:keepLines w:val="0"/>
        <w:pageBreakBefore w:val="0"/>
        <w:widowControl w:val="0"/>
        <w:kinsoku/>
        <w:wordWrap/>
        <w:overflowPunct/>
        <w:topLinePunct w:val="0"/>
        <w:autoSpaceDE/>
        <w:autoSpaceDN/>
        <w:bidi w:val="0"/>
        <w:adjustRightInd/>
        <w:snapToGrid w:val="0"/>
        <w:spacing w:after="0"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（7）工作面要及时拉架，支架前梁端面距不大于300mm，端面冒高不大于300mm，护帮板及时护住煤帮。 </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（8）工作面的伞檐最大突出部分不得超过下列规定，否则应采取措施进行处理：</w:t>
      </w:r>
    </w:p>
    <w:p>
      <w:pPr>
        <w:keepNext w:val="0"/>
        <w:keepLines w:val="0"/>
        <w:pageBreakBefore w:val="0"/>
        <w:widowControl w:val="0"/>
        <w:kinsoku/>
        <w:wordWrap/>
        <w:overflowPunct/>
        <w:topLinePunct w:val="0"/>
        <w:autoSpaceDE/>
        <w:autoSpaceDN/>
        <w:bidi w:val="0"/>
        <w:adjustRightInd/>
        <w:snapToGrid w:val="0"/>
        <w:spacing w:line="430" w:lineRule="exact"/>
        <w:ind w:firstLine="52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①</w:t>
      </w:r>
      <w:r>
        <w:rPr>
          <w:rFonts w:hint="eastAsia" w:ascii="仿宋" w:hAnsi="仿宋" w:eastAsia="仿宋" w:cs="仿宋"/>
          <w:color w:val="000000" w:themeColor="text1"/>
          <w:sz w:val="24"/>
          <w14:textFill>
            <w14:solidFill>
              <w14:schemeClr w14:val="tx1"/>
            </w14:solidFill>
          </w14:textFill>
        </w:rPr>
        <w:t>伞檐长度超过1m时，薄煤层150mm，中厚及以上煤层200mm。</w:t>
      </w:r>
    </w:p>
    <w:p>
      <w:pPr>
        <w:keepNext w:val="0"/>
        <w:keepLines w:val="0"/>
        <w:pageBreakBefore w:val="0"/>
        <w:widowControl w:val="0"/>
        <w:kinsoku/>
        <w:wordWrap/>
        <w:overflowPunct/>
        <w:topLinePunct w:val="0"/>
        <w:autoSpaceDE/>
        <w:autoSpaceDN/>
        <w:bidi w:val="0"/>
        <w:adjustRightInd/>
        <w:snapToGrid w:val="0"/>
        <w:spacing w:line="430" w:lineRule="exact"/>
        <w:ind w:firstLine="52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②</w:t>
      </w:r>
      <w:r>
        <w:rPr>
          <w:rFonts w:hint="eastAsia" w:ascii="仿宋" w:hAnsi="仿宋" w:eastAsia="仿宋" w:cs="仿宋"/>
          <w:color w:val="000000" w:themeColor="text1"/>
          <w:sz w:val="24"/>
          <w14:textFill>
            <w14:solidFill>
              <w14:schemeClr w14:val="tx1"/>
            </w14:solidFill>
          </w14:textFill>
        </w:rPr>
        <w:t>伞檐长度在1m及以下时，薄煤层200mm，中厚及以上煤层250mm。</w:t>
      </w:r>
    </w:p>
    <w:p>
      <w:pPr>
        <w:pStyle w:val="12"/>
        <w:keepNext w:val="0"/>
        <w:keepLines w:val="0"/>
        <w:pageBreakBefore w:val="0"/>
        <w:widowControl w:val="0"/>
        <w:kinsoku/>
        <w:wordWrap/>
        <w:overflowPunct/>
        <w:topLinePunct w:val="0"/>
        <w:autoSpaceDE/>
        <w:autoSpaceDN/>
        <w:bidi w:val="0"/>
        <w:adjustRightInd/>
        <w:snapToGrid w:val="0"/>
        <w:spacing w:after="0"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（9）支架液压系统完好，不漏液、不窜液、不自动卸载。</w:t>
      </w:r>
    </w:p>
    <w:p>
      <w:pPr>
        <w:pStyle w:val="12"/>
        <w:keepNext w:val="0"/>
        <w:keepLines w:val="0"/>
        <w:pageBreakBefore w:val="0"/>
        <w:widowControl w:val="0"/>
        <w:kinsoku/>
        <w:wordWrap/>
        <w:overflowPunct/>
        <w:topLinePunct w:val="0"/>
        <w:autoSpaceDE/>
        <w:autoSpaceDN/>
        <w:bidi w:val="0"/>
        <w:adjustRightInd/>
        <w:snapToGrid w:val="0"/>
        <w:spacing w:after="0"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（10）支架必须逐架编号管理。</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（11）工作面应达到“三直两平一净两畅通”标准（“三直”即工作面煤壁直、运输机直、支架直；“两平”即工作面顶、底板平；“一净”即工作面浮煤净；“两畅通”即工作面上、下出口安全畅通）。</w:t>
      </w: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三、工作面来压及停采前的顶板管理</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1、工作面初采初放期间及工作面收作期间，应制定专项安全技术措施，采煤部应组织人员跟带班，严格落实相关措施，保证工程质量。</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2、工作面初放期间如顶板垮落不及时，悬顶面积超过规定要求时，要及时采取强制放顶措施进行处理。</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3、工作面距设计收作线50m范围内，停止放煤。</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工作面初次来压时，管理人员要现场指挥，当出现压力显现显著增大、顶板即将冒落等明显来压征兆时，工作面要停止采煤作业，除工作面加强支护人员外，安排其他人员撤出工作面，直至采空区冒落充分、顶板压力稳定、瓦斯释放后，管理人员必须先检查工作面的支护情况及设备的完好情况，待工作面安全隐患排除后再安排人员进入工作面进行正常生产。</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5、保证液压系统完好，杜绝“跑、冒、滴、漏、窜”等现象出现，确保泵站压力符合要求，保证支架接顶严实，初撑力达到规定要求。</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6、加强上、下端头及工作面的顶板管理，提高支护质量，保证安全出口畅通。</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7、工作面片帮严重或顶板破碎处要及时跟机拉架，必要时，要采取拉移超前架等有效措施。</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8、拉架时要及时带压擦顶拉架，少降快拉，升足劲，加强煤壁线管理，移架后要及时伸出滑移前梁抵紧煤壁，伸开护帮板，防止因压力过大、支护不到位造成片帮、冒顶。</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9、保证工作面均衡连续推进，避免压力集中。</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10、加强工作面矿压监测工作，及时准确预测工作面来压情况。</w:t>
      </w: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四、工作面过断层等地质构造期间的顶板管理</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1、工作面过断层等地质构造时，要加强现场管理，保证工程质量，确保安全生产。</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2、工作面过断层等地质构造时，要及时调整和控制支架及运输机的挑顶刹底角度，严禁急提、急刹，应平缓过渡，将工作面顶底板衬平。</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3、要加强设备的检修和维护，保证设备正常使用，严禁“带病”运转。</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4、在保证煤机能正常通过的情况下，以少破矸石为原则，适当控制采高，确保煤质。</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5、工作面过断层等地质构造时，应根据现场顶板情况，少放煤或不放煤。</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6、如断层落差较小、矸石岩性较软，可采取强推硬过的办法通过；如果断层落差较大、顶底板岩性较硬时，严禁使用采煤机强行截割，防止损坏设备，需采取放炮措施时，需另行补充安全技术措施。</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7、工作面过断层等地质构造时，必须采取及时、有效的支护措施，采煤机前滚筒割煤后，要及时带压擦顶移架，伸出滑移前梁并打出护帮板，必要时，要采取拉超前架措施管理顶板。</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8、若工作面片帮且端面距超过300mm时，必须超前移架支护顶板，防止漏顶。</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9、端面冒高超过300mm时，要及时</w:t>
      </w:r>
      <w:r>
        <w:rPr>
          <w:rFonts w:hint="eastAsia" w:ascii="仿宋" w:hAnsi="仿宋" w:eastAsia="仿宋" w:cs="仿宋"/>
          <w:color w:val="000000" w:themeColor="text1"/>
          <w:sz w:val="24"/>
          <w:lang w:val="en-US" w:eastAsia="zh-CN"/>
          <w14:textFill>
            <w14:solidFill>
              <w14:schemeClr w14:val="tx1"/>
            </w14:solidFill>
          </w14:textFill>
        </w:rPr>
        <w:t>塞入木料或者煤袋</w:t>
      </w:r>
      <w:r>
        <w:rPr>
          <w:rFonts w:hint="eastAsia" w:ascii="仿宋" w:hAnsi="仿宋" w:eastAsia="仿宋" w:cs="仿宋"/>
          <w:color w:val="000000" w:themeColor="text1"/>
          <w:sz w:val="24"/>
          <w14:textFill>
            <w14:solidFill>
              <w14:schemeClr w14:val="tx1"/>
            </w14:solidFill>
          </w14:textFill>
        </w:rPr>
        <w:t>接顶，保证支架接顶严实符合规定。</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10、保持架间距合理，及时调整支架支护状态，确保支架不挤、不咬、不倒，保持良好支护状态。</w:t>
      </w:r>
    </w:p>
    <w:p>
      <w:pPr>
        <w:pStyle w:val="60"/>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五、工作面上、下端头及安全出口管理</w:t>
      </w:r>
    </w:p>
    <w:p>
      <w:pPr>
        <w:snapToGrid w:val="0"/>
        <w:spacing w:line="44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1、机巷侧上端头采用</w:t>
      </w: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组</w:t>
      </w:r>
      <w:r>
        <w:rPr>
          <w:rFonts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架</w:t>
      </w:r>
      <w:r>
        <w:rPr>
          <w:rFonts w:ascii="仿宋" w:hAnsi="仿宋" w:eastAsia="仿宋" w:cs="仿宋"/>
          <w:color w:val="000000" w:themeColor="text1"/>
          <w:sz w:val="24"/>
          <w14:textFill>
            <w14:solidFill>
              <w14:schemeClr w14:val="tx1"/>
            </w14:solidFill>
          </w14:textFill>
        </w:rPr>
        <w:t>ZFT38000/26/40</w:t>
      </w:r>
      <w:r>
        <w:rPr>
          <w:rFonts w:hint="eastAsia" w:ascii="仿宋" w:hAnsi="仿宋" w:eastAsia="仿宋" w:cs="仿宋"/>
          <w:color w:val="000000" w:themeColor="text1"/>
          <w:sz w:val="24"/>
          <w14:textFill>
            <w14:solidFill>
              <w14:schemeClr w14:val="tx1"/>
            </w14:solidFill>
          </w14:textFill>
        </w:rPr>
        <w:t>端头支架支护，随工作面推进倾向长度发生变化时风巷侧下端头顶板支护面积增大，可采用</w:t>
      </w:r>
      <w:r>
        <w:rPr>
          <w:rFonts w:ascii="仿宋" w:hAnsi="仿宋" w:eastAsia="仿宋" w:cs="仿宋"/>
          <w:color w:val="000000" w:themeColor="text1"/>
          <w:sz w:val="24"/>
          <w:lang w:val="zh-CN"/>
          <w14:textFill>
            <w14:solidFill>
              <w14:schemeClr w14:val="tx1"/>
            </w14:solidFill>
          </w14:textFill>
        </w:rPr>
        <w:t>ZQ4000/20.6/45</w:t>
      </w:r>
      <w:r>
        <w:rPr>
          <w:rFonts w:hint="eastAsia" w:ascii="仿宋" w:hAnsi="仿宋" w:eastAsia="仿宋" w:cs="仿宋"/>
          <w:color w:val="000000" w:themeColor="text1"/>
          <w:sz w:val="24"/>
          <w14:textFill>
            <w14:solidFill>
              <w14:schemeClr w14:val="tx1"/>
            </w14:solidFill>
          </w14:textFill>
        </w:rPr>
        <w:t>单元式支架并列进行支护。</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2、工作面机风两巷超前支护距离不小于20m，安全出口的高度不低于1.8m，人行道宽度不小于0.8m，工作面两个安全出口每班要安</w:t>
      </w:r>
      <w:r>
        <w:rPr>
          <w:rFonts w:hint="eastAsia" w:ascii="仿宋" w:hAnsi="仿宋" w:eastAsia="仿宋" w:cs="仿宋"/>
          <w:color w:val="000000" w:themeColor="text1"/>
          <w:sz w:val="24"/>
          <w:lang w:val="en-US" w:eastAsia="zh-CN"/>
          <w14:textFill>
            <w14:solidFill>
              <w14:schemeClr w14:val="tx1"/>
            </w14:solidFill>
          </w14:textFill>
        </w:rPr>
        <w:t>排</w:t>
      </w:r>
      <w:r>
        <w:rPr>
          <w:rFonts w:hint="eastAsia" w:ascii="仿宋" w:hAnsi="仿宋" w:eastAsia="仿宋" w:cs="仿宋"/>
          <w:color w:val="000000" w:themeColor="text1"/>
          <w:sz w:val="24"/>
          <w14:textFill>
            <w14:solidFill>
              <w14:schemeClr w14:val="tx1"/>
            </w14:solidFill>
          </w14:textFill>
        </w:rPr>
        <w:t>专人对其清理整改维护，保证安全出口畅通。</w:t>
      </w:r>
    </w:p>
    <w:p>
      <w:pPr>
        <w:snapToGrid w:val="0"/>
        <w:spacing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3、端头支架与基本支架间距不得超过100mm，机尾单元支架与工作面支架间距不超过</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00mm，否则必须使用DW型单体支柱配合11#矿用工字钢（或半圆木）架设一梁三柱走向棚加强支护，走向棚应架设正规有劲；顶板破碎时，还必须使用金属网过顶，防止漏煤（矸）伤人。</w:t>
      </w:r>
    </w:p>
    <w:p>
      <w:pPr>
        <w:pStyle w:val="12"/>
        <w:snapToGrid w:val="0"/>
        <w:spacing w:after="0" w:line="44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4、端头支架防倒千斤顶必须正常使用，端头支架拉移步距0.8m，拉移期间，端头支架下方除操作片阀人员外严禁有其他人员。</w:t>
      </w:r>
    </w:p>
    <w:p>
      <w:pPr>
        <w:keepNext w:val="0"/>
        <w:keepLines w:val="0"/>
        <w:pageBreakBefore w:val="0"/>
        <w:widowControl w:val="0"/>
        <w:kinsoku/>
        <w:wordWrap/>
        <w:overflowPunct/>
        <w:topLinePunct w:val="0"/>
        <w:autoSpaceDE/>
        <w:autoSpaceDN/>
        <w:bidi w:val="0"/>
        <w:adjustRightInd/>
        <w:snapToGrid w:val="0"/>
        <w:spacing w:line="430" w:lineRule="exact"/>
        <w:ind w:firstLine="52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10"/>
          <w:kern w:val="10"/>
          <w:sz w:val="24"/>
          <w14:textFill>
            <w14:solidFill>
              <w14:schemeClr w14:val="tx1"/>
            </w14:solidFill>
          </w14:textFill>
        </w:rPr>
        <w:t>5、每班要安排专人</w:t>
      </w:r>
      <w:r>
        <w:rPr>
          <w:rFonts w:hint="eastAsia" w:ascii="仿宋" w:hAnsi="仿宋" w:eastAsia="仿宋" w:cs="仿宋"/>
          <w:color w:val="000000" w:themeColor="text1"/>
          <w:sz w:val="24"/>
          <w14:textFill>
            <w14:solidFill>
              <w14:schemeClr w14:val="tx1"/>
            </w14:solidFill>
          </w14:textFill>
        </w:rPr>
        <w:t>检查安全出口、行人过桥、放顶线和巷道顶帮处的安全状况，如顶板有开裂、松动、冒落等征兆时，要及时打开支架侧护板护顶，或采取支设托棚、架设木垛等方法管理顶板，防止事故发生；在回采过程中严禁超前回撤上下出口处的支柱，确保安全生产。</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pacing w:val="10"/>
          <w:kern w:val="10"/>
          <w:sz w:val="24"/>
          <w14:textFill>
            <w14:solidFill>
              <w14:schemeClr w14:val="tx1"/>
            </w14:solidFill>
          </w14:textFill>
        </w:rPr>
        <w:t>上下端头处，工作面煤壁侧的锚杆、网片等支护材料必须提前进行退锚剪网，提前</w:t>
      </w:r>
      <w:r>
        <w:rPr>
          <w:rFonts w:hint="eastAsia" w:ascii="仿宋" w:hAnsi="仿宋" w:eastAsia="仿宋" w:cs="仿宋"/>
          <w:color w:val="000000" w:themeColor="text1"/>
          <w:sz w:val="24"/>
          <w14:textFill>
            <w14:solidFill>
              <w14:schemeClr w14:val="tx1"/>
            </w14:solidFill>
          </w14:textFill>
        </w:rPr>
        <w:t>退锚长度要不超过当班推进度</w:t>
      </w:r>
      <w:r>
        <w:rPr>
          <w:rFonts w:hint="eastAsia" w:ascii="仿宋" w:hAnsi="仿宋" w:eastAsia="仿宋" w:cs="仿宋"/>
          <w:color w:val="000000" w:themeColor="text1"/>
          <w:spacing w:val="10"/>
          <w:kern w:val="10"/>
          <w:sz w:val="24"/>
          <w14:textFill>
            <w14:solidFill>
              <w14:schemeClr w14:val="tx1"/>
            </w14:solidFill>
          </w14:textFill>
        </w:rPr>
        <w:t>，严禁使用采煤机强硬割除帮顶支护材料；回出的锚杆等所有杂物不得进入运输系统，要及时转运。</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7、采煤机运行至上（下）端头距离小于10m时，严禁上（下）端头有人作业。</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8、进入工作面煤壁作业时，必须对运输机闭锁，进入转载机里侧作业时，必须对转载机进行闭锁。</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上（下）隅角处，在顶板压力较大及断面较大时可使用液压单体支柱配合金属铰接顶梁根据断面宽度架设多排走向棚加强顶板支护，齐梁齐柱，一梁两柱，单体初撑力柱径为100mm的不得小于90KN（即11.5Mpa）。走向棚排距不超过1m。为有效支护顶板，与工作面正规支架衔接处，每棚铰接顶板棚使用两个￠0.2m×2.0m的半圆木配合金属网片进行过顶。所有支柱拴齐拴牢防倒绳。回柱时根据工作面推进距离进行回柱。</w:t>
      </w:r>
    </w:p>
    <w:p>
      <w:pPr>
        <w:keepNext w:val="0"/>
        <w:keepLines w:val="0"/>
        <w:pageBreakBefore w:val="0"/>
        <w:widowControl w:val="0"/>
        <w:kinsoku/>
        <w:wordWrap/>
        <w:overflowPunct/>
        <w:topLinePunct w:val="0"/>
        <w:autoSpaceDE/>
        <w:autoSpaceDN/>
        <w:bidi w:val="0"/>
        <w:adjustRightInd/>
        <w:snapToGrid w:val="0"/>
        <w:spacing w:line="430" w:lineRule="exact"/>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六、两巷的超前支护</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1、机巷使用3组6架ZQL2×6000/23/45超前支架进行超前支护，支护距离20.65-23.95m，</w:t>
      </w:r>
      <w:r>
        <w:rPr>
          <w:rFonts w:hint="eastAsia" w:ascii="仿宋" w:hAnsi="仿宋" w:eastAsia="仿宋" w:cs="仿宋_GB2312"/>
          <w:color w:val="000000" w:themeColor="text1"/>
          <w:sz w:val="24"/>
          <w14:textFill>
            <w14:solidFill>
              <w14:schemeClr w14:val="tx1"/>
            </w14:solidFill>
          </w14:textFill>
        </w:rPr>
        <w:t>转载机向外50m范围内布置一排单元式支架20架（靠皮带机侧）</w:t>
      </w:r>
      <w:r>
        <w:rPr>
          <w:rFonts w:hint="eastAsia" w:ascii="仿宋" w:hAnsi="仿宋" w:eastAsia="仿宋" w:cs="仿宋_GB2312"/>
          <w:color w:val="000000" w:themeColor="text1"/>
          <w:sz w:val="24"/>
          <w:lang w:val="en-US" w:eastAsia="zh-CN"/>
          <w14:textFill>
            <w14:solidFill>
              <w14:schemeClr w14:val="tx1"/>
            </w14:solidFill>
          </w14:textFill>
        </w:rPr>
        <w:t>,支架中距巷中0.3m</w:t>
      </w:r>
      <w:r>
        <w:rPr>
          <w:rFonts w:hint="eastAsia" w:ascii="仿宋" w:hAnsi="仿宋" w:eastAsia="仿宋" w:cs="仿宋"/>
          <w:color w:val="000000" w:themeColor="text1"/>
          <w:sz w:val="24"/>
          <w14:textFill>
            <w14:solidFill>
              <w14:schemeClr w14:val="tx1"/>
            </w14:solidFill>
          </w14:textFill>
        </w:rPr>
        <w:t>。风巷端头支护布置6架单元支架</w:t>
      </w:r>
      <w:r>
        <w:rPr>
          <w:rFonts w:hint="eastAsia" w:ascii="仿宋" w:hAnsi="仿宋" w:eastAsia="仿宋" w:cs="仿宋_GB2312"/>
          <w:color w:val="000000" w:themeColor="text1"/>
          <w:sz w:val="24"/>
          <w14:textFill>
            <w14:solidFill>
              <w14:schemeClr w14:val="tx1"/>
            </w14:solidFill>
          </w14:textFill>
        </w:rPr>
        <w:t>（根据回采隅角断面变化，增减端头支护单元支架数量</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切眼向外20m布置双排14架单元式支架，向外180m范围内布置单排60架单元式支架，单元支架间距3m</w:t>
      </w:r>
      <w:r>
        <w:rPr>
          <w:rFonts w:hint="eastAsia" w:ascii="仿宋" w:hAnsi="仿宋" w:eastAsia="仿宋" w:cs="仿宋_GB2312"/>
          <w:color w:val="000000" w:themeColor="text1"/>
          <w:sz w:val="24"/>
          <w:lang w:eastAsia="zh-CN"/>
          <w14:textFill>
            <w14:solidFill>
              <w14:schemeClr w14:val="tx1"/>
            </w14:solidFill>
          </w14:textFill>
        </w:rPr>
        <w:t>，</w:t>
      </w:r>
      <w:r>
        <w:rPr>
          <w:rFonts w:hint="eastAsia" w:ascii="仿宋" w:hAnsi="仿宋" w:eastAsia="仿宋" w:cs="仿宋_GB2312"/>
          <w:color w:val="000000" w:themeColor="text1"/>
          <w:sz w:val="24"/>
          <w:lang w:val="en-US" w:eastAsia="zh-CN"/>
          <w14:textFill>
            <w14:solidFill>
              <w14:schemeClr w14:val="tx1"/>
            </w14:solidFill>
          </w14:textFill>
        </w:rPr>
        <w:t>回采帮支架中距巷中0.8m，非回采帮支架中距巷中1.6m；</w:t>
      </w:r>
      <w:r>
        <w:rPr>
          <w:rFonts w:hint="eastAsia" w:ascii="仿宋" w:hAnsi="仿宋" w:eastAsia="仿宋" w:cs="仿宋"/>
          <w:color w:val="000000" w:themeColor="text1"/>
          <w:sz w:val="24"/>
          <w:lang w:val="en-US" w:eastAsia="zh-CN"/>
          <w14:textFill>
            <w14:solidFill>
              <w14:schemeClr w14:val="tx1"/>
            </w14:solidFill>
          </w14:textFill>
        </w:rPr>
        <w:t>单元支架间排距根据现场巷道断面情况适当调整。</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2、端头支架和超前支架正常使用时，侧护板必须打开，</w:t>
      </w:r>
      <w:r>
        <w:rPr>
          <w:rFonts w:hint="eastAsia" w:ascii="仿宋" w:hAnsi="仿宋" w:eastAsia="仿宋" w:cs="仿宋"/>
          <w:color w:val="000000" w:themeColor="text1"/>
          <w:kern w:val="0"/>
          <w:sz w:val="24"/>
          <w14:textFill>
            <w14:solidFill>
              <w14:schemeClr w14:val="tx1"/>
            </w14:solidFill>
          </w14:textFill>
        </w:rPr>
        <w:t>超前支架及单元式支架初撑力</w:t>
      </w:r>
      <w:r>
        <w:rPr>
          <w:rFonts w:hint="eastAsia" w:ascii="仿宋" w:hAnsi="仿宋" w:eastAsia="仿宋" w:cs="仿宋"/>
          <w:color w:val="000000" w:themeColor="text1"/>
          <w:sz w:val="24"/>
          <w14:textFill>
            <w14:solidFill>
              <w14:schemeClr w14:val="tx1"/>
            </w14:solidFill>
          </w14:textFill>
        </w:rPr>
        <w:t>不得小于24MPa。</w:t>
      </w:r>
    </w:p>
    <w:p>
      <w:pPr>
        <w:keepNext w:val="0"/>
        <w:keepLines w:val="0"/>
        <w:pageBreakBefore w:val="0"/>
        <w:widowControl w:val="0"/>
        <w:kinsoku/>
        <w:wordWrap/>
        <w:overflowPunct/>
        <w:topLinePunct w:val="0"/>
        <w:autoSpaceDE/>
        <w:autoSpaceDN/>
        <w:bidi w:val="0"/>
        <w:adjustRightInd/>
        <w:snapToGrid w:val="0"/>
        <w:spacing w:line="43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工作面安全出口与巷道连接处超前支护范围机巷不得小于120m，风巷不小于200m。机巷120m范围内超前支护除布置的超前支架及单元支架外，其它特殊地点（包括巷修机临时卧底区域）需进行支护加固的可使用单体配合半圆木一梁三柱（或使用11#矿用工字钢配合单体支护一梁三柱）或道木（一梁二柱）支设一排超前支护加强顶板管理，棚间距3m；单体柱径为100mm的初撑力不得小于90KN（即11.5Mpa），底板松软时必须穿柱鞋，支柱钻底量不大于100mm。风巷布置80架单元支架，局部地段巷道高度超高或不宜支护单元支架的，可依据现场情况，调整单元支架支护位置和间距。若风巷超前支护范围内单元支架支护距离不足200m时使用单体配合半圆木（一梁三柱，或使用11#矿用工字钢配合单体支护）或道木（一梁二柱）支设一排超前支护管理顶板，支护参数同机巷。</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4、单元式支架运输采用气动单轨吊运输。</w:t>
      </w:r>
    </w:p>
    <w:p>
      <w:pPr>
        <w:pStyle w:val="6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七、工作面放顶管理</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1、只有在工作面上下安全出口、端头支护及控顶距等符合要求时，方可移架放顶。</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2、工作面上下隅角处，帮部锚杆应提前退去托盘，确保放顶线内帮部锚杆退锚，保证上下隅角充分冒落；回收的锚杆等所有杂物不得进入运输系统，要及时转运。</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3、移架放顶期间，所有人员必须站在支护正规有劲地点，严禁进入采空区；尤其上下端头移架时，移架人员要确认采空区侧无人后，方可移架放顶。</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4、对于上下隅角悬顶面积大于2×5m²的，要进行强制放顶，或者提前在放顶线位置进行人工封堵（使用编织袋装碎煤矸，垒双层编织袋隔离墙）然后方可移架。</w:t>
      </w:r>
    </w:p>
    <w:p>
      <w:pPr>
        <w:snapToGrid w:val="0"/>
        <w:ind w:firstLine="480"/>
        <w:rPr>
          <w:rFonts w:ascii="黑体" w:hAnsi="黑体" w:eastAsia="黑体" w:cs="黑体"/>
          <w:b/>
          <w:bCs/>
          <w:color w:val="000000" w:themeColor="text1"/>
          <w:sz w:val="30"/>
          <w:szCs w:val="30"/>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为防止上下端头煤矸滚落伤人，在移架放顶前，除操作移架人员外，其他人员应在距移架地点10m以外的安全位置，且所有人员均要避开煤矸可能滚落地点的下方，待移架放顶后且采空区顶板稳定以后，确认无安全威胁方可进入正常施工。</w:t>
      </w:r>
      <w:bookmarkStart w:id="192" w:name="_Toc496212758"/>
    </w:p>
    <w:p>
      <w:pPr>
        <w:snapToGrid w:val="0"/>
        <w:spacing w:line="440" w:lineRule="exact"/>
        <w:ind w:firstLine="0" w:firstLineChars="0"/>
        <w:rPr>
          <w:rFonts w:ascii="黑体" w:hAnsi="黑体" w:eastAsia="黑体" w:cs="黑体"/>
          <w:b/>
          <w:bCs/>
          <w:color w:val="000000" w:themeColor="text1"/>
          <w:sz w:val="30"/>
          <w:szCs w:val="30"/>
          <w14:textFill>
            <w14:solidFill>
              <w14:schemeClr w14:val="tx1"/>
            </w14:solidFill>
          </w14:textFill>
        </w:rPr>
      </w:pPr>
    </w:p>
    <w:p>
      <w:pPr>
        <w:snapToGrid w:val="0"/>
        <w:spacing w:line="440" w:lineRule="exact"/>
        <w:ind w:firstLine="0" w:firstLineChars="0"/>
        <w:jc w:val="center"/>
        <w:rPr>
          <w:rFonts w:ascii="黑体" w:hAnsi="黑体" w:eastAsia="黑体" w:cs="黑体"/>
          <w:b/>
          <w:bCs/>
          <w:color w:val="000000" w:themeColor="text1"/>
          <w:sz w:val="30"/>
          <w:szCs w:val="30"/>
          <w14:textFill>
            <w14:solidFill>
              <w14:schemeClr w14:val="tx1"/>
            </w14:solidFill>
          </w14:textFill>
        </w:rPr>
      </w:pPr>
      <w:r>
        <w:rPr>
          <w:rFonts w:hint="eastAsia" w:ascii="黑体" w:hAnsi="黑体" w:eastAsia="黑体" w:cs="黑体"/>
          <w:b/>
          <w:bCs/>
          <w:color w:val="000000" w:themeColor="text1"/>
          <w:sz w:val="30"/>
          <w:szCs w:val="30"/>
          <w14:textFill>
            <w14:solidFill>
              <w14:schemeClr w14:val="tx1"/>
            </w14:solidFill>
          </w14:textFill>
        </w:rPr>
        <w:t>第四章  生产系统</w:t>
      </w:r>
      <w:bookmarkEnd w:id="192"/>
    </w:p>
    <w:p>
      <w:pPr>
        <w:snapToGrid w:val="0"/>
        <w:spacing w:line="440" w:lineRule="exact"/>
        <w:ind w:firstLine="0" w:firstLineChars="0"/>
        <w:jc w:val="center"/>
        <w:rPr>
          <w:rFonts w:ascii="仿宋" w:hAnsi="仿宋" w:eastAsia="仿宋"/>
          <w:b/>
          <w:bCs/>
          <w:color w:val="000000" w:themeColor="text1"/>
          <w:sz w:val="28"/>
          <w:szCs w:val="28"/>
          <w14:textFill>
            <w14:solidFill>
              <w14:schemeClr w14:val="tx1"/>
            </w14:solidFill>
          </w14:textFill>
        </w:rPr>
      </w:pPr>
      <w:bookmarkStart w:id="193" w:name="_Toc496212759"/>
      <w:r>
        <w:rPr>
          <w:rFonts w:hint="eastAsia" w:ascii="黑体" w:hAnsi="黑体" w:eastAsia="黑体" w:cs="黑体"/>
          <w:b/>
          <w:bCs/>
          <w:color w:val="000000" w:themeColor="text1"/>
          <w:sz w:val="28"/>
          <w:szCs w:val="28"/>
          <w14:textFill>
            <w14:solidFill>
              <w14:schemeClr w14:val="tx1"/>
            </w14:solidFill>
          </w14:textFill>
        </w:rPr>
        <w:t>第一节  运输系统</w:t>
      </w:r>
      <w:bookmarkEnd w:id="193"/>
    </w:p>
    <w:p>
      <w:pPr>
        <w:pStyle w:val="60"/>
        <w:snapToGrid w:val="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一、主运输系统</w:t>
      </w:r>
    </w:p>
    <w:p>
      <w:pPr>
        <w:pStyle w:val="67"/>
        <w:snapToGrid w:val="0"/>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1、主运输系统的运输设备及运输方式（见下表4）</w:t>
      </w:r>
    </w:p>
    <w:tbl>
      <w:tblPr>
        <w:tblStyle w:val="36"/>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4263"/>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416" w:type="dxa"/>
            <w:tcBorders>
              <w:top w:val="single" w:color="auto" w:sz="12" w:space="0"/>
              <w:left w:val="single" w:color="auto" w:sz="12" w:space="0"/>
              <w:bottom w:val="single" w:color="auto" w:sz="4"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运煤设备</w:t>
            </w:r>
          </w:p>
        </w:tc>
        <w:tc>
          <w:tcPr>
            <w:tcW w:w="4263" w:type="dxa"/>
            <w:tcBorders>
              <w:top w:val="single" w:color="auto" w:sz="12" w:space="0"/>
              <w:left w:val="single" w:color="auto" w:sz="4" w:space="0"/>
              <w:bottom w:val="single" w:color="auto" w:sz="4"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型号</w:t>
            </w:r>
          </w:p>
        </w:tc>
        <w:tc>
          <w:tcPr>
            <w:tcW w:w="1440" w:type="dxa"/>
            <w:tcBorders>
              <w:top w:val="single" w:color="auto" w:sz="12" w:space="0"/>
              <w:left w:val="single" w:color="auto" w:sz="4" w:space="0"/>
              <w:bottom w:val="single" w:color="auto" w:sz="4" w:space="0"/>
              <w:right w:val="single" w:color="auto" w:sz="12"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装转方式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16" w:type="dxa"/>
            <w:tcBorders>
              <w:top w:val="single" w:color="auto" w:sz="4" w:space="0"/>
              <w:left w:val="single" w:color="auto" w:sz="12" w:space="0"/>
              <w:bottom w:val="single" w:color="auto" w:sz="4"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前部运输机</w:t>
            </w:r>
          </w:p>
        </w:tc>
        <w:tc>
          <w:tcPr>
            <w:tcW w:w="4263" w:type="dxa"/>
            <w:tcBorders>
              <w:top w:val="single" w:color="auto" w:sz="4" w:space="0"/>
              <w:left w:val="single" w:color="auto" w:sz="4" w:space="0"/>
              <w:bottom w:val="single" w:color="auto" w:sz="4"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SGZ1000/2</w:t>
            </w:r>
            <w:r>
              <w:rPr>
                <w:rFonts w:hint="eastAsia" w:ascii="仿宋" w:hAnsi="仿宋" w:eastAsia="仿宋" w:cs="宋体"/>
                <w:color w:val="000000" w:themeColor="text1"/>
                <w:szCs w:val="21"/>
                <w14:textFill>
                  <w14:solidFill>
                    <w14:schemeClr w14:val="tx1"/>
                  </w14:solidFill>
                </w14:textFill>
              </w:rPr>
              <w:t>×</w:t>
            </w:r>
            <w:r>
              <w:rPr>
                <w:rFonts w:hint="eastAsia" w:ascii="仿宋" w:hAnsi="仿宋" w:eastAsia="仿宋" w:cs="仿宋_GB2312"/>
                <w:color w:val="000000" w:themeColor="text1"/>
                <w:szCs w:val="21"/>
                <w14:textFill>
                  <w14:solidFill>
                    <w14:schemeClr w14:val="tx1"/>
                  </w14:solidFill>
                </w14:textFill>
              </w:rPr>
              <w:t>855型刮板运输机</w:t>
            </w:r>
          </w:p>
        </w:tc>
        <w:tc>
          <w:tcPr>
            <w:tcW w:w="1440" w:type="dxa"/>
            <w:tcBorders>
              <w:top w:val="single" w:color="auto" w:sz="4" w:space="0"/>
              <w:left w:val="single" w:color="auto" w:sz="4" w:space="0"/>
              <w:bottom w:val="single" w:color="auto" w:sz="4" w:space="0"/>
              <w:right w:val="single" w:color="auto" w:sz="12"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416" w:type="dxa"/>
            <w:tcBorders>
              <w:top w:val="single" w:color="auto" w:sz="4" w:space="0"/>
              <w:left w:val="single" w:color="auto" w:sz="12" w:space="0"/>
              <w:bottom w:val="single" w:color="auto" w:sz="4"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后部运输机</w:t>
            </w:r>
          </w:p>
        </w:tc>
        <w:tc>
          <w:tcPr>
            <w:tcW w:w="4263" w:type="dxa"/>
            <w:tcBorders>
              <w:top w:val="single" w:color="auto" w:sz="4" w:space="0"/>
              <w:left w:val="single" w:color="auto" w:sz="4" w:space="0"/>
              <w:bottom w:val="single" w:color="auto" w:sz="4"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SGZ1000/2</w:t>
            </w:r>
            <w:r>
              <w:rPr>
                <w:rFonts w:hint="eastAsia" w:ascii="仿宋" w:hAnsi="仿宋" w:eastAsia="仿宋" w:cs="宋体"/>
                <w:color w:val="000000" w:themeColor="text1"/>
                <w:szCs w:val="21"/>
                <w14:textFill>
                  <w14:solidFill>
                    <w14:schemeClr w14:val="tx1"/>
                  </w14:solidFill>
                </w14:textFill>
              </w:rPr>
              <w:t>×</w:t>
            </w:r>
            <w:r>
              <w:rPr>
                <w:rFonts w:hint="eastAsia" w:ascii="仿宋" w:hAnsi="仿宋" w:eastAsia="仿宋" w:cs="仿宋_GB2312"/>
                <w:color w:val="000000" w:themeColor="text1"/>
                <w:szCs w:val="21"/>
                <w14:textFill>
                  <w14:solidFill>
                    <w14:schemeClr w14:val="tx1"/>
                  </w14:solidFill>
                </w14:textFill>
              </w:rPr>
              <w:t>855型刮板运输机</w:t>
            </w:r>
          </w:p>
        </w:tc>
        <w:tc>
          <w:tcPr>
            <w:tcW w:w="1440" w:type="dxa"/>
            <w:tcBorders>
              <w:top w:val="single" w:color="auto" w:sz="4" w:space="0"/>
              <w:left w:val="single" w:color="auto" w:sz="4" w:space="0"/>
              <w:bottom w:val="single" w:color="auto" w:sz="4" w:space="0"/>
              <w:right w:val="single" w:color="auto" w:sz="12"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416" w:type="dxa"/>
            <w:tcBorders>
              <w:top w:val="single" w:color="auto" w:sz="4" w:space="0"/>
              <w:left w:val="single" w:color="auto" w:sz="12" w:space="0"/>
              <w:bottom w:val="single" w:color="auto" w:sz="4"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转载机</w:t>
            </w:r>
          </w:p>
        </w:tc>
        <w:tc>
          <w:tcPr>
            <w:tcW w:w="4263" w:type="dxa"/>
            <w:tcBorders>
              <w:top w:val="single" w:color="auto" w:sz="4" w:space="0"/>
              <w:left w:val="single" w:color="auto" w:sz="4" w:space="0"/>
              <w:bottom w:val="single" w:color="auto" w:sz="4"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SZZ1200/525型转载机</w:t>
            </w:r>
          </w:p>
        </w:tc>
        <w:tc>
          <w:tcPr>
            <w:tcW w:w="1440" w:type="dxa"/>
            <w:tcBorders>
              <w:top w:val="single" w:color="auto" w:sz="4" w:space="0"/>
              <w:left w:val="single" w:color="auto" w:sz="4" w:space="0"/>
              <w:bottom w:val="single" w:color="auto" w:sz="4" w:space="0"/>
              <w:right w:val="single" w:color="auto" w:sz="12"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416" w:type="dxa"/>
            <w:tcBorders>
              <w:top w:val="single" w:color="auto" w:sz="4" w:space="0"/>
              <w:left w:val="single" w:color="auto" w:sz="12" w:space="0"/>
              <w:bottom w:val="single" w:color="auto" w:sz="12"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可伸缩皮带输送机</w:t>
            </w:r>
          </w:p>
        </w:tc>
        <w:tc>
          <w:tcPr>
            <w:tcW w:w="4263" w:type="dxa"/>
            <w:tcBorders>
              <w:top w:val="single" w:color="auto" w:sz="4" w:space="0"/>
              <w:left w:val="single" w:color="auto" w:sz="4" w:space="0"/>
              <w:bottom w:val="single" w:color="auto" w:sz="12" w:space="0"/>
              <w:right w:val="single" w:color="auto" w:sz="4" w:space="0"/>
            </w:tcBorders>
          </w:tcPr>
          <w:p>
            <w:pPr>
              <w:snapToGrid w:val="0"/>
              <w:spacing w:line="240" w:lineRule="atLeast"/>
              <w:ind w:firstLine="0" w:firstLineChars="0"/>
              <w:jc w:val="center"/>
              <w:rPr>
                <w:rFonts w:ascii="仿宋" w:hAnsi="仿宋" w:eastAsia="仿宋" w:cs="仿宋_GB2312"/>
                <w:color w:val="000000" w:themeColor="text1"/>
                <w:szCs w:val="21"/>
                <w:lang w:val="zh-CN"/>
                <w14:textFill>
                  <w14:solidFill>
                    <w14:schemeClr w14:val="tx1"/>
                  </w14:solidFill>
                </w14:textFill>
              </w:rPr>
            </w:pPr>
            <w:r>
              <w:rPr>
                <w:rFonts w:hint="eastAsia" w:ascii="仿宋" w:hAnsi="仿宋" w:eastAsia="仿宋" w:cs="仿宋_GB2312"/>
                <w:color w:val="000000" w:themeColor="text1"/>
                <w:szCs w:val="21"/>
                <w:lang w:val="zh-CN"/>
                <w14:textFill>
                  <w14:solidFill>
                    <w14:schemeClr w14:val="tx1"/>
                  </w14:solidFill>
                </w14:textFill>
              </w:rPr>
              <w:t>DSJ-1400/</w:t>
            </w:r>
            <w:r>
              <w:rPr>
                <w:rFonts w:hint="eastAsia" w:ascii="仿宋" w:hAnsi="仿宋" w:eastAsia="仿宋" w:cs="仿宋_GB2312"/>
                <w:color w:val="000000" w:themeColor="text1"/>
                <w:szCs w:val="21"/>
                <w14:textFill>
                  <w14:solidFill>
                    <w14:schemeClr w14:val="tx1"/>
                  </w14:solidFill>
                </w14:textFill>
              </w:rPr>
              <w:t>2×</w:t>
            </w:r>
            <w:r>
              <w:rPr>
                <w:rFonts w:hint="eastAsia" w:ascii="仿宋" w:hAnsi="仿宋" w:eastAsia="仿宋" w:cs="仿宋_GB2312"/>
                <w:color w:val="000000" w:themeColor="text1"/>
                <w:szCs w:val="21"/>
                <w:lang w:val="zh-CN"/>
                <w14:textFill>
                  <w14:solidFill>
                    <w14:schemeClr w14:val="tx1"/>
                  </w14:solidFill>
                </w14:textFill>
              </w:rPr>
              <w:t>500</w:t>
            </w:r>
          </w:p>
        </w:tc>
        <w:tc>
          <w:tcPr>
            <w:tcW w:w="1440" w:type="dxa"/>
            <w:tcBorders>
              <w:top w:val="single" w:color="auto" w:sz="4" w:space="0"/>
              <w:left w:val="single" w:color="auto" w:sz="4" w:space="0"/>
              <w:bottom w:val="single" w:color="auto" w:sz="12" w:space="0"/>
              <w:right w:val="single" w:color="auto" w:sz="12" w:space="0"/>
            </w:tcBorders>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自动</w:t>
            </w:r>
          </w:p>
        </w:tc>
      </w:tr>
    </w:tbl>
    <w:p>
      <w:pPr>
        <w:pStyle w:val="67"/>
        <w:snapToGrid w:val="0"/>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2、主运输路线</w:t>
      </w:r>
    </w:p>
    <w:p>
      <w:pPr>
        <w:keepNext w:val="0"/>
        <w:keepLines w:val="0"/>
        <w:pageBreakBefore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1303工作面→1303机巷→1303机巷溜煤眼→北翼带式输送机大巷→</w:t>
      </w:r>
      <w:r>
        <w:rPr>
          <w:rFonts w:hint="eastAsia" w:ascii="仿宋" w:hAnsi="仿宋" w:eastAsia="仿宋" w:cs="仿宋_GB2312"/>
          <w:color w:val="000000" w:themeColor="text1"/>
          <w:sz w:val="24"/>
          <w14:textFill>
            <w14:solidFill>
              <w14:schemeClr w14:val="tx1"/>
            </w14:solidFill>
          </w14:textFill>
        </w:rPr>
        <w:t>井底煤仓→主斜井带式输送机→地面</w:t>
      </w:r>
      <w:r>
        <w:rPr>
          <w:rFonts w:hint="eastAsia" w:ascii="仿宋" w:hAnsi="仿宋" w:eastAsia="仿宋"/>
          <w:color w:val="000000" w:themeColor="text1"/>
          <w:sz w:val="24"/>
          <w14:textFill>
            <w14:solidFill>
              <w14:schemeClr w14:val="tx1"/>
            </w14:solidFill>
          </w14:textFill>
        </w:rPr>
        <w:t>。</w:t>
      </w:r>
    </w:p>
    <w:p>
      <w:pPr>
        <w:pStyle w:val="60"/>
        <w:keepNext w:val="0"/>
        <w:keepLines w:val="0"/>
        <w:pageBreakBefore w:val="0"/>
        <w:kinsoku/>
        <w:wordWrap/>
        <w:overflowPunct/>
        <w:topLinePunct w:val="0"/>
        <w:autoSpaceDE/>
        <w:autoSpaceDN/>
        <w:bidi w:val="0"/>
        <w:adjustRightInd/>
        <w:snapToGrid w:val="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二、辅助运输系统</w:t>
      </w:r>
    </w:p>
    <w:p>
      <w:pPr>
        <w:pStyle w:val="67"/>
        <w:keepNext w:val="0"/>
        <w:keepLines w:val="0"/>
        <w:pageBreakBefore w:val="0"/>
        <w:kinsoku/>
        <w:wordWrap/>
        <w:overflowPunct/>
        <w:topLinePunct w:val="0"/>
        <w:autoSpaceDE/>
        <w:autoSpaceDN/>
        <w:bidi w:val="0"/>
        <w:adjustRightInd/>
        <w:snapToGrid w:val="0"/>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1、辅助运输设备</w:t>
      </w:r>
    </w:p>
    <w:p>
      <w:pPr>
        <w:keepNext w:val="0"/>
        <w:keepLines w:val="0"/>
        <w:pageBreakBefore w:val="0"/>
        <w:kinsoku/>
        <w:wordWrap/>
        <w:overflowPunct/>
        <w:topLinePunct w:val="0"/>
        <w:autoSpaceDE/>
        <w:autoSpaceDN/>
        <w:bidi w:val="0"/>
        <w:adjustRightInd/>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（1）风巷采用</w:t>
      </w:r>
      <w:r>
        <w:rPr>
          <w:rFonts w:hint="eastAsia" w:ascii="仿宋" w:hAnsi="仿宋" w:eastAsia="仿宋" w:cs="仿宋"/>
          <w:color w:val="000000" w:themeColor="text1"/>
          <w:sz w:val="24"/>
          <w:lang w:val="en-US" w:eastAsia="zh-CN"/>
          <w14:textFill>
            <w14:solidFill>
              <w14:schemeClr w14:val="tx1"/>
            </w14:solidFill>
          </w14:textFill>
        </w:rPr>
        <w:t>WCJS3E型防爆柴油机无轨胶轮车运输</w:t>
      </w:r>
      <w:r>
        <w:rPr>
          <w:rFonts w:hint="eastAsia" w:ascii="仿宋" w:hAnsi="仿宋" w:eastAsia="仿宋" w:cs="仿宋"/>
          <w:color w:val="000000" w:themeColor="text1"/>
          <w:sz w:val="24"/>
          <w14:textFill>
            <w14:solidFill>
              <w14:schemeClr w14:val="tx1"/>
            </w14:solidFill>
          </w14:textFill>
        </w:rPr>
        <w:t>。</w:t>
      </w:r>
    </w:p>
    <w:p>
      <w:pPr>
        <w:pStyle w:val="67"/>
        <w:keepNext w:val="0"/>
        <w:keepLines w:val="0"/>
        <w:pageBreakBefore w:val="0"/>
        <w:kinsoku/>
        <w:wordWrap/>
        <w:overflowPunct/>
        <w:topLinePunct w:val="0"/>
        <w:autoSpaceDE/>
        <w:autoSpaceDN/>
        <w:bidi w:val="0"/>
        <w:adjustRightInd/>
        <w:snapToGrid w:val="0"/>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2、辅助运输路线 </w:t>
      </w:r>
    </w:p>
    <w:p>
      <w:pPr>
        <w:keepNext w:val="0"/>
        <w:keepLines w:val="0"/>
        <w:pageBreakBefore w:val="0"/>
        <w:kinsoku/>
        <w:wordWrap/>
        <w:overflowPunct/>
        <w:topLinePunct w:val="0"/>
        <w:autoSpaceDE/>
        <w:autoSpaceDN/>
        <w:bidi w:val="0"/>
        <w:adjustRightInd/>
        <w:snapToGrid w:val="0"/>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（1）物料入井路线</w:t>
      </w:r>
    </w:p>
    <w:p>
      <w:pPr>
        <w:keepNext w:val="0"/>
        <w:keepLines w:val="0"/>
        <w:pageBreakBefore w:val="0"/>
        <w:widowControl/>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机巷运料路线：地面料场→副井上口→副井下口→</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北翼辅助</w:t>
      </w:r>
      <w:r>
        <w:rPr>
          <w:rFonts w:ascii="仿宋" w:hAnsi="仿宋" w:eastAsia="仿宋"/>
          <w:color w:val="000000" w:themeColor="text1"/>
          <w:sz w:val="24"/>
          <w14:textFill>
            <w14:solidFill>
              <w14:schemeClr w14:val="tx1"/>
            </w14:solidFill>
          </w14:textFill>
        </w:rPr>
        <w:t>运输大巷</w:t>
      </w:r>
      <w:r>
        <w:rPr>
          <w:rFonts w:hint="eastAsia" w:ascii="仿宋" w:hAnsi="仿宋" w:eastAsia="仿宋"/>
          <w:color w:val="000000" w:themeColor="text1"/>
          <w:sz w:val="24"/>
          <w14:textFill>
            <w14:solidFill>
              <w14:schemeClr w14:val="tx1"/>
            </w14:solidFill>
          </w14:textFill>
        </w:rPr>
        <w:t>→第二</w:t>
      </w:r>
      <w:r>
        <w:rPr>
          <w:rFonts w:ascii="仿宋" w:hAnsi="仿宋" w:eastAsia="仿宋"/>
          <w:color w:val="000000" w:themeColor="text1"/>
          <w:sz w:val="24"/>
          <w14:textFill>
            <w14:solidFill>
              <w14:schemeClr w14:val="tx1"/>
            </w14:solidFill>
          </w14:textFill>
        </w:rPr>
        <w:t>中部车场</w:t>
      </w: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303</w:t>
      </w:r>
      <w:r>
        <w:rPr>
          <w:rFonts w:hint="eastAsia" w:ascii="仿宋" w:hAnsi="仿宋" w:eastAsia="仿宋"/>
          <w:color w:val="000000" w:themeColor="text1"/>
          <w:sz w:val="24"/>
          <w14:textFill>
            <w14:solidFill>
              <w14:schemeClr w14:val="tx1"/>
            </w14:solidFill>
          </w14:textFill>
        </w:rPr>
        <w:t>机巷。</w:t>
      </w:r>
    </w:p>
    <w:p>
      <w:pPr>
        <w:keepNext w:val="0"/>
        <w:keepLines w:val="0"/>
        <w:pageBreakBefore w:val="0"/>
        <w:widowControl/>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风</w:t>
      </w:r>
      <w:r>
        <w:rPr>
          <w:rFonts w:ascii="仿宋" w:hAnsi="仿宋" w:eastAsia="仿宋"/>
          <w:color w:val="000000" w:themeColor="text1"/>
          <w:sz w:val="24"/>
          <w14:textFill>
            <w14:solidFill>
              <w14:schemeClr w14:val="tx1"/>
            </w14:solidFill>
          </w14:textFill>
        </w:rPr>
        <w:t>巷</w:t>
      </w:r>
      <w:r>
        <w:rPr>
          <w:rFonts w:hint="eastAsia" w:ascii="仿宋" w:hAnsi="仿宋" w:eastAsia="仿宋"/>
          <w:color w:val="000000" w:themeColor="text1"/>
          <w:sz w:val="24"/>
          <w14:textFill>
            <w14:solidFill>
              <w14:schemeClr w14:val="tx1"/>
            </w14:solidFill>
          </w14:textFill>
        </w:rPr>
        <w:t>运料路线：地面料场→副井上口→副井下口→北翼辅助</w:t>
      </w:r>
      <w:r>
        <w:rPr>
          <w:rFonts w:ascii="仿宋" w:hAnsi="仿宋" w:eastAsia="仿宋"/>
          <w:color w:val="000000" w:themeColor="text1"/>
          <w:sz w:val="24"/>
          <w14:textFill>
            <w14:solidFill>
              <w14:schemeClr w14:val="tx1"/>
            </w14:solidFill>
          </w14:textFill>
        </w:rPr>
        <w:t>运输大巷</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130</w:t>
      </w:r>
      <w:r>
        <w:rPr>
          <w:rFonts w:hint="eastAsia" w:ascii="仿宋" w:hAnsi="仿宋" w:eastAsia="仿宋"/>
          <w:color w:val="000000" w:themeColor="text1"/>
          <w:sz w:val="24"/>
          <w14:textFill>
            <w14:solidFill>
              <w14:schemeClr w14:val="tx1"/>
            </w14:solidFill>
          </w14:textFill>
        </w:rPr>
        <w:t>3风</w:t>
      </w:r>
      <w:r>
        <w:rPr>
          <w:rFonts w:ascii="仿宋" w:hAnsi="仿宋" w:eastAsia="仿宋"/>
          <w:color w:val="000000" w:themeColor="text1"/>
          <w:sz w:val="24"/>
          <w14:textFill>
            <w14:solidFill>
              <w14:schemeClr w14:val="tx1"/>
            </w14:solidFill>
          </w14:textFill>
        </w:rPr>
        <w:t>联巷</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1303</w:t>
      </w:r>
      <w:r>
        <w:rPr>
          <w:rFonts w:hint="eastAsia" w:ascii="仿宋" w:hAnsi="仿宋" w:eastAsia="仿宋"/>
          <w:color w:val="000000" w:themeColor="text1"/>
          <w:sz w:val="24"/>
          <w14:textFill>
            <w14:solidFill>
              <w14:schemeClr w14:val="tx1"/>
            </w14:solidFill>
          </w14:textFill>
        </w:rPr>
        <w:t>风</w:t>
      </w:r>
      <w:r>
        <w:rPr>
          <w:rFonts w:ascii="仿宋" w:hAnsi="仿宋" w:eastAsia="仿宋"/>
          <w:color w:val="000000" w:themeColor="text1"/>
          <w:sz w:val="24"/>
          <w14:textFill>
            <w14:solidFill>
              <w14:schemeClr w14:val="tx1"/>
            </w14:solidFill>
          </w14:textFill>
        </w:rPr>
        <w:t>巷</w:t>
      </w:r>
      <w:r>
        <w:rPr>
          <w:rFonts w:hint="eastAsia" w:ascii="仿宋" w:hAnsi="仿宋" w:eastAsia="仿宋"/>
          <w:color w:val="000000" w:themeColor="text1"/>
          <w:sz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（2）物料升井路线</w:t>
      </w:r>
    </w:p>
    <w:p>
      <w:pPr>
        <w:keepNext w:val="0"/>
        <w:keepLines w:val="0"/>
        <w:pageBreakBefore w:val="0"/>
        <w:kinsoku/>
        <w:wordWrap/>
        <w:overflowPunct/>
        <w:topLinePunct w:val="0"/>
        <w:autoSpaceDE/>
        <w:autoSpaceDN/>
        <w:bidi w:val="0"/>
        <w:adjustRightInd/>
        <w:snapToGrid w:val="0"/>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按照物料入井路线反向进行。</w:t>
      </w:r>
    </w:p>
    <w:p>
      <w:pPr>
        <w:keepNext w:val="0"/>
        <w:keepLines w:val="0"/>
        <w:pageBreakBefore w:val="0"/>
        <w:kinsoku/>
        <w:wordWrap/>
        <w:overflowPunct/>
        <w:topLinePunct w:val="0"/>
        <w:autoSpaceDE/>
        <w:autoSpaceDN/>
        <w:bidi w:val="0"/>
        <w:adjustRightInd/>
        <w:snapToGrid w:val="0"/>
        <w:ind w:firstLine="482"/>
        <w:textAlignment w:val="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附图4:  1303工作面运输系统图</w:t>
      </w:r>
    </w:p>
    <w:p>
      <w:pPr>
        <w:pStyle w:val="4"/>
        <w:keepNext w:val="0"/>
        <w:keepLines w:val="0"/>
        <w:snapToGrid w:val="0"/>
        <w:spacing w:before="0" w:after="0"/>
        <w:ind w:firstLine="562"/>
        <w:rPr>
          <w:rFonts w:ascii="黑体" w:hAnsi="黑体" w:eastAsia="黑体" w:cs="黑体"/>
          <w:color w:val="FF0000"/>
          <w:sz w:val="28"/>
          <w:szCs w:val="28"/>
        </w:rPr>
      </w:pPr>
      <w:bookmarkStart w:id="194" w:name="_Toc496212760"/>
    </w:p>
    <w:bookmarkEnd w:id="194"/>
    <w:p>
      <w:pPr>
        <w:pStyle w:val="4"/>
        <w:keepNext w:val="0"/>
        <w:keepLines w:val="0"/>
        <w:snapToGrid w:val="0"/>
        <w:spacing w:before="0" w:after="0"/>
        <w:ind w:firstLine="562"/>
        <w:jc w:val="center"/>
        <w:rPr>
          <w:rFonts w:ascii="黑体" w:hAnsi="黑体" w:eastAsia="黑体" w:cs="黑体"/>
          <w:color w:val="000000" w:themeColor="text1"/>
          <w:sz w:val="28"/>
          <w:szCs w:val="28"/>
          <w14:textFill>
            <w14:solidFill>
              <w14:schemeClr w14:val="tx1"/>
            </w14:solidFill>
          </w14:textFill>
        </w:rPr>
      </w:pPr>
      <w:bookmarkStart w:id="195" w:name="_Toc496212761"/>
      <w:r>
        <w:rPr>
          <w:rFonts w:hint="eastAsia" w:ascii="黑体" w:hAnsi="黑体" w:eastAsia="黑体" w:cs="黑体"/>
          <w:color w:val="000000" w:themeColor="text1"/>
          <w:sz w:val="28"/>
          <w:szCs w:val="28"/>
          <w14:textFill>
            <w14:solidFill>
              <w14:schemeClr w14:val="tx1"/>
            </w14:solidFill>
          </w14:textFill>
        </w:rPr>
        <w:t>第二节  通风系统</w:t>
      </w:r>
    </w:p>
    <w:p>
      <w:pPr>
        <w:keepNext w:val="0"/>
        <w:keepLines w:val="0"/>
        <w:pageBreakBefore w:val="0"/>
        <w:widowControl/>
        <w:kinsoku/>
        <w:wordWrap/>
        <w:overflowPunct/>
        <w:topLinePunct w:val="0"/>
        <w:autoSpaceDE/>
        <w:autoSpaceDN/>
        <w:bidi w:val="0"/>
        <w:adjustRightInd/>
        <w:snapToGrid w:val="0"/>
        <w:spacing w:line="380" w:lineRule="exact"/>
        <w:ind w:firstLine="0" w:firstLineChars="0"/>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一、工作面通风方式、路线</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（1）通风方式：1303工作面通风方式采用“U”型通风。</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（2）工作面通风路线：</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新鲜风流：副井→井底车场→北翼辅助运输大巷/北翼带式输送机大巷→第二中部车场→130</w:t>
      </w:r>
      <w:r>
        <w:rPr>
          <w:rFonts w:ascii="仿宋" w:hAnsi="仿宋" w:eastAsia="仿宋" w:cs="仿宋_GB2312"/>
          <w:color w:val="000000" w:themeColor="text1"/>
          <w:kern w:val="0"/>
          <w:sz w:val="24"/>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机巷→130</w:t>
      </w:r>
      <w:r>
        <w:rPr>
          <w:rFonts w:ascii="仿宋" w:hAnsi="仿宋" w:eastAsia="仿宋" w:cs="仿宋_GB2312"/>
          <w:color w:val="000000" w:themeColor="text1"/>
          <w:kern w:val="0"/>
          <w:sz w:val="24"/>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工作面。</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乏风风流：130</w:t>
      </w:r>
      <w:r>
        <w:rPr>
          <w:rFonts w:ascii="仿宋" w:hAnsi="仿宋" w:eastAsia="仿宋" w:cs="仿宋_GB2312"/>
          <w:color w:val="000000" w:themeColor="text1"/>
          <w:kern w:val="0"/>
          <w:sz w:val="24"/>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工作面→130</w:t>
      </w:r>
      <w:r>
        <w:rPr>
          <w:rFonts w:ascii="仿宋" w:hAnsi="仿宋" w:eastAsia="仿宋" w:cs="仿宋_GB2312"/>
          <w:color w:val="000000" w:themeColor="text1"/>
          <w:kern w:val="0"/>
          <w:sz w:val="24"/>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风巷→1</w:t>
      </w:r>
      <w:r>
        <w:rPr>
          <w:rFonts w:ascii="仿宋" w:hAnsi="仿宋" w:eastAsia="仿宋" w:cs="仿宋_GB2312"/>
          <w:color w:val="000000" w:themeColor="text1"/>
          <w:kern w:val="0"/>
          <w:sz w:val="24"/>
          <w14:textFill>
            <w14:solidFill>
              <w14:schemeClr w14:val="tx1"/>
            </w14:solidFill>
          </w14:textFill>
        </w:rPr>
        <w:t>305</w:t>
      </w:r>
      <w:r>
        <w:rPr>
          <w:rFonts w:hint="eastAsia" w:ascii="仿宋" w:hAnsi="仿宋" w:eastAsia="仿宋" w:cs="仿宋_GB2312"/>
          <w:color w:val="000000" w:themeColor="text1"/>
          <w:kern w:val="0"/>
          <w:sz w:val="24"/>
          <w14:textFill>
            <w14:solidFill>
              <w14:schemeClr w14:val="tx1"/>
            </w14:solidFill>
          </w14:textFill>
        </w:rPr>
        <w:t>机联巷→北翼回风大巷→</w:t>
      </w:r>
      <w:r>
        <w:rPr>
          <w:rFonts w:hint="eastAsia" w:ascii="仿宋" w:hAnsi="仿宋" w:eastAsia="仿宋" w:cs="仿宋_GB2312"/>
          <w:color w:val="000000" w:themeColor="text1"/>
          <w:kern w:val="0"/>
          <w:sz w:val="24"/>
          <w:lang w:val="en-US" w:eastAsia="zh-CN"/>
          <w14:textFill>
            <w14:solidFill>
              <w14:schemeClr w14:val="tx1"/>
            </w14:solidFill>
          </w14:textFill>
        </w:rPr>
        <w:t>中央</w:t>
      </w:r>
      <w:r>
        <w:rPr>
          <w:rFonts w:hint="eastAsia" w:ascii="仿宋" w:hAnsi="仿宋" w:eastAsia="仿宋" w:cs="仿宋_GB2312"/>
          <w:color w:val="000000" w:themeColor="text1"/>
          <w:kern w:val="0"/>
          <w:sz w:val="24"/>
          <w14:textFill>
            <w14:solidFill>
              <w14:schemeClr w14:val="tx1"/>
            </w14:solidFill>
          </w14:textFill>
        </w:rPr>
        <w:t>风井→地面。</w:t>
      </w:r>
    </w:p>
    <w:p>
      <w:pPr>
        <w:pStyle w:val="67"/>
        <w:keepNext w:val="0"/>
        <w:keepLines w:val="0"/>
        <w:pageBreakBefore w:val="0"/>
        <w:kinsoku/>
        <w:wordWrap/>
        <w:overflowPunct/>
        <w:topLinePunct w:val="0"/>
        <w:autoSpaceDE/>
        <w:autoSpaceDN/>
        <w:bidi w:val="0"/>
        <w:adjustRightInd/>
        <w:snapToGrid w:val="0"/>
        <w:spacing w:line="380" w:lineRule="exact"/>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二、工作面回采所需风量计算：</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根据相邻1305工作面3煤实测煤层瓦斯含量，原始煤层瓦斯含量最大值为</w:t>
      </w:r>
      <w:r>
        <w:rPr>
          <w:rFonts w:hint="eastAsia" w:ascii="仿宋" w:hAnsi="仿宋" w:eastAsia="仿宋" w:cs="仿宋_GB2312"/>
          <w:color w:val="000000" w:themeColor="text1"/>
          <w:kern w:val="0"/>
          <w:sz w:val="24"/>
          <w:lang w:val="en-US" w:eastAsia="zh-CN"/>
          <w14:textFill>
            <w14:solidFill>
              <w14:schemeClr w14:val="tx1"/>
            </w14:solidFill>
          </w14:textFill>
        </w:rPr>
        <w:t>1.42</w:t>
      </w:r>
      <w:r>
        <w:rPr>
          <w:rFonts w:hint="eastAsia" w:ascii="仿宋" w:hAnsi="仿宋" w:eastAsia="仿宋" w:cs="仿宋_GB2312"/>
          <w:color w:val="000000" w:themeColor="text1"/>
          <w:kern w:val="0"/>
          <w:sz w:val="24"/>
          <w14:textFill>
            <w14:solidFill>
              <w14:schemeClr w14:val="tx1"/>
            </w14:solidFill>
          </w14:textFill>
        </w:rPr>
        <w:t>m³/t，可解析瓦斯含量为</w:t>
      </w:r>
      <w:r>
        <w:rPr>
          <w:rFonts w:hint="eastAsia" w:ascii="仿宋" w:hAnsi="仿宋" w:eastAsia="仿宋" w:cs="仿宋_GB2312"/>
          <w:color w:val="000000" w:themeColor="text1"/>
          <w:kern w:val="0"/>
          <w:sz w:val="24"/>
          <w:lang w:val="en-US" w:eastAsia="zh-CN"/>
          <w14:textFill>
            <w14:solidFill>
              <w14:schemeClr w14:val="tx1"/>
            </w14:solidFill>
          </w14:textFill>
        </w:rPr>
        <w:t>0.35</w:t>
      </w:r>
      <w:r>
        <w:rPr>
          <w:rFonts w:hint="eastAsia" w:ascii="仿宋" w:hAnsi="仿宋" w:eastAsia="仿宋" w:cs="仿宋_GB2312"/>
          <w:color w:val="000000" w:themeColor="text1"/>
          <w:kern w:val="0"/>
          <w:sz w:val="24"/>
          <w14:textFill>
            <w14:solidFill>
              <w14:schemeClr w14:val="tx1"/>
            </w14:solidFill>
          </w14:textFill>
        </w:rPr>
        <w:t>m³/t。并根据1305工作面生产过程中瓦斯涌出情况，预测1303工作面最大绝对瓦斯涌出量为</w:t>
      </w:r>
      <w:r>
        <w:rPr>
          <w:rFonts w:hint="eastAsia" w:ascii="仿宋" w:hAnsi="仿宋" w:eastAsia="仿宋" w:cs="仿宋_GB2312"/>
          <w:color w:val="000000" w:themeColor="text1"/>
          <w:kern w:val="0"/>
          <w:sz w:val="24"/>
          <w:lang w:val="en-US" w:eastAsia="zh-CN"/>
          <w14:textFill>
            <w14:solidFill>
              <w14:schemeClr w14:val="tx1"/>
            </w14:solidFill>
          </w14:textFill>
        </w:rPr>
        <w:t>11.59</w:t>
      </w:r>
      <w:r>
        <w:rPr>
          <w:rFonts w:hint="eastAsia" w:ascii="仿宋" w:hAnsi="仿宋" w:eastAsia="仿宋" w:cs="仿宋_GB2312"/>
          <w:color w:val="000000" w:themeColor="text1"/>
          <w:kern w:val="0"/>
          <w:sz w:val="24"/>
          <w14:textFill>
            <w14:solidFill>
              <w14:schemeClr w14:val="tx1"/>
            </w14:solidFill>
          </w14:textFill>
        </w:rPr>
        <w:t>m³/min。</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1、割煤瓦斯涌出量</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割煤瓦斯涌出量可根据公式（2-2）计算</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q=K1·K2·Kft·m/Ｍ·(WO-WC)      （2-2）</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式中：q—煤层瓦斯相对涌出量m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K1—围岩、临近层瓦斯涌出系数，全部垮落管理顶板K1取1.3；</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K2—采区内准备巷道预排瓦斯对开采层瓦斯涌出影响系数，按下式计算：</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K2=(L-2h)/L                    </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L—采煤工作面长度，m；</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h—掘进巷道预排瓦斯等值宽度，无烟煤及贫煤 h=10m，瘦煤及焦煤h=14m，其它煤种h=18m；</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K2=(L-2h)/L</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=（180-2*18）/180</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=0.80</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取0.80；Kft—无分层开采，取1；m1—割煤高度；</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Ｍ—开采煤层厚度,取12.3m；W—煤层原始瓦斯含量；</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Wc—煤层残存瓦斯含量；</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q=K1·K2·Kft·m/Ｍ·(W0-Wc)</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=1.3×0.8×1×3.5×（1.42-0.35）/12.3</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=0.32m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2、放煤瓦斯涌出量</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放煤瓦斯涌出量可根据公式（2-2）计算</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q=K1·K2·K3·Kft·m2/Ｍ·(WO-WC)      （2-2）</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式中：</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K3—放落煤体破碎度对放顶煤瓦斯涌出影响系数：</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m—放顶煤高度；</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q=K1·K2·K3·Kft·m2/Ｍ·(W0-WC)</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=1.3×0.8×0.85×1×10.5×（1.42-0.35）/12.3</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=0.81m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3、工作面采空区相对瓦斯涌出量</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q3=qy+qf</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qy=K4（1-K5）(W0-WC)</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式中： </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qy—遗留煤相对瓦斯涌出量，单位为立方米每吨（m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 xml:space="preserve">/t）； </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qf—下分层相对瓦斯涌出量，无分层开采，取０，</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lang w:eastAsia="zh-CN"/>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K4—留煤瓦斯涌出不均衡系数，取K4=1.2</w:t>
      </w:r>
      <w:r>
        <w:rPr>
          <w:rFonts w:hint="eastAsia" w:ascii="仿宋" w:hAnsi="仿宋" w:eastAsia="仿宋" w:cs="仿宋_GB2312"/>
          <w:color w:val="000000" w:themeColor="text1"/>
          <w:kern w:val="0"/>
          <w:sz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K5—综放工作面平均回采率，取93%；  </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qy =K4（1-K5）(W0-WC)</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=1.2×（1-0.93）×（1.42-0.35）</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=0.09m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4、邻近层工作面瓦斯涌出量</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邻近层瓦斯涌出量采用式（2-4）计算。</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q2=(Woi-Wci)·</w:t>
      </w:r>
      <m:oMath>
        <m:box>
          <m:boxPr>
            <m:ctrlPr>
              <w:rPr>
                <w:rFonts w:hint="eastAsia" w:ascii="Cambria Math" w:hAnsi="Cambria Math" w:eastAsia="仿宋" w:cs="仿宋_GB2312"/>
                <w:color w:val="000000" w:themeColor="text1"/>
                <w:kern w:val="0"/>
                <w:sz w:val="24"/>
                <w14:textFill>
                  <w14:solidFill>
                    <w14:schemeClr w14:val="tx1"/>
                  </w14:solidFill>
                </w14:textFill>
              </w:rPr>
            </m:ctrlPr>
          </m:boxPr>
          <m:e>
            <m:argPr>
              <m:argSz m:val="-1"/>
            </m:argPr>
            <m:f>
              <m:fPr>
                <m:ctrlPr>
                  <w:rPr>
                    <w:rFonts w:hint="eastAsia" w:ascii="Cambria Math" w:hAnsi="Cambria Math" w:eastAsia="仿宋" w:cs="仿宋_GB2312"/>
                    <w:color w:val="000000" w:themeColor="text1"/>
                    <w:kern w:val="0"/>
                    <w:sz w:val="24"/>
                    <w14:textFill>
                      <w14:solidFill>
                        <w14:schemeClr w14:val="tx1"/>
                      </w14:solidFill>
                    </w14:textFill>
                  </w:rPr>
                </m:ctrlPr>
              </m:fPr>
              <m:num>
                <m:r>
                  <m:rPr>
                    <m:sty m:val="p"/>
                  </m:rPr>
                  <w:rPr>
                    <w:rFonts w:hint="eastAsia" w:ascii="Cambria Math" w:hAnsi="Cambria Math" w:eastAsia="仿宋" w:cs="仿宋_GB2312"/>
                    <w:color w:val="000000" w:themeColor="text1"/>
                    <w:kern w:val="0"/>
                    <w:sz w:val="24"/>
                    <w14:textFill>
                      <w14:solidFill>
                        <w14:schemeClr w14:val="tx1"/>
                      </w14:solidFill>
                    </w14:textFill>
                  </w:rPr>
                  <m:t>mi</m:t>
                </m:r>
                <m:ctrlPr>
                  <w:rPr>
                    <w:rFonts w:hint="eastAsia" w:ascii="Cambria Math" w:hAnsi="Cambria Math" w:eastAsia="仿宋" w:cs="仿宋_GB2312"/>
                    <w:color w:val="000000" w:themeColor="text1"/>
                    <w:kern w:val="0"/>
                    <w:sz w:val="24"/>
                    <w14:textFill>
                      <w14:solidFill>
                        <w14:schemeClr w14:val="tx1"/>
                      </w14:solidFill>
                    </w14:textFill>
                  </w:rPr>
                </m:ctrlPr>
              </m:num>
              <m:den>
                <m:r>
                  <m:rPr>
                    <m:sty m:val="p"/>
                  </m:rPr>
                  <w:rPr>
                    <w:rFonts w:hint="eastAsia" w:ascii="Cambria Math" w:hAnsi="Cambria Math" w:eastAsia="仿宋" w:cs="仿宋_GB2312"/>
                    <w:color w:val="000000" w:themeColor="text1"/>
                    <w:kern w:val="0"/>
                    <w:sz w:val="24"/>
                    <w14:textFill>
                      <w14:solidFill>
                        <w14:schemeClr w14:val="tx1"/>
                      </w14:solidFill>
                    </w14:textFill>
                  </w:rPr>
                  <m:t>M</m:t>
                </m:r>
                <m:ctrlPr>
                  <w:rPr>
                    <w:rFonts w:hint="eastAsia" w:ascii="Cambria Math" w:hAnsi="Cambria Math" w:eastAsia="仿宋" w:cs="仿宋_GB2312"/>
                    <w:color w:val="000000" w:themeColor="text1"/>
                    <w:kern w:val="0"/>
                    <w:sz w:val="24"/>
                    <w14:textFill>
                      <w14:solidFill>
                        <w14:schemeClr w14:val="tx1"/>
                      </w14:solidFill>
                    </w14:textFill>
                  </w:rPr>
                </m:ctrlPr>
              </m:den>
            </m:f>
            <m:ctrlPr>
              <w:rPr>
                <w:rFonts w:hint="eastAsia" w:ascii="Cambria Math" w:hAnsi="Cambria Math" w:eastAsia="仿宋" w:cs="仿宋_GB2312"/>
                <w:color w:val="000000" w:themeColor="text1"/>
                <w:kern w:val="0"/>
                <w:sz w:val="24"/>
                <w14:textFill>
                  <w14:solidFill>
                    <w14:schemeClr w14:val="tx1"/>
                  </w14:solidFill>
                </w14:textFill>
              </w:rPr>
            </m:ctrlPr>
          </m:e>
        </m:box>
      </m:oMath>
      <w:r>
        <w:rPr>
          <w:rFonts w:hint="eastAsia" w:ascii="仿宋" w:hAnsi="仿宋" w:eastAsia="仿宋" w:cs="仿宋_GB2312"/>
          <w:color w:val="000000" w:themeColor="text1"/>
          <w:kern w:val="0"/>
          <w:sz w:val="24"/>
          <w14:textFill>
            <w14:solidFill>
              <w14:schemeClr w14:val="tx1"/>
            </w14:solidFill>
          </w14:textFill>
        </w:rPr>
        <w:t>·ηi            （2-4）</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式中：q2—邻近层相对瓦斯涌出量，m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mi—第i个邻近层煤层厚度，m；取5m</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M—工作面采高，m；取10.5m</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ηi—第i个邻近层瓦斯排放率，%；</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Woi—第i个邻近层煤层原始瓦斯含量，m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/t；2#瓦斯含量及残存量无实测值，参照开采煤层选取1.42m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Wci—第i个邻近层煤层残存瓦斯含量，m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/t。参照开采煤层选取0.35m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邻近层瓦斯排放率ηi与邻近层至开采层的间距有关，当采高大于4.5m时，ηi按式（2-5）计算。</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ηi=100-0.47</w:t>
      </w:r>
      <m:oMath>
        <m:r>
          <m:rPr>
            <m:sty m:val="p"/>
          </m:rPr>
          <w:rPr>
            <w:rFonts w:hint="eastAsia" w:ascii="Cambria Math" w:hAnsi="Cambria Math" w:eastAsia="仿宋" w:cs="仿宋_GB2312"/>
            <w:color w:val="000000" w:themeColor="text1"/>
            <w:kern w:val="0"/>
            <w:sz w:val="24"/>
            <w14:textFill>
              <w14:solidFill>
                <w14:schemeClr w14:val="tx1"/>
              </w14:solidFill>
            </w14:textFill>
          </w:rPr>
          <m:t>hi/M</m:t>
        </m:r>
      </m:oMath>
      <w:r>
        <w:rPr>
          <w:rFonts w:hint="eastAsia" w:ascii="仿宋" w:hAnsi="仿宋" w:eastAsia="仿宋" w:cs="仿宋_GB2312"/>
          <w:color w:val="000000" w:themeColor="text1"/>
          <w:kern w:val="0"/>
          <w:sz w:val="24"/>
          <w14:textFill>
            <w14:solidFill>
              <w14:schemeClr w14:val="tx1"/>
            </w14:solidFill>
          </w14:textFill>
        </w:rPr>
        <w:t>-84.04</w:t>
      </w:r>
      <m:oMath>
        <m:r>
          <m:rPr>
            <m:sty m:val="p"/>
          </m:rPr>
          <w:rPr>
            <w:rFonts w:hint="eastAsia" w:ascii="Cambria Math" w:hAnsi="Cambria Math" w:eastAsia="仿宋" w:cs="仿宋_GB2312"/>
            <w:color w:val="000000" w:themeColor="text1"/>
            <w:kern w:val="0"/>
            <w:sz w:val="24"/>
            <w14:textFill>
              <w14:solidFill>
                <w14:schemeClr w14:val="tx1"/>
              </w14:solidFill>
            </w14:textFill>
          </w:rPr>
          <m:t>hi/L</m:t>
        </m:r>
      </m:oMath>
      <w:r>
        <w:rPr>
          <w:rFonts w:hint="eastAsia" w:ascii="仿宋" w:hAnsi="仿宋" w:eastAsia="仿宋" w:cs="仿宋_GB2312"/>
          <w:color w:val="000000" w:themeColor="text1"/>
          <w:kern w:val="0"/>
          <w:sz w:val="24"/>
          <w14:textFill>
            <w14:solidFill>
              <w14:schemeClr w14:val="tx1"/>
            </w14:solidFill>
          </w14:textFill>
        </w:rPr>
        <w:t>（2-5）</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hi——第i个邻近层距开采层的距离，m；取32.5m</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M——工作面采高，10.5m；</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L——工作面长度，180m。</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根据公式（2-4）计算可得邻近层瓦斯排放率ηi为0.834;</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根据公式（2-3）计算可得邻近层瓦斯涌出量q2为0.42m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通过以上计算，1303回采工作面相对瓦斯涌出量为1.64m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/t。</w:t>
      </w:r>
    </w:p>
    <w:p>
      <w:pPr>
        <w:keepNext w:val="0"/>
        <w:keepLines w:val="0"/>
        <w:pageBreakBefore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按日产7272t计算，Q=日产量×相对瓦斯涌出量=7272×1.64/1440≈8.28m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/min。考虑3#煤层瓦斯赋存规律且根据已采1305工作面生产过程中瓦斯涌出情况，取瓦斯涌出不均衡系数Kn=1.4，通过计算，1303工作面绝对瓦斯涌出量为11.59m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w:t>
      </w:r>
    </w:p>
    <w:p>
      <w:pPr>
        <w:pStyle w:val="12"/>
        <w:keepNext w:val="0"/>
        <w:keepLines w:val="0"/>
        <w:pageBreakBefore w:val="0"/>
        <w:kinsoku/>
        <w:wordWrap/>
        <w:overflowPunct/>
        <w:topLinePunct w:val="0"/>
        <w:autoSpaceDE/>
        <w:autoSpaceDN/>
        <w:bidi w:val="0"/>
        <w:adjustRightInd/>
        <w:spacing w:after="0" w:line="380" w:lineRule="exact"/>
        <w:ind w:firstLine="0" w:firstLineChars="0"/>
        <w:textAlignment w:val="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3、工作面回采所需风量</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（1）按瓦斯涌出量计算</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Q采=100×K×qCH</w:t>
      </w:r>
      <w:r>
        <w:rPr>
          <w:rFonts w:hint="eastAsia" w:ascii="仿宋" w:hAnsi="仿宋" w:eastAsia="仿宋" w:cs="仿宋_GB2312"/>
          <w:color w:val="000000" w:themeColor="text1"/>
          <w:kern w:val="0"/>
          <w:sz w:val="24"/>
          <w:vertAlign w:val="subscript"/>
          <w14:textFill>
            <w14:solidFill>
              <w14:schemeClr w14:val="tx1"/>
            </w14:solidFill>
          </w14:textFill>
        </w:rPr>
        <w:t>4</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式中：</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K：工作面瓦斯涌出通风不均衡系数；正常生产时连续观测1个月，最大绝对瓦斯涌出量和月平均绝对瓦斯涌出量的比值；1303工作面是1302工作面接替面，根据1302工作面经验，取1.</w:t>
      </w:r>
      <w:r>
        <w:rPr>
          <w:rFonts w:ascii="仿宋" w:hAnsi="仿宋" w:eastAsia="仿宋" w:cs="仿宋_GB2312"/>
          <w:color w:val="000000" w:themeColor="text1"/>
          <w:kern w:val="0"/>
          <w:sz w:val="24"/>
          <w14:textFill>
            <w14:solidFill>
              <w14:schemeClr w14:val="tx1"/>
            </w14:solidFill>
          </w14:textFill>
        </w:rPr>
        <w:t>4</w:t>
      </w:r>
      <w:r>
        <w:rPr>
          <w:rFonts w:hint="eastAsia" w:ascii="仿宋" w:hAnsi="仿宋" w:eastAsia="仿宋" w:cs="仿宋_GB2312"/>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80" w:lineRule="exact"/>
        <w:ind w:left="0" w:leftChars="0" w:firstLine="0" w:firstLineChars="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qCH4：风排瓦斯涌出量；按《陕西省煤矿瓦斯防治十条规定》采煤工作面风排瓦斯量不得超过5.0 m3/min，应扣除瓦斯抽放量进行计算，抽放量</w:t>
      </w:r>
      <w:r>
        <w:rPr>
          <w:rFonts w:hint="eastAsia" w:ascii="仿宋" w:hAnsi="仿宋" w:eastAsia="仿宋" w:cs="仿宋_GB2312"/>
          <w:color w:val="000000" w:themeColor="text1"/>
          <w:kern w:val="0"/>
          <w:sz w:val="24"/>
          <w:lang w:val="en-US" w:eastAsia="zh-CN"/>
          <w14:textFill>
            <w14:solidFill>
              <w14:schemeClr w14:val="tx1"/>
            </w14:solidFill>
          </w14:textFill>
        </w:rPr>
        <w:t>6.59</w:t>
      </w:r>
      <w:r>
        <w:rPr>
          <w:rFonts w:hint="eastAsia" w:ascii="仿宋" w:hAnsi="仿宋" w:eastAsia="仿宋" w:cs="仿宋_GB2312"/>
          <w:color w:val="000000" w:themeColor="text1"/>
          <w:kern w:val="0"/>
          <w:sz w:val="24"/>
          <w14:textFill>
            <w14:solidFill>
              <w14:schemeClr w14:val="tx1"/>
            </w14:solidFill>
          </w14:textFill>
        </w:rPr>
        <w:t>m3/min；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w:t>
      </w:r>
      <w:r>
        <w:rPr>
          <w:rFonts w:ascii="仿宋" w:hAnsi="仿宋" w:eastAsia="仿宋" w:cs="仿宋_GB2312"/>
          <w:color w:val="000000" w:themeColor="text1"/>
          <w:kern w:val="0"/>
          <w:sz w:val="24"/>
          <w14:textFill>
            <w14:solidFill>
              <w14:schemeClr w14:val="tx1"/>
            </w14:solidFill>
          </w14:textFill>
        </w:rPr>
        <w:t>00</w:t>
      </w:r>
      <w:r>
        <w:rPr>
          <w:rFonts w:hint="eastAsia" w:ascii="仿宋" w:hAnsi="仿宋" w:eastAsia="仿宋" w:cs="仿宋_GB2312"/>
          <w:color w:val="000000" w:themeColor="text1"/>
          <w:kern w:val="0"/>
          <w:sz w:val="24"/>
          <w14:textFill>
            <w14:solidFill>
              <w14:schemeClr w14:val="tx1"/>
            </w14:solidFill>
          </w14:textFill>
        </w:rPr>
        <w:t>——按采煤工作面回风流中瓦斯的浓度不应超过</w:t>
      </w:r>
      <w:r>
        <w:rPr>
          <w:rFonts w:ascii="仿宋" w:hAnsi="仿宋" w:eastAsia="仿宋" w:cs="仿宋_GB2312"/>
          <w:color w:val="000000" w:themeColor="text1"/>
          <w:kern w:val="0"/>
          <w:sz w:val="24"/>
          <w14:textFill>
            <w14:solidFill>
              <w14:schemeClr w14:val="tx1"/>
            </w14:solidFill>
          </w14:textFill>
        </w:rPr>
        <w:t>1.0</w:t>
      </w:r>
      <w:r>
        <w:rPr>
          <w:rFonts w:hint="eastAsia" w:ascii="仿宋" w:hAnsi="仿宋" w:eastAsia="仿宋" w:cs="仿宋_GB2312"/>
          <w:color w:val="000000" w:themeColor="text1"/>
          <w:kern w:val="0"/>
          <w:sz w:val="24"/>
          <w14:textFill>
            <w14:solidFill>
              <w14:schemeClr w14:val="tx1"/>
            </w14:solidFill>
          </w14:textFill>
        </w:rPr>
        <w:t>%的换算系数。</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则：Q采=1</w:t>
      </w:r>
      <w:r>
        <w:rPr>
          <w:rFonts w:ascii="仿宋" w:hAnsi="仿宋" w:eastAsia="仿宋" w:cs="仿宋_GB2312"/>
          <w:color w:val="000000" w:themeColor="text1"/>
          <w:kern w:val="0"/>
          <w:sz w:val="24"/>
          <w14:textFill>
            <w14:solidFill>
              <w14:schemeClr w14:val="tx1"/>
            </w14:solidFill>
          </w14:textFill>
        </w:rPr>
        <w:t>00</w:t>
      </w:r>
      <w:r>
        <w:rPr>
          <w:rFonts w:hint="eastAsia" w:ascii="仿宋" w:hAnsi="仿宋" w:eastAsia="仿宋" w:cs="仿宋_GB2312"/>
          <w:color w:val="000000" w:themeColor="text1"/>
          <w:kern w:val="0"/>
          <w:sz w:val="24"/>
          <w14:textFill>
            <w14:solidFill>
              <w14:schemeClr w14:val="tx1"/>
            </w14:solidFill>
          </w14:textFill>
        </w:rPr>
        <w:t>×1.</w:t>
      </w:r>
      <w:r>
        <w:rPr>
          <w:rFonts w:ascii="仿宋" w:hAnsi="仿宋" w:eastAsia="仿宋" w:cs="仿宋_GB2312"/>
          <w:color w:val="000000" w:themeColor="text1"/>
          <w:kern w:val="0"/>
          <w:sz w:val="24"/>
          <w14:textFill>
            <w14:solidFill>
              <w14:schemeClr w14:val="tx1"/>
            </w14:solidFill>
          </w14:textFill>
        </w:rPr>
        <w:t>4</w:t>
      </w:r>
      <w:r>
        <w:rPr>
          <w:rFonts w:hint="eastAsia" w:ascii="仿宋" w:hAnsi="仿宋" w:eastAsia="仿宋" w:cs="仿宋_GB2312"/>
          <w:color w:val="000000" w:themeColor="text1"/>
          <w:kern w:val="0"/>
          <w:sz w:val="24"/>
          <w14:textFill>
            <w14:solidFill>
              <w14:schemeClr w14:val="tx1"/>
            </w14:solidFill>
          </w14:textFill>
        </w:rPr>
        <w:t>×5</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t>
      </w:r>
      <w:r>
        <w:rPr>
          <w:rFonts w:ascii="仿宋" w:hAnsi="仿宋" w:eastAsia="仿宋" w:cs="仿宋_GB2312"/>
          <w:color w:val="000000" w:themeColor="text1"/>
          <w:kern w:val="0"/>
          <w:sz w:val="24"/>
          <w14:textFill>
            <w14:solidFill>
              <w14:schemeClr w14:val="tx1"/>
            </w14:solidFill>
          </w14:textFill>
        </w:rPr>
        <w:t>700</w:t>
      </w:r>
      <w:r>
        <w:rPr>
          <w:rFonts w:hint="eastAsia" w:ascii="仿宋" w:hAnsi="仿宋" w:eastAsia="仿宋" w:cs="仿宋_GB2312"/>
          <w:color w:val="000000" w:themeColor="text1"/>
          <w:kern w:val="0"/>
          <w:sz w:val="24"/>
          <w14:textFill>
            <w14:solidFill>
              <w14:schemeClr w14:val="tx1"/>
            </w14:solidFill>
          </w14:textFill>
        </w:rPr>
        <w:t>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（2）按气象条件计算</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Q采=60×70%×v×S×k</w:t>
      </w:r>
      <w:r>
        <w:rPr>
          <w:rFonts w:hint="eastAsia" w:ascii="仿宋" w:hAnsi="仿宋" w:eastAsia="仿宋" w:cs="仿宋_GB2312"/>
          <w:color w:val="000000" w:themeColor="text1"/>
          <w:kern w:val="0"/>
          <w:sz w:val="24"/>
          <w:vertAlign w:val="subscript"/>
          <w14:textFill>
            <w14:solidFill>
              <w14:schemeClr w14:val="tx1"/>
            </w14:solidFill>
          </w14:textFill>
        </w:rPr>
        <w:t>ch</w:t>
      </w:r>
      <w:r>
        <w:rPr>
          <w:rFonts w:hint="eastAsia" w:ascii="仿宋" w:hAnsi="仿宋" w:eastAsia="仿宋" w:cs="仿宋_GB2312"/>
          <w:color w:val="000000" w:themeColor="text1"/>
          <w:kern w:val="0"/>
          <w:sz w:val="24"/>
          <w14:textFill>
            <w14:solidFill>
              <w14:schemeClr w14:val="tx1"/>
            </w14:solidFill>
          </w14:textFill>
        </w:rPr>
        <w:t>×k</w:t>
      </w:r>
      <w:r>
        <w:rPr>
          <w:rFonts w:hint="eastAsia" w:ascii="仿宋" w:hAnsi="仿宋" w:eastAsia="仿宋" w:cs="仿宋_GB2312"/>
          <w:color w:val="000000" w:themeColor="text1"/>
          <w:kern w:val="0"/>
          <w:sz w:val="24"/>
          <w:vertAlign w:val="subscript"/>
          <w14:textFill>
            <w14:solidFill>
              <w14:schemeClr w14:val="tx1"/>
            </w14:solidFill>
          </w14:textFill>
        </w:rPr>
        <w:t>cl</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式中：</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V——采煤工作面风速，根据实测温度及工作面回采数据，预计工作面进风风流温度在17～23</w:t>
      </w:r>
      <w:r>
        <w:rPr>
          <w:rFonts w:hint="eastAsia" w:ascii="仿宋" w:hAnsi="仿宋" w:eastAsia="仿宋" w:cs="仿宋_GB2312"/>
          <w:color w:val="000000" w:themeColor="text1"/>
          <w:kern w:val="0"/>
          <w:sz w:val="24"/>
          <w:lang w:val="en-US" w:eastAsia="zh-CN"/>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。取1.0m/s；</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k</w:t>
      </w:r>
      <w:r>
        <w:rPr>
          <w:rFonts w:hint="eastAsia" w:ascii="仿宋" w:hAnsi="仿宋" w:eastAsia="仿宋" w:cs="仿宋_GB2312"/>
          <w:color w:val="000000" w:themeColor="text1"/>
          <w:kern w:val="0"/>
          <w:sz w:val="24"/>
          <w:vertAlign w:val="subscript"/>
          <w14:textFill>
            <w14:solidFill>
              <w14:schemeClr w14:val="tx1"/>
            </w14:solidFill>
          </w14:textFill>
        </w:rPr>
        <w:t>ch</w:t>
      </w:r>
      <w:r>
        <w:rPr>
          <w:rFonts w:hint="eastAsia" w:ascii="仿宋" w:hAnsi="仿宋" w:eastAsia="仿宋" w:cs="仿宋_GB2312"/>
          <w:color w:val="000000" w:themeColor="text1"/>
          <w:kern w:val="0"/>
          <w:sz w:val="24"/>
          <w14:textFill>
            <w14:solidFill>
              <w14:schemeClr w14:val="tx1"/>
            </w14:solidFill>
          </w14:textFill>
        </w:rPr>
        <w:t>——采煤工作面采高调整系数，取1.2；</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k</w:t>
      </w:r>
      <w:r>
        <w:rPr>
          <w:rFonts w:hint="eastAsia" w:ascii="仿宋" w:hAnsi="仿宋" w:eastAsia="仿宋" w:cs="仿宋_GB2312"/>
          <w:color w:val="000000" w:themeColor="text1"/>
          <w:kern w:val="0"/>
          <w:sz w:val="24"/>
          <w:vertAlign w:val="subscript"/>
          <w14:textFill>
            <w14:solidFill>
              <w14:schemeClr w14:val="tx1"/>
            </w14:solidFill>
          </w14:textFill>
        </w:rPr>
        <w:t>cl</w:t>
      </w:r>
      <w:r>
        <w:rPr>
          <w:rFonts w:hint="eastAsia" w:ascii="仿宋" w:hAnsi="仿宋" w:eastAsia="仿宋" w:cs="仿宋_GB2312"/>
          <w:color w:val="000000" w:themeColor="text1"/>
          <w:kern w:val="0"/>
          <w:sz w:val="24"/>
          <w14:textFill>
            <w14:solidFill>
              <w14:schemeClr w14:val="tx1"/>
            </w14:solidFill>
          </w14:textFill>
        </w:rPr>
        <w:t>——采煤工作面长度调整系数，取1.2；</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S——采煤工作面平均有效通风断面，按最大和最小控顶有效断面的平均值计算，最大控顶距有效断面为22.68m</w:t>
      </w:r>
      <w:r>
        <w:rPr>
          <w:rFonts w:hint="eastAsia" w:ascii="仿宋" w:hAnsi="仿宋" w:eastAsia="仿宋" w:cs="仿宋_GB2312"/>
          <w:color w:val="000000" w:themeColor="text1"/>
          <w:kern w:val="0"/>
          <w:sz w:val="24"/>
          <w:vertAlign w:val="superscript"/>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，最小控顶距有效断面为19.88m</w:t>
      </w:r>
      <w:r>
        <w:rPr>
          <w:rFonts w:hint="eastAsia" w:ascii="仿宋" w:hAnsi="仿宋" w:eastAsia="仿宋" w:cs="仿宋_GB2312"/>
          <w:color w:val="000000" w:themeColor="text1"/>
          <w:kern w:val="0"/>
          <w:sz w:val="24"/>
          <w:vertAlign w:val="superscript"/>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，平均值为21.28m</w:t>
      </w:r>
      <w:r>
        <w:rPr>
          <w:rFonts w:hint="eastAsia" w:ascii="仿宋" w:hAnsi="仿宋" w:eastAsia="仿宋" w:cs="仿宋_GB2312"/>
          <w:color w:val="000000" w:themeColor="text1"/>
          <w:kern w:val="0"/>
          <w:sz w:val="24"/>
          <w:vertAlign w:val="superscript"/>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则：Q采=60×70%×1.0×21.28×1.2×1.2</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≈1287m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（3）按二氧化碳涌出量计算：</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w:t>
      </w:r>
      <w:r>
        <w:rPr>
          <w:rFonts w:hint="eastAsia" w:ascii="仿宋" w:hAnsi="仿宋" w:eastAsia="仿宋" w:cs="仿宋_GB2312"/>
          <w:color w:val="000000" w:themeColor="text1"/>
          <w:kern w:val="0"/>
          <w:sz w:val="24"/>
          <w:vertAlign w:val="subscript"/>
          <w14:textFill>
            <w14:solidFill>
              <w14:schemeClr w14:val="tx1"/>
            </w14:solidFill>
          </w14:textFill>
        </w:rPr>
        <w:t>cf</w:t>
      </w:r>
      <w:r>
        <w:rPr>
          <w:rFonts w:hint="eastAsia" w:ascii="仿宋" w:hAnsi="仿宋" w:eastAsia="仿宋" w:cs="仿宋_GB2312"/>
          <w:color w:val="000000" w:themeColor="text1"/>
          <w:kern w:val="0"/>
          <w:sz w:val="24"/>
          <w14:textFill>
            <w14:solidFill>
              <w14:schemeClr w14:val="tx1"/>
            </w14:solidFill>
          </w14:textFill>
        </w:rPr>
        <w:t>=67×q</w:t>
      </w:r>
      <w:r>
        <w:rPr>
          <w:rFonts w:hint="eastAsia" w:ascii="仿宋" w:hAnsi="仿宋" w:eastAsia="仿宋" w:cs="仿宋_GB2312"/>
          <w:color w:val="000000" w:themeColor="text1"/>
          <w:kern w:val="0"/>
          <w:sz w:val="24"/>
          <w:vertAlign w:val="subscript"/>
          <w14:textFill>
            <w14:solidFill>
              <w14:schemeClr w14:val="tx1"/>
            </w14:solidFill>
          </w14:textFill>
        </w:rPr>
        <w:t>cc</w:t>
      </w:r>
      <w:r>
        <w:rPr>
          <w:rFonts w:hint="eastAsia" w:ascii="仿宋" w:hAnsi="仿宋" w:eastAsia="仿宋" w:cs="仿宋_GB2312"/>
          <w:color w:val="000000" w:themeColor="text1"/>
          <w:kern w:val="0"/>
          <w:sz w:val="24"/>
          <w14:textFill>
            <w14:solidFill>
              <w14:schemeClr w14:val="tx1"/>
            </w14:solidFill>
          </w14:textFill>
        </w:rPr>
        <w:t>×k</w:t>
      </w:r>
      <w:r>
        <w:rPr>
          <w:rFonts w:hint="eastAsia" w:ascii="仿宋" w:hAnsi="仿宋" w:eastAsia="仿宋" w:cs="仿宋_GB2312"/>
          <w:color w:val="000000" w:themeColor="text1"/>
          <w:kern w:val="0"/>
          <w:sz w:val="24"/>
          <w:vertAlign w:val="subscript"/>
          <w14:textFill>
            <w14:solidFill>
              <w14:schemeClr w14:val="tx1"/>
            </w14:solidFill>
          </w14:textFill>
        </w:rPr>
        <w:t>cc</w:t>
      </w:r>
      <w:r>
        <w:rPr>
          <w:rFonts w:hint="eastAsia" w:ascii="仿宋" w:hAnsi="仿宋" w:eastAsia="仿宋" w:cs="仿宋_GB2312"/>
          <w:color w:val="000000" w:themeColor="text1"/>
          <w:kern w:val="0"/>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m³</w:t>
      </w:r>
      <w:r>
        <w:rPr>
          <w:rFonts w:hint="eastAsia" w:ascii="仿宋" w:hAnsi="仿宋" w:eastAsia="仿宋" w:cs="仿宋_GB2312"/>
          <w:color w:val="000000" w:themeColor="text1"/>
          <w:kern w:val="0"/>
          <w:sz w:val="24"/>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式中：</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w:t>
      </w:r>
      <w:r>
        <w:rPr>
          <w:rFonts w:hint="eastAsia" w:ascii="仿宋" w:hAnsi="仿宋" w:eastAsia="仿宋" w:cs="仿宋_GB2312"/>
          <w:color w:val="000000" w:themeColor="text1"/>
          <w:kern w:val="0"/>
          <w:sz w:val="24"/>
          <w:vertAlign w:val="subscript"/>
          <w14:textFill>
            <w14:solidFill>
              <w14:schemeClr w14:val="tx1"/>
            </w14:solidFill>
          </w14:textFill>
        </w:rPr>
        <w:t>cc</w:t>
      </w:r>
      <w:r>
        <w:rPr>
          <w:rFonts w:hint="eastAsia" w:ascii="仿宋" w:hAnsi="仿宋" w:eastAsia="仿宋" w:cs="仿宋_GB2312"/>
          <w:color w:val="000000" w:themeColor="text1"/>
          <w:kern w:val="0"/>
          <w:sz w:val="24"/>
          <w14:textFill>
            <w14:solidFill>
              <w14:schemeClr w14:val="tx1"/>
            </w14:solidFill>
          </w14:textFill>
        </w:rPr>
        <w:t>——采煤工作面回风巷风流中平均绝对二氧化碳涌出量，m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/min，按</w:t>
      </w:r>
      <w:r>
        <w:rPr>
          <w:rFonts w:hint="eastAsia" w:ascii="仿宋" w:hAnsi="仿宋" w:eastAsia="仿宋" w:cs="仿宋_GB2312"/>
          <w:color w:val="000000" w:themeColor="text1"/>
          <w:kern w:val="0"/>
          <w:sz w:val="24"/>
          <w:lang w:val="en-US" w:eastAsia="zh-CN"/>
          <w14:textFill>
            <w14:solidFill>
              <w14:schemeClr w14:val="tx1"/>
            </w14:solidFill>
          </w14:textFill>
        </w:rPr>
        <w:t>1600</w:t>
      </w:r>
      <w:r>
        <w:rPr>
          <w:rFonts w:hint="eastAsia" w:ascii="仿宋" w:hAnsi="仿宋" w:eastAsia="仿宋" w:cs="仿宋_GB2312"/>
          <w:color w:val="000000" w:themeColor="text1"/>
          <w:kern w:val="0"/>
          <w:sz w:val="24"/>
          <w14:textFill>
            <w14:solidFill>
              <w14:schemeClr w14:val="tx1"/>
            </w14:solidFill>
          </w14:textFill>
        </w:rPr>
        <w:t>×0.02%计算；</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k</w:t>
      </w:r>
      <w:r>
        <w:rPr>
          <w:rFonts w:hint="eastAsia" w:ascii="仿宋" w:hAnsi="仿宋" w:eastAsia="仿宋" w:cs="仿宋_GB2312"/>
          <w:color w:val="000000" w:themeColor="text1"/>
          <w:kern w:val="0"/>
          <w:sz w:val="24"/>
          <w:vertAlign w:val="subscript"/>
          <w14:textFill>
            <w14:solidFill>
              <w14:schemeClr w14:val="tx1"/>
            </w14:solidFill>
          </w14:textFill>
        </w:rPr>
        <w:t>cc</w:t>
      </w:r>
      <w:r>
        <w:rPr>
          <w:rFonts w:hint="eastAsia" w:ascii="仿宋" w:hAnsi="仿宋" w:eastAsia="仿宋" w:cs="仿宋_GB2312"/>
          <w:color w:val="000000" w:themeColor="text1"/>
          <w:kern w:val="0"/>
          <w:sz w:val="24"/>
          <w14:textFill>
            <w14:solidFill>
              <w14:schemeClr w14:val="tx1"/>
            </w14:solidFill>
          </w14:textFill>
        </w:rPr>
        <w:t>——采煤工作面二氧化碳涌出不均匀的备用风量系数，正常条件下，连续观测1个月，日最大绝对二氧化碳涌出量与月平均日绝对二氧化碳涌出量的比值，取1.5；</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67——按采煤工作面回风流中二氧化碳的浓度不应超过 1.5％的换算系数。</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w:t>
      </w:r>
      <w:r>
        <w:rPr>
          <w:rFonts w:hint="eastAsia" w:ascii="仿宋" w:hAnsi="仿宋" w:eastAsia="仿宋" w:cs="仿宋_GB2312"/>
          <w:color w:val="000000" w:themeColor="text1"/>
          <w:kern w:val="0"/>
          <w:sz w:val="24"/>
          <w:vertAlign w:val="subscript"/>
          <w14:textFill>
            <w14:solidFill>
              <w14:schemeClr w14:val="tx1"/>
            </w14:solidFill>
          </w14:textFill>
        </w:rPr>
        <w:t>cf</w:t>
      </w:r>
      <w:r>
        <w:rPr>
          <w:rFonts w:hint="eastAsia" w:ascii="仿宋" w:hAnsi="仿宋" w:eastAsia="仿宋" w:cs="仿宋_GB2312"/>
          <w:color w:val="000000" w:themeColor="text1"/>
          <w:kern w:val="0"/>
          <w:sz w:val="24"/>
          <w14:textFill>
            <w14:solidFill>
              <w14:schemeClr w14:val="tx1"/>
            </w14:solidFill>
          </w14:textFill>
        </w:rPr>
        <w:t>=67×</w:t>
      </w:r>
      <w:r>
        <w:rPr>
          <w:rFonts w:hint="eastAsia" w:ascii="仿宋" w:hAnsi="仿宋" w:eastAsia="仿宋" w:cs="仿宋_GB2312"/>
          <w:color w:val="000000" w:themeColor="text1"/>
          <w:kern w:val="0"/>
          <w:sz w:val="24"/>
          <w:lang w:val="en-US" w:eastAsia="zh-CN"/>
          <w14:textFill>
            <w14:solidFill>
              <w14:schemeClr w14:val="tx1"/>
            </w14:solidFill>
          </w14:textFill>
        </w:rPr>
        <w:t>1600</w:t>
      </w:r>
      <w:r>
        <w:rPr>
          <w:rFonts w:hint="eastAsia" w:ascii="仿宋" w:hAnsi="仿宋" w:eastAsia="仿宋" w:cs="仿宋_GB2312"/>
          <w:color w:val="000000" w:themeColor="text1"/>
          <w:kern w:val="0"/>
          <w:sz w:val="24"/>
          <w14:textFill>
            <w14:solidFill>
              <w14:schemeClr w14:val="tx1"/>
            </w14:solidFill>
          </w14:textFill>
        </w:rPr>
        <w:t>×0</w:t>
      </w:r>
      <w:r>
        <w:rPr>
          <w:rFonts w:ascii="仿宋" w:hAnsi="仿宋" w:eastAsia="仿宋" w:cs="仿宋_GB2312"/>
          <w:color w:val="000000" w:themeColor="text1"/>
          <w:kern w:val="0"/>
          <w:sz w:val="24"/>
          <w14:textFill>
            <w14:solidFill>
              <w14:schemeClr w14:val="tx1"/>
            </w14:solidFill>
          </w14:textFill>
        </w:rPr>
        <w:t>.02%</w:t>
      </w:r>
      <w:r>
        <w:rPr>
          <w:rFonts w:hint="eastAsia" w:ascii="仿宋" w:hAnsi="仿宋" w:eastAsia="仿宋" w:cs="仿宋_GB2312"/>
          <w:color w:val="000000" w:themeColor="text1"/>
          <w:kern w:val="0"/>
          <w:sz w:val="24"/>
          <w14:textFill>
            <w14:solidFill>
              <w14:schemeClr w14:val="tx1"/>
            </w14:solidFill>
          </w14:textFill>
        </w:rPr>
        <w:t>×</w:t>
      </w:r>
      <w:r>
        <w:rPr>
          <w:rFonts w:ascii="仿宋" w:hAnsi="仿宋" w:eastAsia="仿宋" w:cs="仿宋_GB2312"/>
          <w:color w:val="000000" w:themeColor="text1"/>
          <w:kern w:val="0"/>
          <w:sz w:val="24"/>
          <w14:textFill>
            <w14:solidFill>
              <w14:schemeClr w14:val="tx1"/>
            </w14:solidFill>
          </w14:textFill>
        </w:rPr>
        <w:t>1.5</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t>
      </w:r>
      <w:r>
        <w:rPr>
          <w:rFonts w:hint="eastAsia" w:ascii="仿宋" w:hAnsi="仿宋" w:eastAsia="仿宋" w:cs="仿宋_GB2312"/>
          <w:color w:val="000000" w:themeColor="text1"/>
          <w:kern w:val="0"/>
          <w:sz w:val="24"/>
          <w:lang w:val="en-US" w:eastAsia="zh-CN"/>
          <w14:textFill>
            <w14:solidFill>
              <w14:schemeClr w14:val="tx1"/>
            </w14:solidFill>
          </w14:textFill>
        </w:rPr>
        <w:t>32.16</w:t>
      </w:r>
      <w:r>
        <w:rPr>
          <w:rFonts w:hint="eastAsia" w:ascii="仿宋" w:hAnsi="仿宋" w:eastAsia="仿宋" w:cs="仿宋_GB2312"/>
          <w:color w:val="000000" w:themeColor="text1"/>
          <w:kern w:val="0"/>
          <w:sz w:val="24"/>
          <w14:textFill>
            <w14:solidFill>
              <w14:schemeClr w14:val="tx1"/>
            </w14:solidFill>
          </w14:textFill>
        </w:rPr>
        <w:t>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t>
      </w:r>
      <w:r>
        <w:rPr>
          <w:rFonts w:ascii="仿宋" w:hAnsi="仿宋" w:eastAsia="仿宋" w:cs="仿宋_GB2312"/>
          <w:color w:val="000000" w:themeColor="text1"/>
          <w:kern w:val="0"/>
          <w:sz w:val="24"/>
          <w14:textFill>
            <w14:solidFill>
              <w14:schemeClr w14:val="tx1"/>
            </w14:solidFill>
          </w14:textFill>
        </w:rPr>
        <w:t>4</w:t>
      </w:r>
      <w:r>
        <w:rPr>
          <w:rFonts w:hint="eastAsia" w:ascii="仿宋" w:hAnsi="仿宋" w:eastAsia="仿宋" w:cs="仿宋_GB2312"/>
          <w:color w:val="000000" w:themeColor="text1"/>
          <w:kern w:val="0"/>
          <w:sz w:val="24"/>
          <w14:textFill>
            <w14:solidFill>
              <w14:schemeClr w14:val="tx1"/>
            </w14:solidFill>
          </w14:textFill>
        </w:rPr>
        <w:t>）按人数计算</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Q=4N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N：工作面最多人数，交接班期间，取65</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则：Q=4×65=260m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 xml:space="preserve">/min </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t>
      </w:r>
      <w:r>
        <w:rPr>
          <w:rFonts w:ascii="仿宋" w:hAnsi="仿宋" w:eastAsia="仿宋" w:cs="仿宋_GB2312"/>
          <w:color w:val="000000" w:themeColor="text1"/>
          <w:kern w:val="0"/>
          <w:sz w:val="24"/>
          <w14:textFill>
            <w14:solidFill>
              <w14:schemeClr w14:val="tx1"/>
            </w14:solidFill>
          </w14:textFill>
        </w:rPr>
        <w:t>5</w:t>
      </w:r>
      <w:r>
        <w:rPr>
          <w:rFonts w:hint="eastAsia" w:ascii="仿宋" w:hAnsi="仿宋" w:eastAsia="仿宋" w:cs="仿宋_GB2312"/>
          <w:color w:val="000000" w:themeColor="text1"/>
          <w:kern w:val="0"/>
          <w:sz w:val="24"/>
          <w14:textFill>
            <w14:solidFill>
              <w14:schemeClr w14:val="tx1"/>
            </w14:solidFill>
          </w14:textFill>
        </w:rPr>
        <w:t>）按炸药量计算：Q=10A</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式中  A—采煤工作面一次爆破所用的最大炸药量，kg；</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10—每千克三级煤矿许用炸药需风量，m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则：Q=10×</w:t>
      </w:r>
      <w:r>
        <w:rPr>
          <w:rFonts w:ascii="仿宋" w:hAnsi="仿宋" w:eastAsia="仿宋" w:cs="仿宋_GB2312"/>
          <w:color w:val="000000" w:themeColor="text1"/>
          <w:kern w:val="0"/>
          <w:sz w:val="24"/>
          <w14:textFill>
            <w14:solidFill>
              <w14:schemeClr w14:val="tx1"/>
            </w14:solidFill>
          </w14:textFill>
        </w:rPr>
        <w:t>6</w:t>
      </w:r>
      <w:r>
        <w:rPr>
          <w:rFonts w:hint="eastAsia" w:ascii="仿宋" w:hAnsi="仿宋" w:eastAsia="仿宋" w:cs="仿宋_GB2312"/>
          <w:color w:val="000000" w:themeColor="text1"/>
          <w:kern w:val="0"/>
          <w:sz w:val="24"/>
          <w14:textFill>
            <w14:solidFill>
              <w14:schemeClr w14:val="tx1"/>
            </w14:solidFill>
          </w14:textFill>
        </w:rPr>
        <w:t>0=</w:t>
      </w:r>
      <w:r>
        <w:rPr>
          <w:rFonts w:ascii="仿宋" w:hAnsi="仿宋" w:eastAsia="仿宋" w:cs="仿宋_GB2312"/>
          <w:color w:val="000000" w:themeColor="text1"/>
          <w:kern w:val="0"/>
          <w:sz w:val="24"/>
          <w14:textFill>
            <w14:solidFill>
              <w14:schemeClr w14:val="tx1"/>
            </w14:solidFill>
          </w14:textFill>
        </w:rPr>
        <w:t>6</w:t>
      </w:r>
      <w:r>
        <w:rPr>
          <w:rFonts w:hint="eastAsia" w:ascii="仿宋" w:hAnsi="仿宋" w:eastAsia="仿宋" w:cs="仿宋_GB2312"/>
          <w:color w:val="000000" w:themeColor="text1"/>
          <w:kern w:val="0"/>
          <w:sz w:val="24"/>
          <w14:textFill>
            <w14:solidFill>
              <w14:schemeClr w14:val="tx1"/>
            </w14:solidFill>
          </w14:textFill>
        </w:rPr>
        <w:t>00m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 xml:space="preserve">/min </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t>
      </w:r>
      <w:r>
        <w:rPr>
          <w:rFonts w:ascii="仿宋" w:hAnsi="仿宋" w:eastAsia="仿宋" w:cs="仿宋_GB2312"/>
          <w:color w:val="000000" w:themeColor="text1"/>
          <w:kern w:val="0"/>
          <w:sz w:val="24"/>
          <w14:textFill>
            <w14:solidFill>
              <w14:schemeClr w14:val="tx1"/>
            </w14:solidFill>
          </w14:textFill>
        </w:rPr>
        <w:t>6</w:t>
      </w:r>
      <w:r>
        <w:rPr>
          <w:rFonts w:hint="eastAsia" w:ascii="仿宋" w:hAnsi="仿宋" w:eastAsia="仿宋" w:cs="仿宋_GB2312"/>
          <w:color w:val="000000" w:themeColor="text1"/>
          <w:kern w:val="0"/>
          <w:sz w:val="24"/>
          <w14:textFill>
            <w14:solidFill>
              <w14:schemeClr w14:val="tx1"/>
            </w14:solidFill>
          </w14:textFill>
        </w:rPr>
        <w:t>）确定工作面配风量：根据以上计算取最大值,工作面风量</w:t>
      </w:r>
      <w:r>
        <w:rPr>
          <w:rFonts w:hint="eastAsia" w:ascii="仿宋" w:hAnsi="仿宋" w:eastAsia="仿宋" w:cs="宋体"/>
          <w:color w:val="000000" w:themeColor="text1"/>
          <w:sz w:val="24"/>
          <w14:textFill>
            <w14:solidFill>
              <w14:schemeClr w14:val="tx1"/>
            </w14:solidFill>
          </w14:textFill>
        </w:rPr>
        <w:t>为1287m</w:t>
      </w:r>
      <w:r>
        <w:rPr>
          <w:rFonts w:hint="eastAsia" w:ascii="仿宋" w:hAnsi="仿宋" w:eastAsia="仿宋" w:cs="宋体"/>
          <w:color w:val="000000" w:themeColor="text1"/>
          <w:sz w:val="24"/>
          <w:vertAlign w:val="superscript"/>
          <w14:textFill>
            <w14:solidFill>
              <w14:schemeClr w14:val="tx1"/>
            </w14:solidFill>
          </w14:textFill>
        </w:rPr>
        <w:t>3</w:t>
      </w:r>
      <w:r>
        <w:rPr>
          <w:rFonts w:hint="eastAsia" w:ascii="仿宋" w:hAnsi="仿宋" w:eastAsia="仿宋" w:cs="宋体"/>
          <w:color w:val="000000" w:themeColor="text1"/>
          <w:sz w:val="24"/>
          <w14:textFill>
            <w14:solidFill>
              <w14:schemeClr w14:val="tx1"/>
            </w14:solidFill>
          </w14:textFill>
        </w:rPr>
        <w:t>/min</w:t>
      </w:r>
      <w:r>
        <w:rPr>
          <w:rFonts w:hint="eastAsia" w:ascii="仿宋" w:hAnsi="仿宋" w:eastAsia="仿宋" w:cs="仿宋_GB2312"/>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t>
      </w:r>
      <w:r>
        <w:rPr>
          <w:rFonts w:ascii="仿宋" w:hAnsi="仿宋" w:eastAsia="仿宋" w:cs="仿宋_GB2312"/>
          <w:color w:val="000000" w:themeColor="text1"/>
          <w:kern w:val="0"/>
          <w:sz w:val="24"/>
          <w14:textFill>
            <w14:solidFill>
              <w14:schemeClr w14:val="tx1"/>
            </w14:solidFill>
          </w14:textFill>
        </w:rPr>
        <w:t>7</w:t>
      </w:r>
      <w:r>
        <w:rPr>
          <w:rFonts w:hint="eastAsia" w:ascii="仿宋" w:hAnsi="仿宋" w:eastAsia="仿宋" w:cs="仿宋_GB2312"/>
          <w:color w:val="000000" w:themeColor="text1"/>
          <w:kern w:val="0"/>
          <w:sz w:val="24"/>
          <w14:textFill>
            <w14:solidFill>
              <w14:schemeClr w14:val="tx1"/>
            </w14:solidFill>
          </w14:textFill>
        </w:rPr>
        <w:t>）风速校验</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①验算最小风量：</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Qcf≥60×0.25S</w:t>
      </w:r>
      <w:r>
        <w:rPr>
          <w:rFonts w:hint="eastAsia" w:ascii="仿宋" w:hAnsi="仿宋" w:eastAsia="仿宋" w:cs="仿宋_GB2312"/>
          <w:color w:val="000000" w:themeColor="text1"/>
          <w:kern w:val="0"/>
          <w:sz w:val="24"/>
          <w:vertAlign w:val="subscript"/>
          <w14:textFill>
            <w14:solidFill>
              <w14:schemeClr w14:val="tx1"/>
            </w14:solidFill>
          </w14:textFill>
        </w:rPr>
        <w:t>cb</w:t>
      </w:r>
      <w:r>
        <w:rPr>
          <w:rFonts w:hint="eastAsia" w:ascii="仿宋" w:hAnsi="仿宋" w:eastAsia="仿宋" w:cs="仿宋_GB2312"/>
          <w:color w:val="000000" w:themeColor="text1"/>
          <w:kern w:val="0"/>
          <w:sz w:val="24"/>
          <w14:textFill>
            <w14:solidFill>
              <w14:schemeClr w14:val="tx1"/>
            </w14:solidFill>
          </w14:textFill>
        </w:rPr>
        <w:t>=15×15.88=238.2m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vertAlign w:val="superscript"/>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S</w:t>
      </w:r>
      <w:r>
        <w:rPr>
          <w:rFonts w:hint="eastAsia" w:ascii="仿宋" w:hAnsi="仿宋" w:eastAsia="仿宋" w:cs="仿宋_GB2312"/>
          <w:color w:val="000000" w:themeColor="text1"/>
          <w:kern w:val="0"/>
          <w:sz w:val="24"/>
          <w:vertAlign w:val="subscript"/>
          <w14:textFill>
            <w14:solidFill>
              <w14:schemeClr w14:val="tx1"/>
            </w14:solidFill>
          </w14:textFill>
        </w:rPr>
        <w:t>cb</w:t>
      </w:r>
      <w:r>
        <w:rPr>
          <w:rFonts w:hint="eastAsia" w:ascii="仿宋" w:hAnsi="仿宋" w:eastAsia="仿宋" w:cs="仿宋_GB2312"/>
          <w:color w:val="000000" w:themeColor="text1"/>
          <w:kern w:val="0"/>
          <w:sz w:val="24"/>
          <w14:textFill>
            <w14:solidFill>
              <w14:schemeClr w14:val="tx1"/>
            </w14:solidFill>
          </w14:textFill>
        </w:rPr>
        <w:t xml:space="preserve"> =l</w:t>
      </w:r>
      <w:r>
        <w:rPr>
          <w:rFonts w:hint="eastAsia" w:ascii="仿宋" w:hAnsi="仿宋" w:eastAsia="仿宋" w:cs="仿宋_GB2312"/>
          <w:color w:val="000000" w:themeColor="text1"/>
          <w:kern w:val="0"/>
          <w:sz w:val="24"/>
          <w:vertAlign w:val="subscript"/>
          <w14:textFill>
            <w14:solidFill>
              <w14:schemeClr w14:val="tx1"/>
            </w14:solidFill>
          </w14:textFill>
        </w:rPr>
        <w:t>cb</w:t>
      </w:r>
      <w:r>
        <w:rPr>
          <w:rFonts w:hint="eastAsia" w:ascii="仿宋" w:hAnsi="仿宋" w:eastAsia="仿宋" w:cs="仿宋_GB2312"/>
          <w:color w:val="000000" w:themeColor="text1"/>
          <w:kern w:val="0"/>
          <w:sz w:val="24"/>
          <w14:textFill>
            <w14:solidFill>
              <w14:schemeClr w14:val="tx1"/>
            </w14:solidFill>
          </w14:textFill>
        </w:rPr>
        <w:t>×h</w:t>
      </w:r>
      <w:r>
        <w:rPr>
          <w:rFonts w:hint="eastAsia" w:ascii="仿宋" w:hAnsi="仿宋" w:eastAsia="仿宋" w:cs="仿宋_GB2312"/>
          <w:color w:val="000000" w:themeColor="text1"/>
          <w:kern w:val="0"/>
          <w:sz w:val="24"/>
          <w:vertAlign w:val="subscript"/>
          <w14:textFill>
            <w14:solidFill>
              <w14:schemeClr w14:val="tx1"/>
            </w14:solidFill>
          </w14:textFill>
        </w:rPr>
        <w:t>cf</w:t>
      </w:r>
      <w:r>
        <w:rPr>
          <w:rFonts w:hint="eastAsia" w:ascii="仿宋" w:hAnsi="仿宋" w:eastAsia="仿宋" w:cs="仿宋_GB2312"/>
          <w:color w:val="000000" w:themeColor="text1"/>
          <w:kern w:val="0"/>
          <w:sz w:val="24"/>
          <w14:textFill>
            <w14:solidFill>
              <w14:schemeClr w14:val="tx1"/>
            </w14:solidFill>
          </w14:textFill>
        </w:rPr>
        <w:t>×70%=6.48×3.5×0.7≈15.88m</w:t>
      </w:r>
      <w:r>
        <w:rPr>
          <w:rFonts w:hint="eastAsia" w:ascii="仿宋" w:hAnsi="仿宋" w:eastAsia="仿宋" w:cs="仿宋_GB2312"/>
          <w:color w:val="000000" w:themeColor="text1"/>
          <w:kern w:val="0"/>
          <w:sz w:val="24"/>
          <w:vertAlign w:val="superscript"/>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②验算最大风量：</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Qcf≤60×4.0S</w:t>
      </w:r>
      <w:r>
        <w:rPr>
          <w:rFonts w:hint="eastAsia" w:ascii="仿宋" w:hAnsi="仿宋" w:eastAsia="仿宋" w:cs="仿宋_GB2312"/>
          <w:color w:val="000000" w:themeColor="text1"/>
          <w:kern w:val="0"/>
          <w:sz w:val="24"/>
          <w:vertAlign w:val="subscript"/>
          <w14:textFill>
            <w14:solidFill>
              <w14:schemeClr w14:val="tx1"/>
            </w14:solidFill>
          </w14:textFill>
        </w:rPr>
        <w:t>cs</w:t>
      </w:r>
      <w:r>
        <w:rPr>
          <w:rFonts w:hint="eastAsia" w:ascii="仿宋" w:hAnsi="仿宋" w:eastAsia="仿宋" w:cs="仿宋_GB2312"/>
          <w:color w:val="000000" w:themeColor="text1"/>
          <w:kern w:val="0"/>
          <w:sz w:val="24"/>
          <w14:textFill>
            <w14:solidFill>
              <w14:schemeClr w14:val="tx1"/>
            </w14:solidFill>
          </w14:textFill>
        </w:rPr>
        <w:t>=240×13.92=3340.8m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S</w:t>
      </w:r>
      <w:r>
        <w:rPr>
          <w:rFonts w:hint="eastAsia" w:ascii="仿宋" w:hAnsi="仿宋" w:eastAsia="仿宋" w:cs="仿宋_GB2312"/>
          <w:color w:val="000000" w:themeColor="text1"/>
          <w:kern w:val="0"/>
          <w:sz w:val="24"/>
          <w:vertAlign w:val="subscript"/>
          <w14:textFill>
            <w14:solidFill>
              <w14:schemeClr w14:val="tx1"/>
            </w14:solidFill>
          </w14:textFill>
        </w:rPr>
        <w:t>cs</w:t>
      </w:r>
      <w:r>
        <w:rPr>
          <w:rFonts w:hint="eastAsia" w:ascii="仿宋" w:hAnsi="仿宋" w:eastAsia="仿宋" w:cs="仿宋_GB2312"/>
          <w:color w:val="000000" w:themeColor="text1"/>
          <w:kern w:val="0"/>
          <w:sz w:val="24"/>
          <w14:textFill>
            <w14:solidFill>
              <w14:schemeClr w14:val="tx1"/>
            </w14:solidFill>
          </w14:textFill>
        </w:rPr>
        <w:t>=l</w:t>
      </w:r>
      <w:r>
        <w:rPr>
          <w:rFonts w:hint="eastAsia" w:ascii="仿宋" w:hAnsi="仿宋" w:eastAsia="仿宋" w:cs="仿宋_GB2312"/>
          <w:color w:val="000000" w:themeColor="text1"/>
          <w:kern w:val="0"/>
          <w:sz w:val="24"/>
          <w:vertAlign w:val="subscript"/>
          <w14:textFill>
            <w14:solidFill>
              <w14:schemeClr w14:val="tx1"/>
            </w14:solidFill>
          </w14:textFill>
        </w:rPr>
        <w:t>cs</w:t>
      </w:r>
      <w:r>
        <w:rPr>
          <w:rFonts w:hint="eastAsia" w:ascii="仿宋" w:hAnsi="仿宋" w:eastAsia="仿宋" w:cs="仿宋_GB2312"/>
          <w:color w:val="000000" w:themeColor="text1"/>
          <w:kern w:val="0"/>
          <w:sz w:val="24"/>
          <w14:textFill>
            <w14:solidFill>
              <w14:schemeClr w14:val="tx1"/>
            </w14:solidFill>
          </w14:textFill>
        </w:rPr>
        <w:t>×h</w:t>
      </w:r>
      <w:r>
        <w:rPr>
          <w:rFonts w:hint="eastAsia" w:ascii="仿宋" w:hAnsi="仿宋" w:eastAsia="仿宋" w:cs="仿宋_GB2312"/>
          <w:color w:val="000000" w:themeColor="text1"/>
          <w:kern w:val="0"/>
          <w:sz w:val="24"/>
          <w:vertAlign w:val="subscript"/>
          <w14:textFill>
            <w14:solidFill>
              <w14:schemeClr w14:val="tx1"/>
            </w14:solidFill>
          </w14:textFill>
        </w:rPr>
        <w:t>cf</w:t>
      </w:r>
      <w:r>
        <w:rPr>
          <w:rFonts w:hint="eastAsia" w:ascii="仿宋" w:hAnsi="仿宋" w:eastAsia="仿宋" w:cs="仿宋_GB2312"/>
          <w:color w:val="000000" w:themeColor="text1"/>
          <w:kern w:val="0"/>
          <w:sz w:val="24"/>
          <w14:textFill>
            <w14:solidFill>
              <w14:schemeClr w14:val="tx1"/>
            </w14:solidFill>
          </w14:textFill>
        </w:rPr>
        <w:t>×70%=5.68×3.5×0.7≈13.92m</w:t>
      </w:r>
      <w:r>
        <w:rPr>
          <w:rFonts w:hint="eastAsia" w:ascii="仿宋" w:hAnsi="仿宋" w:eastAsia="仿宋" w:cs="仿宋_GB2312"/>
          <w:color w:val="000000" w:themeColor="text1"/>
          <w:kern w:val="0"/>
          <w:sz w:val="24"/>
          <w:vertAlign w:val="superscript"/>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③综合机械化采煤工作面，在采取煤层注水和采煤机喷雾降尘等措施后，验算最大风量：</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Qcf≤60×5.0S</w:t>
      </w:r>
      <w:r>
        <w:rPr>
          <w:rFonts w:hint="eastAsia" w:ascii="仿宋" w:hAnsi="仿宋" w:eastAsia="仿宋" w:cs="仿宋_GB2312"/>
          <w:color w:val="000000" w:themeColor="text1"/>
          <w:kern w:val="0"/>
          <w:sz w:val="24"/>
          <w:vertAlign w:val="subscript"/>
          <w14:textFill>
            <w14:solidFill>
              <w14:schemeClr w14:val="tx1"/>
            </w14:solidFill>
          </w14:textFill>
        </w:rPr>
        <w:t>cs</w:t>
      </w:r>
      <w:r>
        <w:rPr>
          <w:rFonts w:hint="eastAsia" w:ascii="仿宋" w:hAnsi="仿宋" w:eastAsia="仿宋" w:cs="仿宋_GB2312"/>
          <w:color w:val="000000" w:themeColor="text1"/>
          <w:kern w:val="0"/>
          <w:sz w:val="24"/>
          <w14:textFill>
            <w14:solidFill>
              <w14:schemeClr w14:val="tx1"/>
            </w14:solidFill>
          </w14:textFill>
        </w:rPr>
        <w:t>=300×13.92=4176 m</w:t>
      </w:r>
      <w:r>
        <w:rPr>
          <w:rFonts w:hint="eastAsia" w:ascii="仿宋" w:hAnsi="仿宋" w:eastAsia="仿宋" w:cs="仿宋_GB2312"/>
          <w:color w:val="000000" w:themeColor="text1"/>
          <w:kern w:val="0"/>
          <w:sz w:val="24"/>
          <w:vertAlign w:val="superscript"/>
          <w14:textFill>
            <w14:solidFill>
              <w14:schemeClr w14:val="tx1"/>
            </w14:solidFill>
          </w14:textFill>
        </w:rPr>
        <w:t>3</w:t>
      </w:r>
      <w:r>
        <w:rPr>
          <w:rFonts w:hint="eastAsia" w:ascii="仿宋" w:hAnsi="仿宋" w:eastAsia="仿宋" w:cs="仿宋_GB2312"/>
          <w:color w:val="000000" w:themeColor="text1"/>
          <w:kern w:val="0"/>
          <w:sz w:val="24"/>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式中  S</w:t>
      </w:r>
      <w:r>
        <w:rPr>
          <w:rFonts w:hint="eastAsia" w:ascii="仿宋" w:hAnsi="仿宋" w:eastAsia="仿宋" w:cs="仿宋_GB2312"/>
          <w:color w:val="000000" w:themeColor="text1"/>
          <w:kern w:val="0"/>
          <w:sz w:val="24"/>
          <w:vertAlign w:val="subscript"/>
          <w14:textFill>
            <w14:solidFill>
              <w14:schemeClr w14:val="tx1"/>
            </w14:solidFill>
          </w14:textFill>
        </w:rPr>
        <w:t>cb</w:t>
      </w:r>
      <w:r>
        <w:rPr>
          <w:rFonts w:hint="eastAsia" w:ascii="仿宋" w:hAnsi="仿宋" w:eastAsia="仿宋" w:cs="仿宋_GB2312"/>
          <w:color w:val="000000" w:themeColor="text1"/>
          <w:kern w:val="0"/>
          <w:sz w:val="24"/>
          <w14:textFill>
            <w14:solidFill>
              <w14:schemeClr w14:val="tx1"/>
            </w14:solidFill>
          </w14:textFill>
        </w:rPr>
        <w:t>—采煤工作面最大控顶有效断面积，m</w:t>
      </w:r>
      <w:r>
        <w:rPr>
          <w:rFonts w:hint="eastAsia" w:ascii="仿宋" w:hAnsi="仿宋" w:eastAsia="仿宋" w:cs="仿宋_GB2312"/>
          <w:color w:val="000000" w:themeColor="text1"/>
          <w:kern w:val="0"/>
          <w:sz w:val="24"/>
          <w:vertAlign w:val="superscript"/>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l</w:t>
      </w:r>
      <w:r>
        <w:rPr>
          <w:rFonts w:hint="eastAsia" w:ascii="仿宋" w:hAnsi="仿宋" w:eastAsia="仿宋" w:cs="仿宋_GB2312"/>
          <w:color w:val="000000" w:themeColor="text1"/>
          <w:kern w:val="0"/>
          <w:sz w:val="24"/>
          <w:vertAlign w:val="subscript"/>
          <w14:textFill>
            <w14:solidFill>
              <w14:schemeClr w14:val="tx1"/>
            </w14:solidFill>
          </w14:textFill>
        </w:rPr>
        <w:t>cb</w:t>
      </w:r>
      <w:r>
        <w:rPr>
          <w:rFonts w:hint="eastAsia" w:ascii="仿宋" w:hAnsi="仿宋" w:eastAsia="仿宋" w:cs="仿宋_GB2312"/>
          <w:color w:val="000000" w:themeColor="text1"/>
          <w:kern w:val="0"/>
          <w:sz w:val="24"/>
          <w14:textFill>
            <w14:solidFill>
              <w14:schemeClr w14:val="tx1"/>
            </w14:solidFill>
          </w14:textFill>
        </w:rPr>
        <w:t>—采煤工作面最大控顶距，m；h</w:t>
      </w:r>
      <w:r>
        <w:rPr>
          <w:rFonts w:hint="eastAsia" w:ascii="仿宋" w:hAnsi="仿宋" w:eastAsia="仿宋" w:cs="仿宋_GB2312"/>
          <w:color w:val="000000" w:themeColor="text1"/>
          <w:kern w:val="0"/>
          <w:sz w:val="24"/>
          <w:vertAlign w:val="subscript"/>
          <w14:textFill>
            <w14:solidFill>
              <w14:schemeClr w14:val="tx1"/>
            </w14:solidFill>
          </w14:textFill>
        </w:rPr>
        <w:t>cf</w:t>
      </w:r>
      <w:r>
        <w:rPr>
          <w:rFonts w:hint="eastAsia" w:ascii="仿宋" w:hAnsi="仿宋" w:eastAsia="仿宋" w:cs="仿宋_GB2312"/>
          <w:color w:val="000000" w:themeColor="text1"/>
          <w:kern w:val="0"/>
          <w:sz w:val="24"/>
          <w14:textFill>
            <w14:solidFill>
              <w14:schemeClr w14:val="tx1"/>
            </w14:solidFill>
          </w14:textFill>
        </w:rPr>
        <w:t>—采煤工作面实际采高，m；</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S</w:t>
      </w:r>
      <w:r>
        <w:rPr>
          <w:rFonts w:hint="eastAsia" w:ascii="仿宋" w:hAnsi="仿宋" w:eastAsia="仿宋" w:cs="仿宋_GB2312"/>
          <w:color w:val="000000" w:themeColor="text1"/>
          <w:kern w:val="0"/>
          <w:sz w:val="24"/>
          <w:vertAlign w:val="subscript"/>
          <w14:textFill>
            <w14:solidFill>
              <w14:schemeClr w14:val="tx1"/>
            </w14:solidFill>
          </w14:textFill>
        </w:rPr>
        <w:t>cs</w:t>
      </w:r>
      <w:r>
        <w:rPr>
          <w:rFonts w:hint="eastAsia" w:ascii="仿宋" w:hAnsi="仿宋" w:eastAsia="仿宋" w:cs="仿宋_GB2312"/>
          <w:color w:val="000000" w:themeColor="text1"/>
          <w:kern w:val="0"/>
          <w:sz w:val="24"/>
          <w14:textFill>
            <w14:solidFill>
              <w14:schemeClr w14:val="tx1"/>
            </w14:solidFill>
          </w14:textFill>
        </w:rPr>
        <w:t>—采煤工作面最小控顶有效断面积，m</w:t>
      </w:r>
      <w:r>
        <w:rPr>
          <w:rFonts w:hint="eastAsia" w:ascii="仿宋" w:hAnsi="仿宋" w:eastAsia="仿宋" w:cs="仿宋_GB2312"/>
          <w:color w:val="000000" w:themeColor="text1"/>
          <w:kern w:val="0"/>
          <w:sz w:val="24"/>
          <w:vertAlign w:val="superscript"/>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；l</w:t>
      </w:r>
      <w:r>
        <w:rPr>
          <w:rFonts w:hint="eastAsia" w:ascii="仿宋" w:hAnsi="仿宋" w:eastAsia="仿宋" w:cs="仿宋_GB2312"/>
          <w:color w:val="000000" w:themeColor="text1"/>
          <w:kern w:val="0"/>
          <w:sz w:val="24"/>
          <w:vertAlign w:val="subscript"/>
          <w14:textFill>
            <w14:solidFill>
              <w14:schemeClr w14:val="tx1"/>
            </w14:solidFill>
          </w14:textFill>
        </w:rPr>
        <w:t>cs</w:t>
      </w:r>
      <w:r>
        <w:rPr>
          <w:rFonts w:hint="eastAsia" w:ascii="仿宋" w:hAnsi="仿宋" w:eastAsia="仿宋" w:cs="仿宋_GB2312"/>
          <w:color w:val="000000" w:themeColor="text1"/>
          <w:kern w:val="0"/>
          <w:sz w:val="24"/>
          <w14:textFill>
            <w14:solidFill>
              <w14:schemeClr w14:val="tx1"/>
            </w14:solidFill>
          </w14:textFill>
        </w:rPr>
        <w:t>—采煤工作面最小控顶距，m；</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0.25—采煤工作面允许的最小风速，m/s；70%—有效通风断面系数；</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4.0—采煤工作面允许的最大风速，m/s；5.0—综合机械化采煤工作面，在采取煤层注水和采煤机喷雾降尘等措施后允许的最大风速，m/s。</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④机、风巷风速校验</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机巷风速：V=Q采/S</w:t>
      </w:r>
      <w:r>
        <w:rPr>
          <w:rFonts w:hint="eastAsia" w:ascii="仿宋" w:hAnsi="仿宋" w:eastAsia="仿宋" w:cs="仿宋_GB2312"/>
          <w:color w:val="000000" w:themeColor="text1"/>
          <w:kern w:val="0"/>
          <w:sz w:val="24"/>
          <w:vertAlign w:val="subscript"/>
          <w14:textFill>
            <w14:solidFill>
              <w14:schemeClr w14:val="tx1"/>
            </w14:solidFill>
          </w14:textFill>
        </w:rPr>
        <w:t>1</w:t>
      </w:r>
      <w:r>
        <w:rPr>
          <w:rFonts w:hint="eastAsia" w:ascii="仿宋" w:hAnsi="仿宋" w:eastAsia="仿宋" w:cs="仿宋_GB2312"/>
          <w:color w:val="000000" w:themeColor="text1"/>
          <w:kern w:val="0"/>
          <w:sz w:val="24"/>
          <w14:textFill>
            <w14:solidFill>
              <w14:schemeClr w14:val="tx1"/>
            </w14:solidFill>
          </w14:textFill>
        </w:rPr>
        <w:t>/60=1287/22.0/60=0.975m/s</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风巷风速：V=Q采/S2/60=1287/2</w:t>
      </w:r>
      <w:r>
        <w:rPr>
          <w:rFonts w:hint="eastAsia" w:ascii="仿宋" w:hAnsi="仿宋" w:eastAsia="仿宋" w:cs="仿宋_GB2312"/>
          <w:color w:val="000000" w:themeColor="text1"/>
          <w:kern w:val="0"/>
          <w:sz w:val="24"/>
          <w:lang w:val="en-US" w:eastAsia="zh-CN"/>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.0/60=</w:t>
      </w:r>
      <w:r>
        <w:rPr>
          <w:rFonts w:hint="eastAsia" w:ascii="仿宋" w:hAnsi="仿宋" w:eastAsia="仿宋" w:cs="仿宋_GB2312"/>
          <w:color w:val="000000" w:themeColor="text1"/>
          <w:kern w:val="0"/>
          <w:sz w:val="24"/>
          <w:lang w:val="en-US" w:eastAsia="zh-CN"/>
          <w14:textFill>
            <w14:solidFill>
              <w14:schemeClr w14:val="tx1"/>
            </w14:solidFill>
          </w14:textFill>
        </w:rPr>
        <w:t>0.975</w:t>
      </w:r>
      <w:r>
        <w:rPr>
          <w:rFonts w:hint="eastAsia" w:ascii="仿宋" w:hAnsi="仿宋" w:eastAsia="仿宋" w:cs="仿宋_GB2312"/>
          <w:color w:val="000000" w:themeColor="text1"/>
          <w:kern w:val="0"/>
          <w:sz w:val="24"/>
          <w14:textFill>
            <w14:solidFill>
              <w14:schemeClr w14:val="tx1"/>
            </w14:solidFill>
          </w14:textFill>
        </w:rPr>
        <w:t>m/s</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S</w:t>
      </w:r>
      <w:r>
        <w:rPr>
          <w:rFonts w:hint="eastAsia" w:ascii="仿宋" w:hAnsi="仿宋" w:eastAsia="仿宋" w:cs="仿宋_GB2312"/>
          <w:color w:val="000000" w:themeColor="text1"/>
          <w:kern w:val="0"/>
          <w:sz w:val="24"/>
          <w:vertAlign w:val="subscript"/>
          <w14:textFill>
            <w14:solidFill>
              <w14:schemeClr w14:val="tx1"/>
            </w14:solidFill>
          </w14:textFill>
        </w:rPr>
        <w:t>1</w:t>
      </w:r>
      <w:r>
        <w:rPr>
          <w:rFonts w:hint="eastAsia" w:ascii="仿宋" w:hAnsi="仿宋" w:eastAsia="仿宋" w:cs="仿宋_GB2312"/>
          <w:color w:val="000000" w:themeColor="text1"/>
          <w:kern w:val="0"/>
          <w:sz w:val="24"/>
          <w14:textFill>
            <w14:solidFill>
              <w14:schemeClr w14:val="tx1"/>
            </w14:solidFill>
          </w14:textFill>
        </w:rPr>
        <w:t>—机巷断面，取22 m</w:t>
      </w:r>
      <w:r>
        <w:rPr>
          <w:rFonts w:hint="eastAsia" w:ascii="仿宋" w:hAnsi="仿宋" w:eastAsia="仿宋" w:cs="仿宋_GB2312"/>
          <w:color w:val="000000" w:themeColor="text1"/>
          <w:kern w:val="0"/>
          <w:sz w:val="24"/>
          <w:vertAlign w:val="superscript"/>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；S</w:t>
      </w:r>
      <w:r>
        <w:rPr>
          <w:rFonts w:hint="eastAsia" w:ascii="仿宋" w:hAnsi="仿宋" w:eastAsia="仿宋" w:cs="仿宋_GB2312"/>
          <w:color w:val="000000" w:themeColor="text1"/>
          <w:kern w:val="0"/>
          <w:sz w:val="24"/>
          <w:vertAlign w:val="subscript"/>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—风巷断面，取2</w:t>
      </w:r>
      <w:r>
        <w:rPr>
          <w:rFonts w:hint="eastAsia" w:ascii="仿宋" w:hAnsi="仿宋" w:eastAsia="仿宋" w:cs="仿宋_GB2312"/>
          <w:color w:val="000000" w:themeColor="text1"/>
          <w:kern w:val="0"/>
          <w:sz w:val="24"/>
          <w:lang w:val="en-US" w:eastAsia="zh-CN"/>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m</w:t>
      </w:r>
      <w:r>
        <w:rPr>
          <w:rFonts w:hint="eastAsia" w:ascii="仿宋" w:hAnsi="仿宋" w:eastAsia="仿宋" w:cs="仿宋_GB2312"/>
          <w:color w:val="000000" w:themeColor="text1"/>
          <w:kern w:val="0"/>
          <w:sz w:val="24"/>
          <w:vertAlign w:val="superscript"/>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风速验算：0.25 m/s＜V＜4m/s，由此可见，风速符合《煤矿安全规程》规定。</w:t>
      </w:r>
    </w:p>
    <w:p>
      <w:pPr>
        <w:keepNext w:val="0"/>
        <w:keepLines w:val="0"/>
        <w:pageBreakBefore w:val="0"/>
        <w:widowControl w:val="0"/>
        <w:kinsoku/>
        <w:wordWrap/>
        <w:overflowPunct/>
        <w:topLinePunct w:val="0"/>
        <w:autoSpaceDE/>
        <w:autoSpaceDN/>
        <w:bidi w:val="0"/>
        <w:adjustRightInd/>
        <w:snapToGrid w:val="0"/>
        <w:spacing w:line="380" w:lineRule="exact"/>
        <w:ind w:firstLine="480"/>
        <w:jc w:val="left"/>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w:t>
      </w:r>
      <w:r>
        <w:rPr>
          <w:rFonts w:ascii="仿宋" w:hAnsi="仿宋" w:eastAsia="仿宋" w:cs="仿宋_GB2312"/>
          <w:color w:val="000000" w:themeColor="text1"/>
          <w:kern w:val="0"/>
          <w:sz w:val="24"/>
          <w14:textFill>
            <w14:solidFill>
              <w14:schemeClr w14:val="tx1"/>
            </w14:solidFill>
          </w14:textFill>
        </w:rPr>
        <w:t>8</w:t>
      </w:r>
      <w:r>
        <w:rPr>
          <w:rFonts w:hint="eastAsia" w:ascii="仿宋" w:hAnsi="仿宋" w:eastAsia="仿宋" w:cs="仿宋_GB2312"/>
          <w:color w:val="000000" w:themeColor="text1"/>
          <w:kern w:val="0"/>
          <w:sz w:val="24"/>
          <w14:textFill>
            <w14:solidFill>
              <w14:schemeClr w14:val="tx1"/>
            </w14:solidFill>
          </w14:textFill>
        </w:rPr>
        <w:t>）根据《煤矿用防爆柴油机无轨胶轮车安全使用规范》（A</w:t>
      </w:r>
      <w:r>
        <w:rPr>
          <w:rFonts w:ascii="仿宋" w:hAnsi="仿宋" w:eastAsia="仿宋" w:cs="仿宋_GB2312"/>
          <w:color w:val="000000" w:themeColor="text1"/>
          <w:kern w:val="0"/>
          <w:sz w:val="24"/>
          <w14:textFill>
            <w14:solidFill>
              <w14:schemeClr w14:val="tx1"/>
            </w14:solidFill>
          </w14:textFill>
        </w:rPr>
        <w:t>Q 1064</w:t>
      </w:r>
      <w:r>
        <w:rPr>
          <w:rFonts w:hint="eastAsia" w:ascii="仿宋" w:hAnsi="仿宋" w:eastAsia="仿宋" w:cs="仿宋_GB2312"/>
          <w:color w:val="000000" w:themeColor="text1"/>
          <w:kern w:val="0"/>
          <w:sz w:val="24"/>
          <w14:textFill>
            <w14:solidFill>
              <w14:schemeClr w14:val="tx1"/>
            </w14:solidFill>
          </w14:textFill>
        </w:rPr>
        <w:t>）规定，行驶车辆的巷道，应按同时运行的最多车辆数增加巷道配风，配风量应不小于4m</w:t>
      </w:r>
      <w:r>
        <w:rPr>
          <w:rFonts w:ascii="仿宋" w:hAnsi="仿宋" w:eastAsia="仿宋" w:cs="仿宋_GB2312"/>
          <w:color w:val="000000" w:themeColor="text1"/>
          <w:kern w:val="0"/>
          <w:sz w:val="24"/>
          <w:vertAlign w:val="superscript"/>
          <w14:textFill>
            <w14:solidFill>
              <w14:schemeClr w14:val="tx1"/>
            </w14:solidFill>
          </w14:textFill>
        </w:rPr>
        <w:t>3</w:t>
      </w:r>
      <w:r>
        <w:rPr>
          <w:rFonts w:ascii="仿宋" w:hAnsi="仿宋" w:eastAsia="仿宋" w:cs="仿宋_GB2312"/>
          <w:color w:val="000000" w:themeColor="text1"/>
          <w:kern w:val="0"/>
          <w:sz w:val="24"/>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min·kw；</w:t>
      </w:r>
    </w:p>
    <w:p>
      <w:pPr>
        <w:keepNext w:val="0"/>
        <w:keepLines w:val="0"/>
        <w:pageBreakBefore w:val="0"/>
        <w:widowControl w:val="0"/>
        <w:kinsoku/>
        <w:wordWrap/>
        <w:overflowPunct/>
        <w:topLinePunct w:val="0"/>
        <w:autoSpaceDE/>
        <w:autoSpaceDN/>
        <w:bidi w:val="0"/>
        <w:adjustRightInd/>
        <w:snapToGrid w:val="0"/>
        <w:spacing w:line="380" w:lineRule="exact"/>
        <w:ind w:left="479" w:leftChars="228" w:firstLine="0" w:firstLineChars="0"/>
        <w:textAlignment w:val="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计算煤矿用防爆柴油机无轨胶轮车需要风量：</w:t>
      </w:r>
    </w:p>
    <w:p>
      <w:pPr>
        <w:keepNext w:val="0"/>
        <w:keepLines w:val="0"/>
        <w:pageBreakBefore w:val="0"/>
        <w:widowControl w:val="0"/>
        <w:kinsoku/>
        <w:wordWrap/>
        <w:overflowPunct/>
        <w:topLinePunct w:val="0"/>
        <w:autoSpaceDE/>
        <w:autoSpaceDN/>
        <w:bidi w:val="0"/>
        <w:adjustRightInd/>
        <w:snapToGrid w:val="0"/>
        <w:spacing w:line="380" w:lineRule="exact"/>
        <w:ind w:left="479" w:leftChars="228" w:firstLine="0" w:firstLineChars="0"/>
        <w:textAlignment w:val="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Q=4N·P（m</w:t>
      </w:r>
      <w:r>
        <w:rPr>
          <w:rFonts w:hint="eastAsia" w:ascii="仿宋" w:hAnsi="仿宋" w:eastAsia="仿宋" w:cs="宋体"/>
          <w:color w:val="000000" w:themeColor="text1"/>
          <w:sz w:val="24"/>
          <w:vertAlign w:val="superscript"/>
          <w14:textFill>
            <w14:solidFill>
              <w14:schemeClr w14:val="tx1"/>
            </w14:solidFill>
          </w14:textFill>
        </w:rPr>
        <w:t>3</w:t>
      </w:r>
      <w:r>
        <w:rPr>
          <w:rFonts w:hint="eastAsia" w:ascii="仿宋" w:hAnsi="仿宋" w:eastAsia="仿宋" w:cs="宋体"/>
          <w:color w:val="000000" w:themeColor="text1"/>
          <w:sz w:val="24"/>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val="0"/>
        <w:spacing w:line="380" w:lineRule="exact"/>
        <w:ind w:left="479" w:leftChars="228" w:firstLine="0" w:firstLineChars="0"/>
        <w:textAlignment w:val="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式中：N——设备数量，台；</w:t>
      </w:r>
    </w:p>
    <w:p>
      <w:pPr>
        <w:keepNext w:val="0"/>
        <w:keepLines w:val="0"/>
        <w:pageBreakBefore w:val="0"/>
        <w:widowControl w:val="0"/>
        <w:kinsoku/>
        <w:wordWrap/>
        <w:overflowPunct/>
        <w:topLinePunct w:val="0"/>
        <w:autoSpaceDE/>
        <w:autoSpaceDN/>
        <w:bidi w:val="0"/>
        <w:adjustRightInd/>
        <w:snapToGrid w:val="0"/>
        <w:spacing w:line="380" w:lineRule="exact"/>
        <w:ind w:left="479" w:leftChars="228" w:firstLine="0" w:firstLineChars="0"/>
        <w:textAlignment w:val="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P——矿用防爆无轨胶轮车的功率，kW；</w:t>
      </w:r>
    </w:p>
    <w:p>
      <w:pPr>
        <w:keepNext w:val="0"/>
        <w:keepLines w:val="0"/>
        <w:pageBreakBefore w:val="0"/>
        <w:widowControl w:val="0"/>
        <w:kinsoku/>
        <w:wordWrap/>
        <w:overflowPunct/>
        <w:topLinePunct w:val="0"/>
        <w:autoSpaceDE/>
        <w:autoSpaceDN/>
        <w:bidi w:val="0"/>
        <w:adjustRightInd/>
        <w:snapToGrid w:val="0"/>
        <w:spacing w:line="380" w:lineRule="exact"/>
        <w:ind w:left="479" w:leftChars="228" w:firstLine="0" w:firstLineChars="0"/>
        <w:textAlignment w:val="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4——每千瓦每分钟应供给的最小风量，m</w:t>
      </w:r>
      <w:r>
        <w:rPr>
          <w:rFonts w:hint="eastAsia" w:ascii="仿宋" w:hAnsi="仿宋" w:eastAsia="仿宋" w:cs="宋体"/>
          <w:color w:val="000000" w:themeColor="text1"/>
          <w:sz w:val="24"/>
          <w:vertAlign w:val="superscript"/>
          <w14:textFill>
            <w14:solidFill>
              <w14:schemeClr w14:val="tx1"/>
            </w14:solidFill>
          </w14:textFill>
        </w:rPr>
        <w:t>3</w:t>
      </w:r>
      <w:r>
        <w:rPr>
          <w:rFonts w:hint="eastAsia" w:ascii="仿宋" w:hAnsi="仿宋" w:eastAsia="仿宋" w:cs="宋体"/>
          <w:color w:val="000000" w:themeColor="text1"/>
          <w:sz w:val="24"/>
          <w14:textFill>
            <w14:solidFill>
              <w14:schemeClr w14:val="tx1"/>
            </w14:solidFill>
          </w14:textFill>
        </w:rPr>
        <w:t>/min。</w:t>
      </w:r>
    </w:p>
    <w:p>
      <w:pPr>
        <w:pStyle w:val="2"/>
        <w:keepNext w:val="0"/>
        <w:keepLines w:val="0"/>
        <w:pageBreakBefore w:val="0"/>
        <w:widowControl w:val="0"/>
        <w:kinsoku/>
        <w:wordWrap/>
        <w:overflowPunct/>
        <w:topLinePunct w:val="0"/>
        <w:autoSpaceDE/>
        <w:autoSpaceDN/>
        <w:bidi w:val="0"/>
        <w:adjustRightInd/>
        <w:spacing w:line="380" w:lineRule="exact"/>
        <w:ind w:firstLine="480"/>
        <w:textAlignment w:val="auto"/>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Q=4N·P=4</w:t>
      </w:r>
      <w:r>
        <w:rPr>
          <w:rFonts w:hint="eastAsia" w:ascii="仿宋" w:hAnsi="仿宋" w:eastAsia="仿宋" w:cs="仿宋_GB2312"/>
          <w:color w:val="000000" w:themeColor="text1"/>
          <w:kern w:val="0"/>
          <w14:textFill>
            <w14:solidFill>
              <w14:schemeClr w14:val="tx1"/>
            </w14:solidFill>
          </w14:textFill>
        </w:rPr>
        <w:t>×1×74</w:t>
      </w:r>
      <w:r>
        <w:rPr>
          <w:rFonts w:hint="eastAsia" w:ascii="仿宋" w:hAnsi="仿宋" w:eastAsia="仿宋" w:cs="宋体"/>
          <w:color w:val="000000" w:themeColor="text1"/>
          <w:sz w:val="24"/>
          <w14:textFill>
            <w14:solidFill>
              <w14:schemeClr w14:val="tx1"/>
            </w14:solidFill>
          </w14:textFill>
        </w:rPr>
        <w:t>=296m</w:t>
      </w:r>
      <w:r>
        <w:rPr>
          <w:rFonts w:hint="eastAsia" w:ascii="仿宋" w:hAnsi="仿宋" w:eastAsia="仿宋" w:cs="宋体"/>
          <w:color w:val="000000" w:themeColor="text1"/>
          <w:sz w:val="24"/>
          <w:vertAlign w:val="superscript"/>
          <w14:textFill>
            <w14:solidFill>
              <w14:schemeClr w14:val="tx1"/>
            </w14:solidFill>
          </w14:textFill>
        </w:rPr>
        <w:t>3</w:t>
      </w:r>
      <w:r>
        <w:rPr>
          <w:rFonts w:hint="eastAsia" w:ascii="仿宋" w:hAnsi="仿宋" w:eastAsia="仿宋" w:cs="宋体"/>
          <w:color w:val="000000" w:themeColor="text1"/>
          <w:sz w:val="24"/>
          <w14:textFill>
            <w14:solidFill>
              <w14:schemeClr w14:val="tx1"/>
            </w14:solidFill>
          </w14:textFill>
        </w:rPr>
        <w:t>/min</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firstLine="240" w:firstLineChars="100"/>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宋体"/>
          <w:color w:val="000000" w:themeColor="text1"/>
          <w:sz w:val="24"/>
          <w:lang w:eastAsia="zh-CN"/>
          <w14:textFill>
            <w14:solidFill>
              <w14:schemeClr w14:val="tx1"/>
            </w14:solidFill>
          </w14:textFill>
        </w:rPr>
        <w:t>（</w:t>
      </w:r>
      <w:r>
        <w:rPr>
          <w:rFonts w:hint="eastAsia" w:ascii="仿宋" w:hAnsi="仿宋" w:eastAsia="仿宋" w:cs="宋体"/>
          <w:color w:val="000000" w:themeColor="text1"/>
          <w:sz w:val="24"/>
          <w:lang w:val="en-US" w:eastAsia="zh-CN"/>
          <w14:textFill>
            <w14:solidFill>
              <w14:schemeClr w14:val="tx1"/>
            </w14:solidFill>
          </w14:textFill>
        </w:rPr>
        <w:t>9</w:t>
      </w:r>
      <w:r>
        <w:rPr>
          <w:rFonts w:hint="eastAsia" w:ascii="仿宋" w:hAnsi="仿宋" w:eastAsia="仿宋" w:cs="宋体"/>
          <w:color w:val="000000" w:themeColor="text1"/>
          <w:sz w:val="24"/>
          <w:lang w:eastAsia="zh-CN"/>
          <w14:textFill>
            <w14:solidFill>
              <w14:schemeClr w14:val="tx1"/>
            </w14:solidFill>
          </w14:textFill>
        </w:rPr>
        <w:t>）</w:t>
      </w:r>
      <w:r>
        <w:rPr>
          <w:rFonts w:hint="eastAsia" w:ascii="仿宋" w:hAnsi="仿宋" w:eastAsia="仿宋" w:cs="宋体"/>
          <w:color w:val="000000" w:themeColor="text1"/>
          <w:sz w:val="24"/>
          <w14:textFill>
            <w14:solidFill>
              <w14:schemeClr w14:val="tx1"/>
            </w14:solidFill>
          </w14:textFill>
        </w:rPr>
        <w:t>本工作面需风量定为1287</w:t>
      </w:r>
      <w:r>
        <w:rPr>
          <w:rFonts w:ascii="仿宋" w:hAnsi="仿宋" w:eastAsia="仿宋" w:cs="宋体"/>
          <w:color w:val="000000" w:themeColor="text1"/>
          <w:sz w:val="24"/>
          <w14:textFill>
            <w14:solidFill>
              <w14:schemeClr w14:val="tx1"/>
            </w14:solidFill>
          </w14:textFill>
        </w:rPr>
        <w:t>+296=1583</w:t>
      </w:r>
      <w:r>
        <w:rPr>
          <w:rFonts w:hint="eastAsia" w:ascii="仿宋" w:hAnsi="仿宋" w:eastAsia="仿宋" w:cs="宋体"/>
          <w:color w:val="000000" w:themeColor="text1"/>
          <w:sz w:val="24"/>
          <w14:textFill>
            <w14:solidFill>
              <w14:schemeClr w14:val="tx1"/>
            </w14:solidFill>
          </w14:textFill>
        </w:rPr>
        <w:t>m</w:t>
      </w:r>
      <w:r>
        <w:rPr>
          <w:rFonts w:hint="eastAsia" w:ascii="仿宋" w:hAnsi="仿宋" w:eastAsia="仿宋" w:cs="宋体"/>
          <w:color w:val="000000" w:themeColor="text1"/>
          <w:sz w:val="24"/>
          <w:vertAlign w:val="superscript"/>
          <w14:textFill>
            <w14:solidFill>
              <w14:schemeClr w14:val="tx1"/>
            </w14:solidFill>
          </w14:textFill>
        </w:rPr>
        <w:t>3</w:t>
      </w:r>
      <w:r>
        <w:rPr>
          <w:rFonts w:hint="eastAsia" w:ascii="仿宋" w:hAnsi="仿宋" w:eastAsia="仿宋" w:cs="宋体"/>
          <w:color w:val="000000" w:themeColor="text1"/>
          <w:sz w:val="24"/>
          <w14:textFill>
            <w14:solidFill>
              <w14:schemeClr w14:val="tx1"/>
            </w14:solidFill>
          </w14:textFill>
        </w:rPr>
        <w:t>/min。</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附图5：1303工作面通风系统图</w:t>
      </w:r>
    </w:p>
    <w:p>
      <w:pPr>
        <w:pStyle w:val="12"/>
        <w:spacing w:after="0"/>
        <w:ind w:firstLine="420"/>
        <w:rPr>
          <w:color w:val="FF0000"/>
        </w:rPr>
      </w:pPr>
    </w:p>
    <w:p>
      <w:pPr>
        <w:snapToGrid w:val="0"/>
        <w:ind w:firstLine="0" w:firstLineChars="0"/>
        <w:jc w:val="center"/>
        <w:rPr>
          <w:rFonts w:ascii="黑体" w:hAnsi="黑体" w:eastAsia="黑体" w:cs="黑体"/>
          <w:b/>
          <w:bCs/>
          <w:color w:val="000000" w:themeColor="text1"/>
          <w:sz w:val="28"/>
          <w:szCs w:val="28"/>
          <w14:textFill>
            <w14:solidFill>
              <w14:schemeClr w14:val="tx1"/>
            </w14:solidFill>
          </w14:textFill>
        </w:rPr>
      </w:pPr>
      <w:r>
        <w:rPr>
          <w:rFonts w:hint="eastAsia" w:ascii="黑体" w:hAnsi="黑体" w:eastAsia="黑体" w:cs="黑体"/>
          <w:b/>
          <w:bCs/>
          <w:color w:val="000000" w:themeColor="text1"/>
          <w:sz w:val="28"/>
          <w:szCs w:val="28"/>
          <w14:textFill>
            <w14:solidFill>
              <w14:schemeClr w14:val="tx1"/>
            </w14:solidFill>
          </w14:textFill>
        </w:rPr>
        <w:t>第三节  压风供水系统</w:t>
      </w:r>
      <w:bookmarkEnd w:id="195"/>
    </w:p>
    <w:p>
      <w:pPr>
        <w:pStyle w:val="60"/>
        <w:keepNext w:val="0"/>
        <w:keepLines w:val="0"/>
        <w:pageBreakBefore w:val="0"/>
        <w:widowControl w:val="0"/>
        <w:kinsoku/>
        <w:wordWrap/>
        <w:overflowPunct/>
        <w:topLinePunct w:val="0"/>
        <w:autoSpaceDE/>
        <w:autoSpaceDN/>
        <w:bidi w:val="0"/>
        <w:adjustRightInd/>
        <w:snapToGrid w:val="0"/>
        <w:spacing w:line="40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一、压风系统</w:t>
      </w:r>
    </w:p>
    <w:p>
      <w:pPr>
        <w:keepNext w:val="0"/>
        <w:keepLines w:val="0"/>
        <w:pageBreakBefore w:val="0"/>
        <w:widowControl w:val="0"/>
        <w:kinsoku/>
        <w:wordWrap/>
        <w:overflowPunct/>
        <w:topLinePunct w:val="0"/>
        <w:autoSpaceDE/>
        <w:autoSpaceDN/>
        <w:bidi w:val="0"/>
        <w:adjustRightInd/>
        <w:snapToGrid w:val="0"/>
        <w:spacing w:line="40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由地面压风机房，经主斜井井筒、北翼带式输送机大巷接入机风巷，机风巷内采用Φ108mm钢管进行供风，工作面内布置1路DN32橡胶软管进行供风。</w:t>
      </w:r>
    </w:p>
    <w:p>
      <w:pPr>
        <w:pStyle w:val="60"/>
        <w:keepNext w:val="0"/>
        <w:keepLines w:val="0"/>
        <w:pageBreakBefore w:val="0"/>
        <w:widowControl w:val="0"/>
        <w:kinsoku/>
        <w:wordWrap/>
        <w:overflowPunct/>
        <w:topLinePunct w:val="0"/>
        <w:autoSpaceDE/>
        <w:autoSpaceDN/>
        <w:bidi w:val="0"/>
        <w:adjustRightInd/>
        <w:snapToGrid w:val="0"/>
        <w:spacing w:line="40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二、供水系统</w:t>
      </w:r>
    </w:p>
    <w:p>
      <w:pPr>
        <w:keepNext w:val="0"/>
        <w:keepLines w:val="0"/>
        <w:pageBreakBefore w:val="0"/>
        <w:widowControl w:val="0"/>
        <w:kinsoku/>
        <w:wordWrap/>
        <w:overflowPunct/>
        <w:topLinePunct w:val="0"/>
        <w:autoSpaceDE/>
        <w:autoSpaceDN/>
        <w:bidi w:val="0"/>
        <w:adjustRightInd/>
        <w:snapToGrid w:val="0"/>
        <w:spacing w:line="400" w:lineRule="exact"/>
        <w:ind w:firstLine="480"/>
        <w:jc w:val="left"/>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水源由主斜井井筒经北翼带式输送机大巷向工作面供水，工作面机风巷均采用Φ108mm钢管进行供水，工作面内布置2路供水管，均为DN51橡胶软管。</w:t>
      </w:r>
    </w:p>
    <w:p>
      <w:pPr>
        <w:pStyle w:val="67"/>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三、压风自救、供水施救系统</w:t>
      </w:r>
    </w:p>
    <w:p>
      <w:pPr>
        <w:pStyle w:val="12"/>
        <w:adjustRightInd w:val="0"/>
        <w:snapToGrid w:val="0"/>
        <w:spacing w:after="0"/>
        <w:ind w:firstLine="464"/>
        <w:rPr>
          <w:rFonts w:ascii="仿宋" w:hAnsi="仿宋" w:eastAsia="仿宋" w:cs="仿宋"/>
          <w:color w:val="000000" w:themeColor="text1"/>
          <w:spacing w:val="-4"/>
          <w:sz w:val="24"/>
          <w14:textFill>
            <w14:solidFill>
              <w14:schemeClr w14:val="tx1"/>
            </w14:solidFill>
          </w14:textFill>
        </w:rPr>
      </w:pPr>
      <w:bookmarkStart w:id="196" w:name="_Toc496212762"/>
      <w:r>
        <w:rPr>
          <w:rFonts w:hint="eastAsia" w:ascii="仿宋" w:hAnsi="仿宋" w:eastAsia="仿宋" w:cs="仿宋"/>
          <w:color w:val="000000" w:themeColor="text1"/>
          <w:spacing w:val="-4"/>
          <w:sz w:val="24"/>
          <w14:textFill>
            <w14:solidFill>
              <w14:schemeClr w14:val="tx1"/>
            </w14:solidFill>
          </w14:textFill>
        </w:rPr>
        <w:t xml:space="preserve">1、压风自救系统空气压缩机设置在地面，供水施救系统水源引自地面专用水池，地面水池应采取防冻和防护措施。 </w:t>
      </w:r>
    </w:p>
    <w:p>
      <w:pPr>
        <w:pStyle w:val="12"/>
        <w:adjustRightInd w:val="0"/>
        <w:snapToGrid w:val="0"/>
        <w:spacing w:after="0"/>
        <w:ind w:firstLine="464"/>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压风系统必须满足矿井在灾变期间能够向所有采掘作业地点提供压风供气的要求。压风自救系统的管路规格应按矿井需风量、供风距离、阻力损失等参数计算确定，主管路直径不小于100mm，采掘工作面管路直径不小于50mm。供水施救系统应能在紧急情况下为避险人员供水、输送营养液提供条件。</w:t>
      </w:r>
    </w:p>
    <w:p>
      <w:pPr>
        <w:pStyle w:val="12"/>
        <w:adjustRightInd w:val="0"/>
        <w:snapToGrid w:val="0"/>
        <w:spacing w:after="0"/>
        <w:ind w:firstLine="464"/>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 xml:space="preserve">3、矿井井下所有采区避灾路线上均应敷设压风、供水管路，并设置供气、供水阀门，间隔不大于 200m。 </w:t>
      </w:r>
    </w:p>
    <w:p>
      <w:pPr>
        <w:pStyle w:val="12"/>
        <w:adjustRightInd w:val="0"/>
        <w:snapToGrid w:val="0"/>
        <w:spacing w:after="0"/>
        <w:ind w:firstLine="464"/>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4、回采工作面距切眼端头25～40m的巷道内至少安设一组压风、供水自救装置。回采工作面回风巷内有人员作业的地点至少安设一组压风、供水自救装置，如爆破起爆位置、爆破警戒人员所在位置、有人施工的钻场等。长距离的回风巷道中，应根据实际情况增加压风、供水自救装置的组数。</w:t>
      </w:r>
    </w:p>
    <w:p>
      <w:pPr>
        <w:pStyle w:val="12"/>
        <w:adjustRightInd w:val="0"/>
        <w:snapToGrid w:val="0"/>
        <w:spacing w:after="0"/>
        <w:ind w:firstLine="464"/>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 xml:space="preserve">5、主送气管路应安装集水放水器，在供气管路与自救装置连接处，要加装开关和气水分离器。压风自救系统阀门应安装齐全，阀门扳手要在同一方向，以保证系统正常使用。 </w:t>
      </w:r>
    </w:p>
    <w:p>
      <w:pPr>
        <w:pStyle w:val="12"/>
        <w:adjustRightInd w:val="0"/>
        <w:snapToGrid w:val="0"/>
        <w:spacing w:after="0"/>
        <w:ind w:firstLine="464"/>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 xml:space="preserve">6、压风自救装置应具有减压、节流、消噪声、过滤和开关等功能，零部件的连接应牢固、可靠，不得存在无风、漏风或破损长度超过5mm的现象。 </w:t>
      </w:r>
    </w:p>
    <w:p>
      <w:pPr>
        <w:pStyle w:val="12"/>
        <w:adjustRightInd w:val="0"/>
        <w:snapToGrid w:val="0"/>
        <w:spacing w:after="0"/>
        <w:ind w:firstLine="464"/>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7、避灾人员在使用压风自救装置时，应感到舒适、无刺痛和压迫感。压风自救系统适用的压风管道供风压力为0.3-0.7Mpa;在0.3Mpa压力时，压风自救装置的供气量应在100-150L/分钟范围内。压风自救装置工作时的噪声应小于85dB（A）。</w:t>
      </w:r>
    </w:p>
    <w:p>
      <w:pPr>
        <w:pStyle w:val="12"/>
        <w:adjustRightInd w:val="0"/>
        <w:snapToGrid w:val="0"/>
        <w:spacing w:after="0"/>
        <w:ind w:firstLine="464"/>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8、压风、供水自救装置安装在工作面巷道内的压缩空气管道和防尘供水管道上，应设置在宽敞、支护良好、水沟盖板齐全、没有杂物的人行道侧，人行道宽度应不小于0.8m。安装高度距离巷道底板1.5～1.7m为宜，便于人员使用，严禁将压风自救系统安装在皮带机里侧。</w:t>
      </w:r>
    </w:p>
    <w:p>
      <w:pPr>
        <w:pStyle w:val="12"/>
        <w:adjustRightInd w:val="0"/>
        <w:snapToGrid w:val="0"/>
        <w:spacing w:after="0"/>
        <w:ind w:firstLine="464"/>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9、使用单位必须制定压风自救装置的定期巡查和维护制度。每班指定专人对压风管路进行检查，确保管路不漏气及自救装置完好，保证管路畅通和风流清洁。</w:t>
      </w:r>
    </w:p>
    <w:p>
      <w:pPr>
        <w:pStyle w:val="12"/>
        <w:adjustRightInd w:val="0"/>
        <w:snapToGrid w:val="0"/>
        <w:spacing w:after="0"/>
        <w:ind w:firstLine="464"/>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10、压风自救的日常监督、检查由防冲办、安全监察部及通防部负责，发现问题及时联系使用单位整改。严禁任何人员无故破坏压风自救装置。</w:t>
      </w:r>
    </w:p>
    <w:p>
      <w:pPr>
        <w:pStyle w:val="4"/>
        <w:keepNext w:val="0"/>
        <w:keepLines w:val="0"/>
        <w:snapToGrid w:val="0"/>
        <w:spacing w:before="0" w:after="0"/>
        <w:ind w:firstLine="562"/>
        <w:rPr>
          <w:rFonts w:ascii="黑体" w:hAnsi="黑体" w:eastAsia="黑体" w:cs="仿宋_GB2312"/>
          <w:color w:val="FF0000"/>
          <w:sz w:val="28"/>
          <w:szCs w:val="28"/>
        </w:rPr>
      </w:pPr>
    </w:p>
    <w:p>
      <w:pPr>
        <w:pStyle w:val="4"/>
        <w:keepNext w:val="0"/>
        <w:keepLines w:val="0"/>
        <w:snapToGrid w:val="0"/>
        <w:spacing w:before="0" w:after="0"/>
        <w:ind w:firstLine="0" w:firstLineChars="0"/>
        <w:rPr>
          <w:rFonts w:ascii="仿宋" w:hAnsi="仿宋" w:eastAsia="仿宋"/>
          <w:color w:val="000000" w:themeColor="text1"/>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第四节  排水系统</w:t>
      </w:r>
      <w:bookmarkEnd w:id="196"/>
    </w:p>
    <w:p>
      <w:pPr>
        <w:pStyle w:val="90"/>
        <w:snapToGrid w:val="0"/>
        <w:spacing w:line="360" w:lineRule="auto"/>
        <w:ind w:firstLine="48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1303工作面整体为俯采，机巷标高比风巷高，因此回采期间，风巷作为主排水巷道，排水系统设计如下：</w:t>
      </w:r>
    </w:p>
    <w:p>
      <w:pPr>
        <w:autoSpaceDE w:val="0"/>
        <w:autoSpaceDN w:val="0"/>
        <w:adjustRightInd w:val="0"/>
        <w:ind w:firstLine="0" w:firstLineChars="0"/>
        <w:jc w:val="left"/>
        <w:rPr>
          <w:rFonts w:ascii="仿宋" w:hAnsi="仿宋" w:eastAsia="仿宋" w:cs="宋体"/>
          <w:b/>
          <w:color w:val="000000" w:themeColor="text1"/>
          <w:kern w:val="0"/>
          <w:sz w:val="24"/>
          <w14:textFill>
            <w14:solidFill>
              <w14:schemeClr w14:val="tx1"/>
            </w14:solidFill>
          </w14:textFill>
        </w:rPr>
      </w:pPr>
      <w:bookmarkStart w:id="197" w:name="_Toc17353"/>
      <w:bookmarkStart w:id="198" w:name="_Toc16356"/>
      <w:bookmarkStart w:id="199" w:name="_Toc13372"/>
      <w:bookmarkStart w:id="200" w:name="_Toc30520"/>
      <w:bookmarkStart w:id="201" w:name="_Toc3091"/>
      <w:bookmarkStart w:id="202" w:name="_Toc380411684"/>
      <w:r>
        <w:rPr>
          <w:rFonts w:ascii="仿宋" w:hAnsi="仿宋" w:eastAsia="仿宋" w:cs="宋体"/>
          <w:b/>
          <w:color w:val="000000" w:themeColor="text1"/>
          <w:kern w:val="0"/>
          <w:sz w:val="24"/>
          <w14:textFill>
            <w14:solidFill>
              <w14:schemeClr w14:val="tx1"/>
            </w14:solidFill>
          </w14:textFill>
        </w:rPr>
        <w:t>1</w:t>
      </w:r>
      <w:r>
        <w:rPr>
          <w:rFonts w:hint="eastAsia" w:ascii="仿宋" w:hAnsi="仿宋" w:eastAsia="仿宋" w:cs="宋体"/>
          <w:b/>
          <w:color w:val="000000" w:themeColor="text1"/>
          <w:kern w:val="0"/>
          <w:sz w:val="24"/>
          <w14:textFill>
            <w14:solidFill>
              <w14:schemeClr w14:val="tx1"/>
            </w14:solidFill>
          </w14:textFill>
        </w:rPr>
        <w:t>、</w:t>
      </w:r>
      <w:r>
        <w:rPr>
          <w:rFonts w:ascii="仿宋" w:hAnsi="仿宋" w:eastAsia="仿宋" w:cs="宋体"/>
          <w:b/>
          <w:color w:val="000000" w:themeColor="text1"/>
          <w:kern w:val="0"/>
          <w:sz w:val="24"/>
          <w14:textFill>
            <w14:solidFill>
              <w14:schemeClr w14:val="tx1"/>
            </w14:solidFill>
          </w14:textFill>
        </w:rPr>
        <w:t>1303</w:t>
      </w:r>
      <w:r>
        <w:rPr>
          <w:rFonts w:hint="eastAsia" w:ascii="仿宋" w:hAnsi="仿宋" w:eastAsia="仿宋" w:cs="宋体"/>
          <w:b/>
          <w:color w:val="000000" w:themeColor="text1"/>
          <w:kern w:val="0"/>
          <w:sz w:val="24"/>
          <w14:textFill>
            <w14:solidFill>
              <w14:schemeClr w14:val="tx1"/>
            </w14:solidFill>
          </w14:textFill>
        </w:rPr>
        <w:t>风巷排水系统</w:t>
      </w:r>
    </w:p>
    <w:p>
      <w:pPr>
        <w:autoSpaceDE w:val="0"/>
        <w:autoSpaceDN w:val="0"/>
        <w:adjustRightInd w:val="0"/>
        <w:ind w:firstLine="48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（1）水沟：</w:t>
      </w:r>
      <w:r>
        <w:rPr>
          <w:rFonts w:ascii="仿宋" w:hAnsi="仿宋" w:eastAsia="仿宋" w:cs="宋体"/>
          <w:color w:val="000000" w:themeColor="text1"/>
          <w:kern w:val="0"/>
          <w:sz w:val="24"/>
          <w14:textFill>
            <w14:solidFill>
              <w14:schemeClr w14:val="tx1"/>
            </w14:solidFill>
          </w14:textFill>
        </w:rPr>
        <w:t>1303</w:t>
      </w:r>
      <w:r>
        <w:rPr>
          <w:rFonts w:hint="eastAsia" w:ascii="仿宋" w:hAnsi="仿宋" w:eastAsia="仿宋" w:cs="宋体"/>
          <w:color w:val="000000" w:themeColor="text1"/>
          <w:kern w:val="0"/>
          <w:sz w:val="24"/>
          <w14:textFill>
            <w14:solidFill>
              <w14:schemeClr w14:val="tx1"/>
            </w14:solidFill>
          </w14:textFill>
        </w:rPr>
        <w:t>风巷巷道左帮（回采侧）施工水沟（水沟内铺设搪瓷溜子），水沟自</w:t>
      </w:r>
      <w:r>
        <w:rPr>
          <w:rFonts w:ascii="仿宋" w:hAnsi="仿宋" w:eastAsia="仿宋" w:cs="宋体"/>
          <w:color w:val="000000" w:themeColor="text1"/>
          <w:kern w:val="0"/>
          <w:sz w:val="24"/>
          <w14:textFill>
            <w14:solidFill>
              <w14:schemeClr w14:val="tx1"/>
            </w14:solidFill>
          </w14:textFill>
        </w:rPr>
        <w:t>1303</w:t>
      </w:r>
      <w:r>
        <w:rPr>
          <w:rFonts w:hint="eastAsia" w:ascii="仿宋" w:hAnsi="仿宋" w:eastAsia="仿宋" w:cs="宋体"/>
          <w:color w:val="000000" w:themeColor="text1"/>
          <w:kern w:val="0"/>
          <w:sz w:val="24"/>
          <w14:textFill>
            <w14:solidFill>
              <w14:schemeClr w14:val="tx1"/>
            </w14:solidFill>
          </w14:textFill>
        </w:rPr>
        <w:t>切眼向外</w:t>
      </w:r>
      <w:r>
        <w:rPr>
          <w:rFonts w:ascii="仿宋" w:hAnsi="仿宋" w:eastAsia="仿宋" w:cs="宋体"/>
          <w:color w:val="000000" w:themeColor="text1"/>
          <w:kern w:val="0"/>
          <w:sz w:val="24"/>
          <w14:textFill>
            <w14:solidFill>
              <w14:schemeClr w14:val="tx1"/>
            </w14:solidFill>
          </w14:textFill>
        </w:rPr>
        <w:t>50m</w:t>
      </w:r>
      <w:r>
        <w:rPr>
          <w:rFonts w:hint="eastAsia" w:ascii="仿宋" w:hAnsi="仿宋" w:eastAsia="仿宋" w:cs="宋体"/>
          <w:color w:val="000000" w:themeColor="text1"/>
          <w:kern w:val="0"/>
          <w:sz w:val="24"/>
          <w14:textFill>
            <w14:solidFill>
              <w14:schemeClr w14:val="tx1"/>
            </w14:solidFill>
          </w14:textFill>
        </w:rPr>
        <w:t>开始施工，至</w:t>
      </w:r>
      <w:r>
        <w:rPr>
          <w:rFonts w:ascii="仿宋" w:hAnsi="仿宋" w:eastAsia="仿宋" w:cs="宋体"/>
          <w:color w:val="000000" w:themeColor="text1"/>
          <w:kern w:val="0"/>
          <w:sz w:val="24"/>
          <w14:textFill>
            <w14:solidFill>
              <w14:schemeClr w14:val="tx1"/>
            </w14:solidFill>
          </w14:textFill>
        </w:rPr>
        <w:t>1303</w:t>
      </w:r>
      <w:r>
        <w:rPr>
          <w:rFonts w:hint="eastAsia" w:ascii="仿宋" w:hAnsi="仿宋" w:eastAsia="仿宋" w:cs="宋体"/>
          <w:color w:val="000000" w:themeColor="text1"/>
          <w:kern w:val="0"/>
          <w:sz w:val="24"/>
          <w14:textFill>
            <w14:solidFill>
              <w14:schemeClr w14:val="tx1"/>
            </w14:solidFill>
          </w14:textFill>
        </w:rPr>
        <w:t>风巷三岔口水仓处结束，共计</w:t>
      </w:r>
      <w:r>
        <w:rPr>
          <w:rFonts w:ascii="仿宋" w:hAnsi="仿宋" w:eastAsia="仿宋" w:cs="宋体"/>
          <w:color w:val="000000" w:themeColor="text1"/>
          <w:kern w:val="0"/>
          <w:sz w:val="24"/>
          <w14:textFill>
            <w14:solidFill>
              <w14:schemeClr w14:val="tx1"/>
            </w14:solidFill>
          </w14:textFill>
        </w:rPr>
        <w:t>1000m</w:t>
      </w:r>
      <w:r>
        <w:rPr>
          <w:rFonts w:hint="eastAsia" w:ascii="仿宋" w:hAnsi="仿宋" w:eastAsia="仿宋" w:cs="宋体"/>
          <w:color w:val="000000" w:themeColor="text1"/>
          <w:kern w:val="0"/>
          <w:sz w:val="24"/>
          <w14:textFill>
            <w14:solidFill>
              <w14:schemeClr w14:val="tx1"/>
            </w14:solidFill>
          </w14:textFill>
        </w:rPr>
        <w:t>；水沟净尺寸：宽×深</w:t>
      </w:r>
      <w:r>
        <w:rPr>
          <w:rFonts w:ascii="仿宋" w:hAnsi="仿宋" w:eastAsia="仿宋" w:cs="宋体"/>
          <w:color w:val="000000" w:themeColor="text1"/>
          <w:kern w:val="0"/>
          <w:sz w:val="24"/>
          <w14:textFill>
            <w14:solidFill>
              <w14:schemeClr w14:val="tx1"/>
            </w14:solidFill>
          </w14:textFill>
        </w:rPr>
        <w:t>=0.6m</w:t>
      </w:r>
      <w:r>
        <w:rPr>
          <w:rFonts w:hint="eastAsia" w:ascii="仿宋" w:hAnsi="仿宋" w:eastAsia="仿宋" w:cs="宋体"/>
          <w:color w:val="000000" w:themeColor="text1"/>
          <w:kern w:val="0"/>
          <w:sz w:val="24"/>
          <w14:textFill>
            <w14:solidFill>
              <w14:schemeClr w14:val="tx1"/>
            </w14:solidFill>
          </w14:textFill>
        </w:rPr>
        <w:t>×</w:t>
      </w:r>
      <w:r>
        <w:rPr>
          <w:rFonts w:ascii="仿宋" w:hAnsi="仿宋" w:eastAsia="仿宋" w:cs="宋体"/>
          <w:color w:val="000000" w:themeColor="text1"/>
          <w:kern w:val="0"/>
          <w:sz w:val="24"/>
          <w14:textFill>
            <w14:solidFill>
              <w14:schemeClr w14:val="tx1"/>
            </w14:solidFill>
          </w14:textFill>
        </w:rPr>
        <w:t>0.6m</w:t>
      </w:r>
      <w:r>
        <w:rPr>
          <w:rFonts w:hint="eastAsia" w:ascii="仿宋" w:hAnsi="仿宋" w:eastAsia="仿宋" w:cs="宋体"/>
          <w:color w:val="000000" w:themeColor="text1"/>
          <w:kern w:val="0"/>
          <w:sz w:val="24"/>
          <w14:textFill>
            <w14:solidFill>
              <w14:schemeClr w14:val="tx1"/>
            </w14:solidFill>
          </w14:textFill>
        </w:rPr>
        <w:t>。搪瓷溜子上口与巷道底板平齐，搪瓷溜子外口砌</w:t>
      </w:r>
      <w:r>
        <w:rPr>
          <w:rFonts w:ascii="仿宋" w:hAnsi="仿宋" w:eastAsia="仿宋" w:cs="宋体"/>
          <w:color w:val="000000" w:themeColor="text1"/>
          <w:kern w:val="0"/>
          <w:sz w:val="24"/>
          <w14:textFill>
            <w14:solidFill>
              <w14:schemeClr w14:val="tx1"/>
            </w14:solidFill>
          </w14:textFill>
        </w:rPr>
        <w:t>0.3m</w:t>
      </w:r>
      <w:r>
        <w:rPr>
          <w:rFonts w:hint="eastAsia" w:ascii="仿宋" w:hAnsi="仿宋" w:eastAsia="仿宋" w:cs="宋体"/>
          <w:color w:val="000000" w:themeColor="text1"/>
          <w:kern w:val="0"/>
          <w:sz w:val="24"/>
          <w14:textFill>
            <w14:solidFill>
              <w14:schemeClr w14:val="tx1"/>
            </w14:solidFill>
          </w14:textFill>
        </w:rPr>
        <w:t>高的煤袋。</w:t>
      </w:r>
    </w:p>
    <w:p>
      <w:pPr>
        <w:autoSpaceDE w:val="0"/>
        <w:autoSpaceDN w:val="0"/>
        <w:adjustRightInd w:val="0"/>
        <w:ind w:firstLine="48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（2）水仓：在</w:t>
      </w:r>
      <w:r>
        <w:rPr>
          <w:rFonts w:ascii="仿宋" w:hAnsi="仿宋" w:eastAsia="仿宋"/>
          <w:color w:val="000000" w:themeColor="text1"/>
          <w:kern w:val="0"/>
          <w:sz w:val="24"/>
          <w14:textFill>
            <w14:solidFill>
              <w14:schemeClr w14:val="tx1"/>
            </w14:solidFill>
          </w14:textFill>
        </w:rPr>
        <w:t>1303</w:t>
      </w:r>
      <w:r>
        <w:rPr>
          <w:rFonts w:hint="eastAsia" w:ascii="仿宋" w:hAnsi="仿宋" w:eastAsia="仿宋" w:cs="宋体"/>
          <w:color w:val="000000" w:themeColor="text1"/>
          <w:kern w:val="0"/>
          <w:sz w:val="24"/>
          <w14:textFill>
            <w14:solidFill>
              <w14:schemeClr w14:val="tx1"/>
            </w14:solidFill>
          </w14:textFill>
        </w:rPr>
        <w:t>风巷</w:t>
      </w:r>
      <w:r>
        <w:rPr>
          <w:rFonts w:ascii="仿宋" w:hAnsi="仿宋" w:eastAsia="仿宋" w:cs="宋体"/>
          <w:color w:val="000000" w:themeColor="text1"/>
          <w:kern w:val="0"/>
          <w:sz w:val="24"/>
          <w14:textFill>
            <w14:solidFill>
              <w14:schemeClr w14:val="tx1"/>
            </w14:solidFill>
          </w14:textFill>
        </w:rPr>
        <w:t>XF1</w:t>
      </w:r>
      <w:r>
        <w:rPr>
          <w:rFonts w:hint="eastAsia" w:ascii="仿宋" w:hAnsi="仿宋" w:eastAsia="仿宋" w:cs="宋体"/>
          <w:color w:val="000000" w:themeColor="text1"/>
          <w:kern w:val="0"/>
          <w:sz w:val="24"/>
          <w14:textFill>
            <w14:solidFill>
              <w14:schemeClr w14:val="tx1"/>
            </w14:solidFill>
          </w14:textFill>
        </w:rPr>
        <w:t>前</w:t>
      </w:r>
      <w:r>
        <w:rPr>
          <w:rFonts w:ascii="仿宋" w:hAnsi="仿宋" w:eastAsia="仿宋" w:cs="宋体"/>
          <w:color w:val="000000" w:themeColor="text1"/>
          <w:kern w:val="0"/>
          <w:sz w:val="24"/>
          <w14:textFill>
            <w14:solidFill>
              <w14:schemeClr w14:val="tx1"/>
            </w14:solidFill>
          </w14:textFill>
        </w:rPr>
        <w:t>20m</w:t>
      </w:r>
      <w:r>
        <w:rPr>
          <w:rFonts w:hint="eastAsia" w:ascii="仿宋" w:hAnsi="仿宋" w:eastAsia="仿宋" w:cs="宋体"/>
          <w:color w:val="000000" w:themeColor="text1"/>
          <w:kern w:val="0"/>
          <w:sz w:val="24"/>
          <w14:textFill>
            <w14:solidFill>
              <w14:schemeClr w14:val="tx1"/>
            </w14:solidFill>
          </w14:textFill>
        </w:rPr>
        <w:t>（切眼方向）左帮（回采侧）施工水仓，净尺寸：长</w:t>
      </w:r>
      <w:r>
        <w:rPr>
          <w:rFonts w:ascii="仿宋" w:hAnsi="仿宋" w:eastAsia="仿宋"/>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宽</w:t>
      </w:r>
      <w:r>
        <w:rPr>
          <w:rFonts w:ascii="仿宋" w:hAnsi="仿宋" w:eastAsia="仿宋"/>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深</w:t>
      </w:r>
      <w:r>
        <w:rPr>
          <w:rFonts w:ascii="仿宋" w:hAnsi="仿宋" w:eastAsia="仿宋"/>
          <w:color w:val="000000" w:themeColor="text1"/>
          <w:kern w:val="0"/>
          <w:sz w:val="24"/>
          <w14:textFill>
            <w14:solidFill>
              <w14:schemeClr w14:val="tx1"/>
            </w14:solidFill>
          </w14:textFill>
        </w:rPr>
        <w:t>=2.0m×1.5m×1.2m</w:t>
      </w:r>
      <w:r>
        <w:rPr>
          <w:rFonts w:hint="eastAsia" w:ascii="仿宋" w:hAnsi="仿宋" w:eastAsia="仿宋" w:cs="宋体"/>
          <w:color w:val="000000" w:themeColor="text1"/>
          <w:kern w:val="0"/>
          <w:sz w:val="24"/>
          <w14:textFill>
            <w14:solidFill>
              <w14:schemeClr w14:val="tx1"/>
            </w14:solidFill>
          </w14:textFill>
        </w:rPr>
        <w:t>。</w:t>
      </w:r>
    </w:p>
    <w:p>
      <w:pPr>
        <w:autoSpaceDE w:val="0"/>
        <w:autoSpaceDN w:val="0"/>
        <w:adjustRightInd w:val="0"/>
        <w:ind w:firstLine="48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w:t>
      </w:r>
      <w:r>
        <w:rPr>
          <w:rFonts w:hint="eastAsia" w:ascii="仿宋" w:hAnsi="仿宋" w:eastAsia="仿宋"/>
          <w:color w:val="000000" w:themeColor="text1"/>
          <w:kern w:val="0"/>
          <w:sz w:val="24"/>
          <w:lang w:val="en-US" w:eastAsia="zh-CN"/>
          <w14:textFill>
            <w14:solidFill>
              <w14:schemeClr w14:val="tx1"/>
            </w14:solidFill>
          </w14:textFill>
        </w:rPr>
        <w:t>3</w:t>
      </w:r>
      <w:r>
        <w:rPr>
          <w:rFonts w:hint="eastAsia" w:ascii="仿宋" w:hAnsi="仿宋" w:eastAsia="仿宋"/>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沉淀池：在1303风巷8#钻场外挖设一个沉淀池，沉淀池净尺寸：长</w:t>
      </w:r>
      <w:r>
        <w:rPr>
          <w:rFonts w:ascii="仿宋" w:hAnsi="仿宋" w:eastAsia="仿宋"/>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宽</w:t>
      </w:r>
      <w:r>
        <w:rPr>
          <w:rFonts w:ascii="仿宋" w:hAnsi="仿宋" w:eastAsia="仿宋"/>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深</w:t>
      </w:r>
      <w:r>
        <w:rPr>
          <w:rFonts w:ascii="仿宋" w:hAnsi="仿宋" w:eastAsia="仿宋"/>
          <w:color w:val="000000" w:themeColor="text1"/>
          <w:kern w:val="0"/>
          <w:sz w:val="24"/>
          <w14:textFill>
            <w14:solidFill>
              <w14:schemeClr w14:val="tx1"/>
            </w14:solidFill>
          </w14:textFill>
        </w:rPr>
        <w:t>=</w:t>
      </w:r>
      <w:r>
        <w:rPr>
          <w:rFonts w:hint="eastAsia" w:ascii="仿宋" w:hAnsi="仿宋" w:eastAsia="仿宋"/>
          <w:color w:val="000000" w:themeColor="text1"/>
          <w:kern w:val="0"/>
          <w:sz w:val="24"/>
          <w14:textFill>
            <w14:solidFill>
              <w14:schemeClr w14:val="tx1"/>
            </w14:solidFill>
          </w14:textFill>
        </w:rPr>
        <w:t>2.1</w:t>
      </w:r>
      <w:r>
        <w:rPr>
          <w:rFonts w:ascii="仿宋" w:hAnsi="仿宋" w:eastAsia="仿宋"/>
          <w:color w:val="000000" w:themeColor="text1"/>
          <w:kern w:val="0"/>
          <w:sz w:val="24"/>
          <w14:textFill>
            <w14:solidFill>
              <w14:schemeClr w14:val="tx1"/>
            </w14:solidFill>
          </w14:textFill>
        </w:rPr>
        <w:t>m×1.</w:t>
      </w:r>
      <w:r>
        <w:rPr>
          <w:rFonts w:hint="eastAsia" w:ascii="仿宋" w:hAnsi="仿宋" w:eastAsia="仿宋"/>
          <w:color w:val="000000" w:themeColor="text1"/>
          <w:kern w:val="0"/>
          <w:sz w:val="24"/>
          <w14:textFill>
            <w14:solidFill>
              <w14:schemeClr w14:val="tx1"/>
            </w14:solidFill>
          </w14:textFill>
        </w:rPr>
        <w:t>7</w:t>
      </w:r>
      <w:r>
        <w:rPr>
          <w:rFonts w:ascii="仿宋" w:hAnsi="仿宋" w:eastAsia="仿宋"/>
          <w:color w:val="000000" w:themeColor="text1"/>
          <w:kern w:val="0"/>
          <w:sz w:val="24"/>
          <w14:textFill>
            <w14:solidFill>
              <w14:schemeClr w14:val="tx1"/>
            </w14:solidFill>
          </w14:textFill>
        </w:rPr>
        <w:t>m×1.</w:t>
      </w:r>
      <w:r>
        <w:rPr>
          <w:rFonts w:hint="eastAsia" w:ascii="仿宋" w:hAnsi="仿宋" w:eastAsia="仿宋"/>
          <w:color w:val="000000" w:themeColor="text1"/>
          <w:kern w:val="0"/>
          <w:sz w:val="24"/>
          <w14:textFill>
            <w14:solidFill>
              <w14:schemeClr w14:val="tx1"/>
            </w14:solidFill>
          </w14:textFill>
        </w:rPr>
        <w:t>4</w:t>
      </w:r>
      <w:r>
        <w:rPr>
          <w:rFonts w:ascii="仿宋" w:hAnsi="仿宋" w:eastAsia="仿宋"/>
          <w:color w:val="000000" w:themeColor="text1"/>
          <w:kern w:val="0"/>
          <w:sz w:val="24"/>
          <w14:textFill>
            <w14:solidFill>
              <w14:schemeClr w14:val="tx1"/>
            </w14:solidFill>
          </w14:textFill>
        </w:rPr>
        <w:t>m</w:t>
      </w:r>
      <w:r>
        <w:rPr>
          <w:rFonts w:hint="eastAsia" w:ascii="仿宋" w:hAnsi="仿宋" w:eastAsia="仿宋" w:cs="宋体"/>
          <w:color w:val="000000" w:themeColor="text1"/>
          <w:kern w:val="0"/>
          <w:sz w:val="24"/>
          <w14:textFill>
            <w14:solidFill>
              <w14:schemeClr w14:val="tx1"/>
            </w14:solidFill>
          </w14:textFill>
        </w:rPr>
        <w:t>。沉淀池内设置一道隔水墙，高度</w:t>
      </w:r>
      <w:r>
        <w:rPr>
          <w:rFonts w:ascii="仿宋" w:hAnsi="仿宋" w:eastAsia="仿宋"/>
          <w:color w:val="000000" w:themeColor="text1"/>
          <w:kern w:val="0"/>
          <w:sz w:val="24"/>
          <w14:textFill>
            <w14:solidFill>
              <w14:schemeClr w14:val="tx1"/>
            </w14:solidFill>
          </w14:textFill>
        </w:rPr>
        <w:t>1.0m</w:t>
      </w:r>
      <w:r>
        <w:rPr>
          <w:rFonts w:hint="eastAsia" w:ascii="仿宋" w:hAnsi="仿宋" w:eastAsia="仿宋" w:cs="宋体"/>
          <w:color w:val="000000" w:themeColor="text1"/>
          <w:kern w:val="0"/>
          <w:sz w:val="24"/>
          <w14:textFill>
            <w14:solidFill>
              <w14:schemeClr w14:val="tx1"/>
            </w14:solidFill>
          </w14:textFill>
        </w:rPr>
        <w:t>，宽</w:t>
      </w:r>
      <w:r>
        <w:rPr>
          <w:rFonts w:ascii="仿宋" w:hAnsi="仿宋" w:eastAsia="仿宋" w:cs="宋体"/>
          <w:color w:val="000000" w:themeColor="text1"/>
          <w:kern w:val="0"/>
          <w:sz w:val="24"/>
          <w14:textFill>
            <w14:solidFill>
              <w14:schemeClr w14:val="tx1"/>
            </w14:solidFill>
          </w14:textFill>
        </w:rPr>
        <w:t>0.2m</w:t>
      </w:r>
      <w:r>
        <w:rPr>
          <w:rFonts w:hint="eastAsia" w:ascii="仿宋" w:hAnsi="仿宋" w:eastAsia="仿宋" w:cs="宋体"/>
          <w:color w:val="000000" w:themeColor="text1"/>
          <w:kern w:val="0"/>
          <w:sz w:val="24"/>
          <w14:textFill>
            <w14:solidFill>
              <w14:schemeClr w14:val="tx1"/>
            </w14:solidFill>
          </w14:textFill>
        </w:rPr>
        <w:t>，隔水墙上加装一道篦子，高0</w:t>
      </w:r>
      <w:r>
        <w:rPr>
          <w:rFonts w:ascii="仿宋" w:hAnsi="仿宋" w:eastAsia="仿宋" w:cs="宋体"/>
          <w:color w:val="000000" w:themeColor="text1"/>
          <w:kern w:val="0"/>
          <w:sz w:val="24"/>
          <w14:textFill>
            <w14:solidFill>
              <w14:schemeClr w14:val="tx1"/>
            </w14:solidFill>
          </w14:textFill>
        </w:rPr>
        <w:t>.2m</w:t>
      </w:r>
      <w:r>
        <w:rPr>
          <w:rFonts w:hint="eastAsia" w:ascii="仿宋" w:hAnsi="仿宋" w:eastAsia="仿宋" w:cs="宋体"/>
          <w:color w:val="000000" w:themeColor="text1"/>
          <w:kern w:val="0"/>
          <w:sz w:val="24"/>
          <w14:textFill>
            <w14:solidFill>
              <w14:schemeClr w14:val="tx1"/>
            </w14:solidFill>
          </w14:textFill>
        </w:rPr>
        <w:t>。</w:t>
      </w:r>
    </w:p>
    <w:p>
      <w:pPr>
        <w:autoSpaceDE w:val="0"/>
        <w:autoSpaceDN w:val="0"/>
        <w:adjustRightInd w:val="0"/>
        <w:ind w:firstLine="480"/>
        <w:jc w:val="left"/>
        <w:rPr>
          <w:rFonts w:ascii="仿宋" w:hAnsi="仿宋" w:eastAsia="仿宋"/>
          <w:color w:val="000000"/>
          <w:kern w:val="0"/>
          <w:sz w:val="24"/>
        </w:rPr>
      </w:pPr>
      <w:r>
        <w:rPr>
          <w:rFonts w:hint="eastAsia" w:ascii="仿宋" w:hAnsi="仿宋" w:eastAsia="仿宋"/>
          <w:color w:val="000000"/>
          <w:kern w:val="0"/>
          <w:sz w:val="24"/>
        </w:rPr>
        <w:t>（</w:t>
      </w:r>
      <w:r>
        <w:rPr>
          <w:rFonts w:hint="eastAsia" w:ascii="仿宋" w:hAnsi="仿宋" w:eastAsia="仿宋"/>
          <w:color w:val="000000"/>
          <w:kern w:val="0"/>
          <w:sz w:val="24"/>
          <w:lang w:val="en-US" w:eastAsia="zh-CN"/>
        </w:rPr>
        <w:t>4</w:t>
      </w:r>
      <w:r>
        <w:rPr>
          <w:rFonts w:hint="eastAsia" w:ascii="仿宋" w:hAnsi="仿宋" w:eastAsia="仿宋"/>
          <w:color w:val="000000"/>
          <w:kern w:val="0"/>
          <w:sz w:val="24"/>
        </w:rPr>
        <w:t>）</w:t>
      </w:r>
      <w:r>
        <w:rPr>
          <w:rFonts w:hint="eastAsia" w:ascii="仿宋" w:hAnsi="仿宋" w:eastAsia="仿宋" w:cs="宋体"/>
          <w:color w:val="000000"/>
          <w:kern w:val="0"/>
          <w:sz w:val="24"/>
        </w:rPr>
        <w:t>排水管路：从</w:t>
      </w:r>
      <w:r>
        <w:rPr>
          <w:rFonts w:ascii="仿宋" w:hAnsi="仿宋" w:eastAsia="仿宋"/>
          <w:color w:val="000000"/>
          <w:kern w:val="0"/>
          <w:sz w:val="24"/>
        </w:rPr>
        <w:t>1303</w:t>
      </w:r>
      <w:r>
        <w:rPr>
          <w:rFonts w:hint="eastAsia" w:ascii="仿宋" w:hAnsi="仿宋" w:eastAsia="仿宋" w:cs="宋体"/>
          <w:color w:val="000000"/>
          <w:kern w:val="0"/>
          <w:sz w:val="24"/>
        </w:rPr>
        <w:t>风巷水仓底部向上</w:t>
      </w:r>
      <w:r>
        <w:rPr>
          <w:rFonts w:ascii="仿宋" w:hAnsi="仿宋" w:eastAsia="仿宋"/>
          <w:color w:val="000000"/>
          <w:kern w:val="0"/>
          <w:sz w:val="24"/>
        </w:rPr>
        <w:t>0.7m</w:t>
      </w:r>
      <w:r>
        <w:rPr>
          <w:rFonts w:hint="eastAsia" w:ascii="仿宋" w:hAnsi="仿宋" w:eastAsia="仿宋" w:cs="宋体"/>
          <w:color w:val="000000"/>
          <w:kern w:val="0"/>
          <w:sz w:val="24"/>
        </w:rPr>
        <w:t>安设一趟</w:t>
      </w:r>
      <w:r>
        <w:rPr>
          <w:rFonts w:ascii="仿宋" w:hAnsi="仿宋" w:eastAsia="仿宋"/>
          <w:color w:val="000000"/>
          <w:kern w:val="0"/>
          <w:sz w:val="24"/>
        </w:rPr>
        <w:t>DN350mmPE</w:t>
      </w:r>
      <w:r>
        <w:rPr>
          <w:rFonts w:hint="eastAsia" w:ascii="仿宋" w:hAnsi="仿宋" w:eastAsia="仿宋" w:cs="宋体"/>
          <w:color w:val="000000"/>
          <w:kern w:val="0"/>
          <w:sz w:val="24"/>
        </w:rPr>
        <w:t>排水管路与</w:t>
      </w:r>
      <w:r>
        <w:rPr>
          <w:rFonts w:ascii="仿宋" w:hAnsi="仿宋" w:eastAsia="仿宋"/>
          <w:color w:val="000000"/>
          <w:kern w:val="0"/>
          <w:sz w:val="24"/>
        </w:rPr>
        <w:t>1303</w:t>
      </w:r>
      <w:r>
        <w:rPr>
          <w:rFonts w:hint="eastAsia" w:ascii="仿宋" w:hAnsi="仿宋" w:eastAsia="仿宋" w:cs="宋体"/>
          <w:color w:val="000000"/>
          <w:kern w:val="0"/>
          <w:sz w:val="24"/>
        </w:rPr>
        <w:t>提料斜巷</w:t>
      </w:r>
      <w:r>
        <w:rPr>
          <w:rFonts w:hint="eastAsia" w:ascii="仿宋" w:hAnsi="仿宋" w:eastAsia="仿宋"/>
          <w:color w:val="000000"/>
          <w:kern w:val="0"/>
          <w:sz w:val="24"/>
          <w:lang w:val="en-US" w:eastAsia="zh-CN"/>
        </w:rPr>
        <w:t>中部</w:t>
      </w:r>
      <w:r>
        <w:rPr>
          <w:rFonts w:ascii="仿宋" w:hAnsi="仿宋" w:eastAsia="仿宋"/>
          <w:color w:val="000000"/>
          <w:kern w:val="0"/>
          <w:sz w:val="24"/>
        </w:rPr>
        <w:t>DN350mmPE</w:t>
      </w:r>
      <w:r>
        <w:rPr>
          <w:rFonts w:hint="eastAsia" w:ascii="仿宋" w:hAnsi="仿宋" w:eastAsia="仿宋" w:cs="宋体"/>
          <w:color w:val="000000"/>
          <w:kern w:val="0"/>
          <w:sz w:val="24"/>
        </w:rPr>
        <w:t>排水管连接，管路前段安设箅子防止杂物堵塞管路，敷设长度约</w:t>
      </w:r>
      <w:r>
        <w:rPr>
          <w:rFonts w:ascii="仿宋" w:hAnsi="仿宋" w:eastAsia="仿宋"/>
          <w:color w:val="000000"/>
          <w:kern w:val="0"/>
          <w:sz w:val="24"/>
        </w:rPr>
        <w:t>80m</w:t>
      </w:r>
      <w:r>
        <w:rPr>
          <w:rFonts w:hint="eastAsia" w:ascii="仿宋" w:hAnsi="仿宋" w:eastAsia="仿宋" w:cs="宋体"/>
          <w:color w:val="000000"/>
          <w:kern w:val="0"/>
          <w:sz w:val="24"/>
        </w:rPr>
        <w:t>。</w:t>
      </w:r>
    </w:p>
    <w:p>
      <w:pPr>
        <w:autoSpaceDE w:val="0"/>
        <w:autoSpaceDN w:val="0"/>
        <w:adjustRightInd w:val="0"/>
        <w:ind w:firstLine="0" w:firstLineChars="0"/>
        <w:jc w:val="left"/>
        <w:rPr>
          <w:rFonts w:ascii="仿宋" w:hAnsi="仿宋" w:eastAsia="仿宋"/>
          <w:b/>
          <w:color w:val="000000"/>
          <w:kern w:val="0"/>
          <w:sz w:val="24"/>
        </w:rPr>
      </w:pPr>
      <w:r>
        <w:rPr>
          <w:rFonts w:ascii="仿宋" w:hAnsi="仿宋" w:eastAsia="仿宋"/>
          <w:b/>
          <w:color w:val="000000"/>
          <w:kern w:val="0"/>
          <w:sz w:val="24"/>
        </w:rPr>
        <w:t>2</w:t>
      </w:r>
      <w:r>
        <w:rPr>
          <w:rFonts w:hint="eastAsia" w:ascii="仿宋" w:hAnsi="仿宋" w:eastAsia="仿宋"/>
          <w:b/>
          <w:color w:val="000000"/>
          <w:kern w:val="0"/>
          <w:sz w:val="24"/>
        </w:rPr>
        <w:t>、</w:t>
      </w:r>
      <w:r>
        <w:rPr>
          <w:rFonts w:ascii="仿宋" w:hAnsi="仿宋" w:eastAsia="仿宋"/>
          <w:b/>
          <w:color w:val="000000"/>
          <w:kern w:val="0"/>
          <w:sz w:val="24"/>
        </w:rPr>
        <w:t>1303</w:t>
      </w:r>
      <w:r>
        <w:rPr>
          <w:rFonts w:hint="eastAsia" w:ascii="仿宋" w:hAnsi="仿宋" w:eastAsia="仿宋" w:cs="宋体"/>
          <w:b/>
          <w:color w:val="000000"/>
          <w:kern w:val="0"/>
          <w:sz w:val="24"/>
        </w:rPr>
        <w:t>机巷排水系统</w:t>
      </w:r>
    </w:p>
    <w:p>
      <w:pPr>
        <w:autoSpaceDE w:val="0"/>
        <w:autoSpaceDN w:val="0"/>
        <w:adjustRightInd w:val="0"/>
        <w:ind w:firstLine="480"/>
        <w:jc w:val="left"/>
        <w:rPr>
          <w:rFonts w:ascii="仿宋" w:hAnsi="仿宋" w:eastAsia="仿宋" w:cs="宋体"/>
          <w:color w:val="000000"/>
          <w:kern w:val="0"/>
          <w:sz w:val="24"/>
        </w:rPr>
      </w:pPr>
      <w:r>
        <w:rPr>
          <w:rFonts w:hint="eastAsia" w:ascii="仿宋" w:hAnsi="仿宋" w:eastAsia="仿宋"/>
          <w:color w:val="000000"/>
          <w:kern w:val="0"/>
          <w:sz w:val="24"/>
        </w:rPr>
        <w:t>（1）</w:t>
      </w:r>
      <w:r>
        <w:rPr>
          <w:rFonts w:hint="eastAsia" w:ascii="仿宋" w:hAnsi="仿宋" w:eastAsia="仿宋" w:cs="宋体"/>
          <w:color w:val="000000"/>
          <w:kern w:val="0"/>
          <w:sz w:val="24"/>
        </w:rPr>
        <w:t>水沟：在</w:t>
      </w:r>
      <w:r>
        <w:rPr>
          <w:rFonts w:ascii="仿宋" w:hAnsi="仿宋" w:eastAsia="仿宋"/>
          <w:color w:val="000000"/>
          <w:kern w:val="0"/>
          <w:sz w:val="24"/>
        </w:rPr>
        <w:t>1303</w:t>
      </w:r>
      <w:r>
        <w:rPr>
          <w:rFonts w:hint="eastAsia" w:ascii="仿宋" w:hAnsi="仿宋" w:eastAsia="仿宋" w:cs="宋体"/>
          <w:color w:val="000000"/>
          <w:kern w:val="0"/>
          <w:sz w:val="24"/>
        </w:rPr>
        <w:t>机巷巷道左帮（非回采侧）施工水沟（水沟内铺设搪瓷溜子），水沟自</w:t>
      </w:r>
      <w:r>
        <w:rPr>
          <w:rFonts w:ascii="仿宋" w:hAnsi="仿宋" w:eastAsia="仿宋"/>
          <w:color w:val="000000"/>
          <w:kern w:val="0"/>
          <w:sz w:val="24"/>
        </w:rPr>
        <w:t>1303</w:t>
      </w:r>
      <w:r>
        <w:rPr>
          <w:rFonts w:hint="eastAsia" w:ascii="仿宋" w:hAnsi="仿宋" w:eastAsia="仿宋" w:cs="宋体"/>
          <w:color w:val="000000"/>
          <w:kern w:val="0"/>
          <w:sz w:val="24"/>
        </w:rPr>
        <w:t>切眼向外</w:t>
      </w:r>
      <w:r>
        <w:rPr>
          <w:rFonts w:ascii="仿宋" w:hAnsi="仿宋" w:eastAsia="仿宋"/>
          <w:color w:val="000000"/>
          <w:kern w:val="0"/>
          <w:sz w:val="24"/>
        </w:rPr>
        <w:t>80m</w:t>
      </w:r>
      <w:r>
        <w:rPr>
          <w:rFonts w:hint="eastAsia" w:ascii="仿宋" w:hAnsi="仿宋" w:eastAsia="仿宋" w:cs="宋体"/>
          <w:color w:val="000000"/>
          <w:kern w:val="0"/>
          <w:sz w:val="24"/>
        </w:rPr>
        <w:t>开始施工，至</w:t>
      </w:r>
      <w:r>
        <w:rPr>
          <w:rFonts w:ascii="仿宋" w:hAnsi="仿宋" w:eastAsia="仿宋"/>
          <w:color w:val="000000"/>
          <w:kern w:val="0"/>
          <w:sz w:val="24"/>
        </w:rPr>
        <w:t>1303</w:t>
      </w:r>
      <w:r>
        <w:rPr>
          <w:rFonts w:hint="eastAsia" w:ascii="仿宋" w:hAnsi="仿宋" w:eastAsia="仿宋" w:cs="宋体"/>
          <w:color w:val="000000"/>
          <w:kern w:val="0"/>
          <w:sz w:val="24"/>
        </w:rPr>
        <w:t>机巷沉淀池结束，净尺寸：宽</w:t>
      </w:r>
      <w:r>
        <w:rPr>
          <w:rFonts w:ascii="仿宋" w:hAnsi="仿宋" w:eastAsia="仿宋"/>
          <w:color w:val="000000"/>
          <w:kern w:val="0"/>
          <w:sz w:val="24"/>
        </w:rPr>
        <w:t>×</w:t>
      </w:r>
      <w:r>
        <w:rPr>
          <w:rFonts w:hint="eastAsia" w:ascii="仿宋" w:hAnsi="仿宋" w:eastAsia="仿宋" w:cs="宋体"/>
          <w:color w:val="000000"/>
          <w:kern w:val="0"/>
          <w:sz w:val="24"/>
        </w:rPr>
        <w:t>深</w:t>
      </w:r>
      <w:r>
        <w:rPr>
          <w:rFonts w:ascii="仿宋" w:hAnsi="仿宋" w:eastAsia="仿宋"/>
          <w:color w:val="000000"/>
          <w:kern w:val="0"/>
          <w:sz w:val="24"/>
        </w:rPr>
        <w:t>=0.4m×0.4m</w:t>
      </w:r>
      <w:r>
        <w:rPr>
          <w:rFonts w:hint="eastAsia" w:ascii="仿宋" w:hAnsi="仿宋" w:eastAsia="仿宋" w:cs="宋体"/>
          <w:color w:val="000000"/>
          <w:kern w:val="0"/>
          <w:sz w:val="24"/>
        </w:rPr>
        <w:t>，共计</w:t>
      </w:r>
      <w:r>
        <w:rPr>
          <w:rFonts w:ascii="仿宋" w:hAnsi="仿宋" w:eastAsia="仿宋"/>
          <w:color w:val="000000"/>
          <w:kern w:val="0"/>
          <w:sz w:val="24"/>
        </w:rPr>
        <w:t>450m</w:t>
      </w:r>
      <w:r>
        <w:rPr>
          <w:rFonts w:hint="eastAsia" w:ascii="仿宋" w:hAnsi="仿宋" w:eastAsia="仿宋" w:cs="宋体"/>
          <w:color w:val="000000"/>
          <w:kern w:val="0"/>
          <w:sz w:val="24"/>
        </w:rPr>
        <w:t>。</w:t>
      </w:r>
    </w:p>
    <w:p>
      <w:pPr>
        <w:autoSpaceDE w:val="0"/>
        <w:autoSpaceDN w:val="0"/>
        <w:adjustRightInd w:val="0"/>
        <w:ind w:firstLine="48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w:t>
      </w:r>
      <w:r>
        <w:rPr>
          <w:rFonts w:hint="eastAsia" w:ascii="仿宋" w:hAnsi="仿宋" w:eastAsia="仿宋"/>
          <w:color w:val="000000" w:themeColor="text1"/>
          <w:kern w:val="0"/>
          <w:sz w:val="24"/>
          <w:lang w:val="en-US" w:eastAsia="zh-CN"/>
          <w14:textFill>
            <w14:solidFill>
              <w14:schemeClr w14:val="tx1"/>
            </w14:solidFill>
          </w14:textFill>
        </w:rPr>
        <w:t>2</w:t>
      </w:r>
      <w:r>
        <w:rPr>
          <w:rFonts w:hint="eastAsia" w:ascii="仿宋" w:hAnsi="仿宋" w:eastAsia="仿宋"/>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水泵及排水管路安装：</w:t>
      </w:r>
      <w:r>
        <w:rPr>
          <w:rFonts w:hint="eastAsia" w:ascii="仿宋" w:hAnsi="仿宋" w:eastAsia="仿宋" w:cs="宋体"/>
          <w:color w:val="000000" w:themeColor="text1"/>
          <w:kern w:val="0"/>
          <w:sz w:val="24"/>
          <w:lang w:val="en-US" w:eastAsia="zh-CN"/>
          <w14:textFill>
            <w14:solidFill>
              <w14:schemeClr w14:val="tx1"/>
            </w14:solidFill>
          </w14:textFill>
        </w:rPr>
        <w:t>机巷转载机上方固定放置一</w:t>
      </w:r>
      <w:r>
        <w:rPr>
          <w:rFonts w:hint="eastAsia" w:ascii="仿宋" w:hAnsi="仿宋" w:eastAsia="仿宋" w:cs="宋体"/>
          <w:color w:val="000000" w:themeColor="text1"/>
          <w:kern w:val="0"/>
          <w:sz w:val="24"/>
          <w14:textFill>
            <w14:solidFill>
              <w14:schemeClr w14:val="tx1"/>
            </w14:solidFill>
          </w14:textFill>
        </w:rPr>
        <w:t>台隔爆型潜水电泵</w:t>
      </w:r>
      <w:r>
        <w:rPr>
          <w:rFonts w:ascii="仿宋" w:hAnsi="仿宋" w:eastAsia="仿宋"/>
          <w:color w:val="000000" w:themeColor="text1"/>
          <w:kern w:val="0"/>
          <w:sz w:val="24"/>
          <w14:textFill>
            <w14:solidFill>
              <w14:schemeClr w14:val="tx1"/>
            </w14:solidFill>
          </w14:textFill>
        </w:rPr>
        <w:t>BQS100-</w:t>
      </w:r>
      <w:r>
        <w:rPr>
          <w:rFonts w:hint="eastAsia" w:ascii="仿宋" w:hAnsi="仿宋" w:eastAsia="仿宋"/>
          <w:color w:val="000000" w:themeColor="text1"/>
          <w:kern w:val="0"/>
          <w:sz w:val="24"/>
          <w:lang w:val="en-US" w:eastAsia="zh-CN"/>
          <w14:textFill>
            <w14:solidFill>
              <w14:schemeClr w14:val="tx1"/>
            </w14:solidFill>
          </w14:textFill>
        </w:rPr>
        <w:t>50</w:t>
      </w:r>
      <w:r>
        <w:rPr>
          <w:rFonts w:ascii="仿宋" w:hAnsi="仿宋" w:eastAsia="仿宋"/>
          <w:color w:val="000000" w:themeColor="text1"/>
          <w:kern w:val="0"/>
          <w:sz w:val="24"/>
          <w14:textFill>
            <w14:solidFill>
              <w14:schemeClr w14:val="tx1"/>
            </w14:solidFill>
          </w14:textFill>
        </w:rPr>
        <w:t>-2</w:t>
      </w:r>
      <w:r>
        <w:rPr>
          <w:rFonts w:hint="eastAsia" w:ascii="仿宋" w:hAnsi="仿宋" w:eastAsia="仿宋"/>
          <w:color w:val="000000" w:themeColor="text1"/>
          <w:kern w:val="0"/>
          <w:sz w:val="24"/>
          <w:lang w:val="en-US" w:eastAsia="zh-CN"/>
          <w14:textFill>
            <w14:solidFill>
              <w14:schemeClr w14:val="tx1"/>
            </w14:solidFill>
          </w14:textFill>
        </w:rPr>
        <w:t>7</w:t>
      </w:r>
      <w:r>
        <w:rPr>
          <w:rFonts w:ascii="仿宋" w:hAnsi="仿宋" w:eastAsia="仿宋"/>
          <w:color w:val="000000" w:themeColor="text1"/>
          <w:kern w:val="0"/>
          <w:sz w:val="24"/>
          <w14:textFill>
            <w14:solidFill>
              <w14:schemeClr w14:val="tx1"/>
            </w14:solidFill>
          </w14:textFill>
        </w:rPr>
        <w:t>/N</w:t>
      </w:r>
      <w:r>
        <w:rPr>
          <w:rFonts w:hint="eastAsia" w:ascii="仿宋" w:hAnsi="仿宋" w:eastAsia="仿宋" w:cs="宋体"/>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一台</w:t>
      </w:r>
      <w:r>
        <w:rPr>
          <w:rFonts w:hint="eastAsia" w:ascii="仿宋" w:hAnsi="仿宋" w:eastAsia="仿宋" w:cs="宋体"/>
          <w:color w:val="000000" w:themeColor="text1"/>
          <w:kern w:val="0"/>
          <w:sz w:val="24"/>
          <w14:textFill>
            <w14:solidFill>
              <w14:schemeClr w14:val="tx1"/>
            </w14:solidFill>
          </w14:textFill>
        </w:rPr>
        <w:t>隔爆型潜水电泵</w:t>
      </w:r>
      <w:r>
        <w:rPr>
          <w:rFonts w:ascii="仿宋" w:hAnsi="仿宋" w:eastAsia="仿宋"/>
          <w:color w:val="000000" w:themeColor="text1"/>
          <w:kern w:val="0"/>
          <w:sz w:val="24"/>
          <w14:textFill>
            <w14:solidFill>
              <w14:schemeClr w14:val="tx1"/>
            </w14:solidFill>
          </w14:textFill>
        </w:rPr>
        <w:t>BQS100-</w:t>
      </w:r>
      <w:r>
        <w:rPr>
          <w:rFonts w:hint="eastAsia" w:ascii="仿宋" w:hAnsi="仿宋" w:eastAsia="仿宋"/>
          <w:color w:val="000000" w:themeColor="text1"/>
          <w:kern w:val="0"/>
          <w:sz w:val="24"/>
          <w:lang w:val="en-US" w:eastAsia="zh-CN"/>
          <w14:textFill>
            <w14:solidFill>
              <w14:schemeClr w14:val="tx1"/>
            </w14:solidFill>
          </w14:textFill>
        </w:rPr>
        <w:t>30</w:t>
      </w:r>
      <w:r>
        <w:rPr>
          <w:rFonts w:ascii="仿宋" w:hAnsi="仿宋" w:eastAsia="仿宋"/>
          <w:color w:val="000000" w:themeColor="text1"/>
          <w:kern w:val="0"/>
          <w:sz w:val="24"/>
          <w14:textFill>
            <w14:solidFill>
              <w14:schemeClr w14:val="tx1"/>
            </w14:solidFill>
          </w14:textFill>
        </w:rPr>
        <w:t>-2</w:t>
      </w:r>
      <w:r>
        <w:rPr>
          <w:rFonts w:hint="eastAsia" w:ascii="仿宋" w:hAnsi="仿宋" w:eastAsia="仿宋"/>
          <w:color w:val="000000" w:themeColor="text1"/>
          <w:kern w:val="0"/>
          <w:sz w:val="24"/>
          <w:lang w:val="en-US" w:eastAsia="zh-CN"/>
          <w14:textFill>
            <w14:solidFill>
              <w14:schemeClr w14:val="tx1"/>
            </w14:solidFill>
          </w14:textFill>
        </w:rPr>
        <w:t>2</w:t>
      </w:r>
      <w:r>
        <w:rPr>
          <w:rFonts w:ascii="仿宋" w:hAnsi="仿宋" w:eastAsia="仿宋"/>
          <w:color w:val="000000" w:themeColor="text1"/>
          <w:kern w:val="0"/>
          <w:sz w:val="24"/>
          <w14:textFill>
            <w14:solidFill>
              <w14:schemeClr w14:val="tx1"/>
            </w14:solidFill>
          </w14:textFill>
        </w:rPr>
        <w:t>/N</w:t>
      </w:r>
      <w:r>
        <w:rPr>
          <w:rFonts w:hint="eastAsia" w:ascii="仿宋" w:hAnsi="仿宋" w:eastAsia="仿宋" w:cs="宋体"/>
          <w:color w:val="000000" w:themeColor="text1"/>
          <w:kern w:val="0"/>
          <w:sz w:val="24"/>
          <w:lang w:val="en-US" w:eastAsia="zh-CN"/>
          <w14:textFill>
            <w14:solidFill>
              <w14:schemeClr w14:val="tx1"/>
            </w14:solidFill>
          </w14:textFill>
        </w:rPr>
        <w:t>备用</w:t>
      </w:r>
      <w:r>
        <w:rPr>
          <w:rFonts w:hint="eastAsia" w:ascii="仿宋" w:hAnsi="仿宋" w:eastAsia="仿宋" w:cs="宋体"/>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机巷</w:t>
      </w:r>
      <w:r>
        <w:rPr>
          <w:rFonts w:hint="eastAsia" w:ascii="仿宋" w:hAnsi="仿宋" w:eastAsia="仿宋" w:cs="宋体"/>
          <w:color w:val="000000" w:themeColor="text1"/>
          <w:kern w:val="0"/>
          <w:sz w:val="24"/>
          <w14:textFill>
            <w14:solidFill>
              <w14:schemeClr w14:val="tx1"/>
            </w14:solidFill>
          </w14:textFill>
        </w:rPr>
        <w:t>安装</w:t>
      </w:r>
      <w:r>
        <w:rPr>
          <w:rFonts w:ascii="仿宋" w:hAnsi="仿宋" w:eastAsia="仿宋"/>
          <w:color w:val="000000" w:themeColor="text1"/>
          <w:kern w:val="0"/>
          <w:sz w:val="24"/>
          <w14:textFill>
            <w14:solidFill>
              <w14:schemeClr w14:val="tx1"/>
            </w14:solidFill>
          </w14:textFill>
        </w:rPr>
        <w:t>1</w:t>
      </w:r>
      <w:r>
        <w:rPr>
          <w:rFonts w:hint="eastAsia" w:ascii="仿宋" w:hAnsi="仿宋" w:eastAsia="仿宋" w:cs="宋体"/>
          <w:color w:val="000000" w:themeColor="text1"/>
          <w:kern w:val="0"/>
          <w:sz w:val="24"/>
          <w14:textFill>
            <w14:solidFill>
              <w14:schemeClr w14:val="tx1"/>
            </w14:solidFill>
          </w14:textFill>
        </w:rPr>
        <w:t>趟</w:t>
      </w:r>
      <w:r>
        <w:rPr>
          <w:rFonts w:ascii="仿宋" w:hAnsi="仿宋" w:eastAsia="仿宋"/>
          <w:color w:val="000000" w:themeColor="text1"/>
          <w:kern w:val="0"/>
          <w:sz w:val="24"/>
          <w14:textFill>
            <w14:solidFill>
              <w14:schemeClr w14:val="tx1"/>
            </w14:solidFill>
          </w14:textFill>
        </w:rPr>
        <w:t>DN108mm</w:t>
      </w:r>
      <w:r>
        <w:rPr>
          <w:rFonts w:hint="eastAsia" w:ascii="仿宋" w:hAnsi="仿宋" w:eastAsia="仿宋" w:cs="宋体"/>
          <w:color w:val="000000" w:themeColor="text1"/>
          <w:kern w:val="0"/>
          <w:sz w:val="24"/>
          <w14:textFill>
            <w14:solidFill>
              <w14:schemeClr w14:val="tx1"/>
            </w14:solidFill>
          </w14:textFill>
        </w:rPr>
        <w:t>钢管作为排水管路，双回路供电，排水管路接至北翼带式输送机大巷排水管路。</w:t>
      </w:r>
    </w:p>
    <w:bookmarkEnd w:id="197"/>
    <w:bookmarkEnd w:id="198"/>
    <w:bookmarkEnd w:id="199"/>
    <w:bookmarkEnd w:id="200"/>
    <w:bookmarkEnd w:id="201"/>
    <w:bookmarkEnd w:id="202"/>
    <w:p>
      <w:pPr>
        <w:tabs>
          <w:tab w:val="left" w:pos="532"/>
        </w:tabs>
        <w:autoSpaceDE w:val="0"/>
        <w:autoSpaceDN w:val="0"/>
        <w:adjustRightInd w:val="0"/>
        <w:snapToGrid w:val="0"/>
        <w:ind w:firstLine="482"/>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附图6：1303工作面排水系统图</w:t>
      </w:r>
      <w:bookmarkStart w:id="203" w:name="_Toc496212763"/>
    </w:p>
    <w:p>
      <w:pPr>
        <w:tabs>
          <w:tab w:val="left" w:pos="532"/>
        </w:tabs>
        <w:autoSpaceDE w:val="0"/>
        <w:autoSpaceDN w:val="0"/>
        <w:adjustRightInd w:val="0"/>
        <w:snapToGrid w:val="0"/>
        <w:ind w:firstLine="0" w:firstLineChars="0"/>
        <w:jc w:val="center"/>
        <w:rPr>
          <w:rFonts w:ascii="黑体" w:hAnsi="黑体" w:eastAsia="黑体" w:cs="仿宋_GB2312"/>
          <w:color w:val="FF0000"/>
          <w:sz w:val="28"/>
          <w:szCs w:val="28"/>
        </w:rPr>
      </w:pPr>
    </w:p>
    <w:p>
      <w:pPr>
        <w:tabs>
          <w:tab w:val="left" w:pos="532"/>
        </w:tabs>
        <w:autoSpaceDE w:val="0"/>
        <w:autoSpaceDN w:val="0"/>
        <w:adjustRightInd w:val="0"/>
        <w:snapToGrid w:val="0"/>
        <w:ind w:firstLine="0" w:firstLineChars="0"/>
        <w:jc w:val="center"/>
        <w:rPr>
          <w:rFonts w:hint="eastAsia" w:ascii="黑体" w:hAnsi="黑体" w:eastAsia="黑体" w:cs="仿宋_GB2312"/>
          <w:color w:val="000000" w:themeColor="text1"/>
          <w:sz w:val="28"/>
          <w:szCs w:val="28"/>
          <w14:textFill>
            <w14:solidFill>
              <w14:schemeClr w14:val="tx1"/>
            </w14:solidFill>
          </w14:textFill>
        </w:rPr>
      </w:pPr>
    </w:p>
    <w:p>
      <w:pPr>
        <w:tabs>
          <w:tab w:val="left" w:pos="532"/>
        </w:tabs>
        <w:autoSpaceDE w:val="0"/>
        <w:autoSpaceDN w:val="0"/>
        <w:adjustRightInd w:val="0"/>
        <w:snapToGrid w:val="0"/>
        <w:ind w:firstLine="0" w:firstLineChars="0"/>
        <w:jc w:val="center"/>
        <w:rPr>
          <w:rFonts w:hint="eastAsia" w:ascii="黑体" w:hAnsi="黑体" w:eastAsia="黑体" w:cs="仿宋_GB2312"/>
          <w:color w:val="000000" w:themeColor="text1"/>
          <w:sz w:val="28"/>
          <w:szCs w:val="28"/>
          <w14:textFill>
            <w14:solidFill>
              <w14:schemeClr w14:val="tx1"/>
            </w14:solidFill>
          </w14:textFill>
        </w:rPr>
      </w:pPr>
    </w:p>
    <w:p>
      <w:pPr>
        <w:tabs>
          <w:tab w:val="left" w:pos="532"/>
        </w:tabs>
        <w:autoSpaceDE w:val="0"/>
        <w:autoSpaceDN w:val="0"/>
        <w:adjustRightInd w:val="0"/>
        <w:snapToGrid w:val="0"/>
        <w:ind w:firstLine="0" w:firstLineChars="0"/>
        <w:jc w:val="center"/>
        <w:rPr>
          <w:rFonts w:hint="eastAsia" w:ascii="黑体" w:hAnsi="黑体" w:eastAsia="黑体" w:cs="仿宋_GB2312"/>
          <w:color w:val="000000" w:themeColor="text1"/>
          <w:sz w:val="28"/>
          <w:szCs w:val="28"/>
          <w14:textFill>
            <w14:solidFill>
              <w14:schemeClr w14:val="tx1"/>
            </w14:solidFill>
          </w14:textFill>
        </w:rPr>
      </w:pPr>
    </w:p>
    <w:p>
      <w:pPr>
        <w:tabs>
          <w:tab w:val="left" w:pos="532"/>
        </w:tabs>
        <w:autoSpaceDE w:val="0"/>
        <w:autoSpaceDN w:val="0"/>
        <w:adjustRightInd w:val="0"/>
        <w:snapToGrid w:val="0"/>
        <w:ind w:firstLine="0" w:firstLineChars="0"/>
        <w:jc w:val="center"/>
        <w:rPr>
          <w:rFonts w:ascii="仿宋" w:hAnsi="仿宋" w:eastAsia="仿宋" w:cs="仿宋"/>
          <w:b/>
          <w:bCs/>
          <w:color w:val="000000" w:themeColor="text1"/>
          <w:sz w:val="28"/>
          <w:szCs w:val="28"/>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第五节 供电系统</w:t>
      </w:r>
      <w:bookmarkEnd w:id="203"/>
      <w:bookmarkStart w:id="204" w:name="_Toc496212764"/>
    </w:p>
    <w:p>
      <w:pPr>
        <w:ind w:firstLine="0" w:firstLineChars="0"/>
        <w:jc w:val="left"/>
        <w:rPr>
          <w:rFonts w:hint="eastAsia" w:ascii="仿宋" w:hAnsi="仿宋" w:eastAsia="仿宋" w:cs="仿宋_GB2312"/>
          <w:b/>
          <w:color w:val="000000" w:themeColor="text1"/>
          <w:sz w:val="24"/>
          <w:lang w:val="en-US" w:eastAsia="zh-CN"/>
          <w14:textFill>
            <w14:solidFill>
              <w14:schemeClr w14:val="tx1"/>
            </w14:solidFill>
          </w14:textFill>
        </w:rPr>
      </w:pPr>
    </w:p>
    <w:p>
      <w:pPr>
        <w:ind w:firstLine="0" w:firstLineChars="0"/>
        <w:jc w:val="left"/>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1.工作面供电系统拟定</w:t>
      </w:r>
    </w:p>
    <w:p>
      <w:pPr>
        <w:ind w:left="0" w:leftChars="0" w:firstLine="0" w:firstLineChars="0"/>
        <w:jc w:val="left"/>
        <w:rPr>
          <w:rFonts w:ascii="宋体" w:hAnsi="宋体" w:eastAsia="宋体"/>
        </w:rPr>
      </w:pPr>
      <w:r>
        <w:rPr>
          <w:rFonts w:hint="eastAsia" w:ascii="仿宋" w:hAnsi="仿宋" w:eastAsia="仿宋" w:cs="仿宋_GB2312"/>
          <w:b/>
          <w:color w:val="000000" w:themeColor="text1"/>
          <w:sz w:val="24"/>
          <w14:textFill>
            <w14:solidFill>
              <w14:schemeClr w14:val="tx1"/>
            </w14:solidFill>
          </w14:textFill>
        </w:rPr>
        <w:t>1</w:t>
      </w:r>
      <w:r>
        <w:rPr>
          <w:rFonts w:hint="eastAsia" w:ascii="仿宋" w:hAnsi="仿宋" w:eastAsia="仿宋" w:cs="仿宋_GB2312"/>
          <w:b/>
          <w:color w:val="000000" w:themeColor="text1"/>
          <w:sz w:val="24"/>
          <w:lang w:val="en-US" w:eastAsia="zh-CN"/>
          <w14:textFill>
            <w14:solidFill>
              <w14:schemeClr w14:val="tx1"/>
            </w14:solidFill>
          </w14:textFill>
        </w:rPr>
        <w:t xml:space="preserve">.1 </w:t>
      </w:r>
      <w:r>
        <w:rPr>
          <w:rFonts w:hint="eastAsia" w:ascii="仿宋" w:hAnsi="仿宋" w:eastAsia="仿宋" w:cs="仿宋_GB2312"/>
          <w:b/>
          <w:color w:val="000000" w:themeColor="text1"/>
          <w:sz w:val="24"/>
          <w14:textFill>
            <w14:solidFill>
              <w14:schemeClr w14:val="tx1"/>
            </w14:solidFill>
          </w14:textFill>
        </w:rPr>
        <w:t>10000V供电系统拟定：</w:t>
      </w:r>
      <w:r>
        <w:rPr>
          <w:rFonts w:hint="eastAsia" w:ascii="宋体" w:hAnsi="宋体" w:eastAsia="宋体"/>
        </w:rPr>
        <w:t xml:space="preserve"> </w:t>
      </w:r>
    </w:p>
    <w:p>
      <w:pPr>
        <w:autoSpaceDE w:val="0"/>
        <w:autoSpaceDN w:val="0"/>
        <w:adjustRightInd w:val="0"/>
        <w:ind w:firstLine="48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1303综采工作面采用远距离供电，</w:t>
      </w:r>
      <w:r>
        <w:rPr>
          <w:rFonts w:hint="eastAsia" w:ascii="仿宋" w:hAnsi="仿宋" w:eastAsia="仿宋"/>
          <w:color w:val="000000" w:themeColor="text1"/>
          <w:kern w:val="0"/>
          <w:sz w:val="24"/>
          <w:lang w:val="zh-CN"/>
          <w14:textFill>
            <w14:solidFill>
              <w14:schemeClr w14:val="tx1"/>
            </w14:solidFill>
          </w14:textFill>
        </w:rPr>
        <w:t>在</w:t>
      </w:r>
      <w:r>
        <w:rPr>
          <w:rFonts w:hint="eastAsia" w:ascii="仿宋" w:hAnsi="仿宋" w:eastAsia="仿宋"/>
          <w:color w:val="000000" w:themeColor="text1"/>
          <w:kern w:val="0"/>
          <w:sz w:val="24"/>
          <w14:textFill>
            <w14:solidFill>
              <w14:schemeClr w14:val="tx1"/>
            </w14:solidFill>
          </w14:textFill>
        </w:rPr>
        <w:t>第二车场与北翼运输大巷联巷内布置高压配电点和移变配电点，10kV电源</w:t>
      </w:r>
      <w:r>
        <w:rPr>
          <w:rFonts w:hint="eastAsia" w:ascii="仿宋" w:hAnsi="仿宋" w:eastAsia="仿宋"/>
          <w:color w:val="000000" w:themeColor="text1"/>
          <w:kern w:val="0"/>
          <w:sz w:val="24"/>
          <w:lang w:val="zh-CN"/>
          <w14:textFill>
            <w14:solidFill>
              <w14:schemeClr w14:val="tx1"/>
            </w14:solidFill>
          </w14:textFill>
        </w:rPr>
        <w:t>来自+980m一号变电所</w:t>
      </w:r>
      <w:r>
        <w:rPr>
          <w:rFonts w:hint="eastAsia" w:ascii="仿宋" w:hAnsi="仿宋" w:eastAsia="仿宋"/>
          <w:color w:val="000000" w:themeColor="text1"/>
          <w:kern w:val="0"/>
          <w:sz w:val="24"/>
          <w14:textFill>
            <w14:solidFill>
              <w14:schemeClr w14:val="tx1"/>
            </w14:solidFill>
          </w14:textFill>
        </w:rPr>
        <w:t>A-2、B-8高压开关柜</w:t>
      </w:r>
      <w:r>
        <w:rPr>
          <w:rFonts w:hint="eastAsia" w:ascii="仿宋" w:hAnsi="仿宋" w:eastAsia="仿宋"/>
          <w:color w:val="000000" w:themeColor="text1"/>
          <w:kern w:val="0"/>
          <w:sz w:val="24"/>
          <w:lang w:val="zh-CN"/>
          <w14:textFill>
            <w14:solidFill>
              <w14:schemeClr w14:val="tx1"/>
            </w14:solidFill>
          </w14:textFill>
        </w:rPr>
        <w:t>。</w:t>
      </w:r>
    </w:p>
    <w:p>
      <w:pPr>
        <w:ind w:left="0" w:leftChars="0" w:firstLine="0" w:firstLineChars="0"/>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w:t>
      </w:r>
      <w:r>
        <w:rPr>
          <w:rFonts w:hint="eastAsia" w:ascii="仿宋" w:hAnsi="仿宋" w:eastAsia="仿宋" w:cs="仿宋_GB2312"/>
          <w:b/>
          <w:color w:val="000000" w:themeColor="text1"/>
          <w:sz w:val="24"/>
          <w:lang w:val="en-US" w:eastAsia="zh-CN"/>
          <w14:textFill>
            <w14:solidFill>
              <w14:schemeClr w14:val="tx1"/>
            </w14:solidFill>
          </w14:textFill>
        </w:rPr>
        <w:t>2</w:t>
      </w:r>
      <w:r>
        <w:rPr>
          <w:rFonts w:hint="eastAsia" w:ascii="仿宋" w:hAnsi="仿宋" w:eastAsia="仿宋" w:cs="仿宋_GB2312"/>
          <w:b/>
          <w:color w:val="000000" w:themeColor="text1"/>
          <w:sz w:val="24"/>
          <w14:textFill>
            <w14:solidFill>
              <w14:schemeClr w14:val="tx1"/>
            </w14:solidFill>
          </w14:textFill>
        </w:rPr>
        <w:t>变压器供电系统拟定：</w:t>
      </w:r>
    </w:p>
    <w:p>
      <w:pPr>
        <w:ind w:firstLine="480"/>
        <w:jc w:val="left"/>
        <w:rPr>
          <w:rFonts w:hint="eastAsia" w:ascii="仿宋" w:hAnsi="仿宋" w:eastAsia="仿宋" w:cs="仿宋_GB2312"/>
          <w:color w:val="000000" w:themeColor="text1"/>
          <w:kern w:val="2"/>
          <w:szCs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联巷配电点内安装两台KBSGZY-4000/10/</w:t>
      </w:r>
      <w:r>
        <w:rPr>
          <w:rFonts w:hint="eastAsia" w:ascii="仿宋" w:hAnsi="仿宋" w:eastAsia="仿宋"/>
          <w:color w:val="000000" w:themeColor="text1"/>
          <w:kern w:val="0"/>
          <w:sz w:val="24"/>
          <w:lang w:val="en-US" w:eastAsia="zh-CN"/>
          <w14:textFill>
            <w14:solidFill>
              <w14:schemeClr w14:val="tx1"/>
            </w14:solidFill>
          </w14:textFill>
        </w:rPr>
        <w:t>3.3</w:t>
      </w:r>
      <w:r>
        <w:rPr>
          <w:rFonts w:hint="eastAsia" w:ascii="仿宋" w:hAnsi="仿宋" w:eastAsia="仿宋"/>
          <w:color w:val="000000" w:themeColor="text1"/>
          <w:kern w:val="0"/>
          <w:sz w:val="24"/>
          <w14:textFill>
            <w14:solidFill>
              <w14:schemeClr w14:val="tx1"/>
            </w14:solidFill>
          </w14:textFill>
        </w:rPr>
        <w:t>型移动变电站（1#、2#综采变压器），为采煤机、运输机、转载机、破碎机等综采设备提供3300V电源；一台KBSGZY-1250/10/1.</w:t>
      </w:r>
      <w:r>
        <w:rPr>
          <w:rFonts w:hint="eastAsia" w:ascii="仿宋" w:hAnsi="仿宋" w:eastAsia="仿宋"/>
          <w:color w:val="000000" w:themeColor="text1"/>
          <w:kern w:val="0"/>
          <w:sz w:val="24"/>
          <w:lang w:val="en-US" w:eastAsia="zh-CN"/>
          <w14:textFill>
            <w14:solidFill>
              <w14:schemeClr w14:val="tx1"/>
            </w14:solidFill>
          </w14:textFill>
        </w:rPr>
        <w:t>14</w:t>
      </w:r>
      <w:r>
        <w:rPr>
          <w:rFonts w:hint="eastAsia" w:ascii="仿宋" w:hAnsi="仿宋" w:eastAsia="仿宋"/>
          <w:color w:val="000000" w:themeColor="text1"/>
          <w:kern w:val="0"/>
          <w:sz w:val="24"/>
          <w14:textFill>
            <w14:solidFill>
              <w14:schemeClr w14:val="tx1"/>
            </w14:solidFill>
          </w14:textFill>
        </w:rPr>
        <w:t>型移动变电站（3#泵站变压器），为机巷乳化泵站、机巷低压动力、机巷排水二回路提供1140V电源；一台KBSGZY-</w:t>
      </w:r>
      <w:r>
        <w:rPr>
          <w:rFonts w:hint="eastAsia" w:ascii="仿宋" w:hAnsi="仿宋" w:eastAsia="仿宋"/>
          <w:color w:val="000000" w:themeColor="text1"/>
          <w:kern w:val="0"/>
          <w:sz w:val="24"/>
          <w:lang w:val="en-US" w:eastAsia="zh-CN"/>
          <w14:textFill>
            <w14:solidFill>
              <w14:schemeClr w14:val="tx1"/>
            </w14:solidFill>
          </w14:textFill>
        </w:rPr>
        <w:t>5</w:t>
      </w:r>
      <w:r>
        <w:rPr>
          <w:rFonts w:hint="eastAsia" w:ascii="仿宋" w:hAnsi="仿宋" w:eastAsia="仿宋"/>
          <w:color w:val="000000" w:themeColor="text1"/>
          <w:kern w:val="0"/>
          <w:sz w:val="24"/>
          <w14:textFill>
            <w14:solidFill>
              <w14:schemeClr w14:val="tx1"/>
            </w14:solidFill>
          </w14:textFill>
        </w:rPr>
        <w:t>00/10/1.</w:t>
      </w:r>
      <w:r>
        <w:rPr>
          <w:rFonts w:hint="eastAsia" w:ascii="仿宋" w:hAnsi="仿宋" w:eastAsia="仿宋"/>
          <w:color w:val="000000" w:themeColor="text1"/>
          <w:kern w:val="0"/>
          <w:sz w:val="24"/>
          <w:lang w:val="en-US" w:eastAsia="zh-CN"/>
          <w14:textFill>
            <w14:solidFill>
              <w14:schemeClr w14:val="tx1"/>
            </w14:solidFill>
          </w14:textFill>
        </w:rPr>
        <w:t>14</w:t>
      </w:r>
      <w:r>
        <w:rPr>
          <w:rFonts w:hint="eastAsia" w:ascii="仿宋" w:hAnsi="仿宋" w:eastAsia="仿宋"/>
          <w:color w:val="000000" w:themeColor="text1"/>
          <w:kern w:val="0"/>
          <w:sz w:val="24"/>
          <w14:textFill>
            <w14:solidFill>
              <w14:schemeClr w14:val="tx1"/>
            </w14:solidFill>
          </w14:textFill>
        </w:rPr>
        <w:t>型移动变电站（5#机巷无极绳变压器），为机巷排水一回路供电提供1140V电源。在机巷皮带机头处安装一台KBSGZY-1600/10/1.</w:t>
      </w:r>
      <w:r>
        <w:rPr>
          <w:rFonts w:hint="eastAsia" w:ascii="仿宋" w:hAnsi="仿宋" w:eastAsia="仿宋"/>
          <w:color w:val="000000" w:themeColor="text1"/>
          <w:kern w:val="0"/>
          <w:sz w:val="24"/>
          <w:lang w:val="en-US" w:eastAsia="zh-CN"/>
          <w14:textFill>
            <w14:solidFill>
              <w14:schemeClr w14:val="tx1"/>
            </w14:solidFill>
          </w14:textFill>
        </w:rPr>
        <w:t>14</w:t>
      </w:r>
      <w:r>
        <w:rPr>
          <w:rFonts w:hint="eastAsia" w:ascii="仿宋" w:hAnsi="仿宋" w:eastAsia="仿宋"/>
          <w:color w:val="000000" w:themeColor="text1"/>
          <w:kern w:val="0"/>
          <w:sz w:val="24"/>
          <w14:textFill>
            <w14:solidFill>
              <w14:schemeClr w14:val="tx1"/>
            </w14:solidFill>
          </w14:textFill>
        </w:rPr>
        <w:t>型移动变电站（4#皮带机变压器），为机巷顺槽永磁滚筒皮带机</w:t>
      </w:r>
      <w:r>
        <w:rPr>
          <w:rFonts w:hint="eastAsia" w:ascii="仿宋" w:hAnsi="仿宋" w:eastAsia="仿宋"/>
          <w:color w:val="000000" w:themeColor="text1"/>
          <w:kern w:val="0"/>
          <w:sz w:val="24"/>
          <w:lang w:val="en-US" w:eastAsia="zh-CN"/>
          <w14:textFill>
            <w14:solidFill>
              <w14:schemeClr w14:val="tx1"/>
            </w14:solidFill>
          </w14:textFill>
        </w:rPr>
        <w:t>供电</w:t>
      </w:r>
      <w:r>
        <w:rPr>
          <w:rFonts w:hint="eastAsia" w:ascii="仿宋" w:hAnsi="仿宋" w:eastAsia="仿宋"/>
          <w:color w:val="000000" w:themeColor="text1"/>
          <w:kern w:val="0"/>
          <w:sz w:val="24"/>
          <w14:textFill>
            <w14:solidFill>
              <w14:schemeClr w14:val="tx1"/>
            </w14:solidFill>
          </w14:textFill>
        </w:rPr>
        <w:t>。</w:t>
      </w:r>
      <w:bookmarkStart w:id="205" w:name="_Toc988967"/>
    </w:p>
    <w:p>
      <w:pPr>
        <w:pStyle w:val="4"/>
        <w:keepNext w:val="0"/>
        <w:keepLines w:val="0"/>
        <w:snapToGrid w:val="0"/>
        <w:spacing w:before="0" w:after="0"/>
        <w:ind w:firstLine="0" w:firstLineChars="0"/>
        <w:jc w:val="both"/>
        <w:rPr>
          <w:rFonts w:ascii="仿宋" w:hAnsi="仿宋" w:eastAsia="仿宋" w:cs="仿宋_GB2312"/>
          <w:color w:val="000000" w:themeColor="text1"/>
          <w:kern w:val="2"/>
          <w:szCs w:val="24"/>
          <w14:textFill>
            <w14:solidFill>
              <w14:schemeClr w14:val="tx1"/>
            </w14:solidFill>
          </w14:textFill>
        </w:rPr>
      </w:pPr>
      <w:r>
        <w:rPr>
          <w:rFonts w:hint="eastAsia" w:ascii="仿宋" w:hAnsi="仿宋" w:eastAsia="仿宋" w:cs="仿宋_GB2312"/>
          <w:color w:val="000000" w:themeColor="text1"/>
          <w:kern w:val="2"/>
          <w:szCs w:val="24"/>
          <w14:textFill>
            <w14:solidFill>
              <w14:schemeClr w14:val="tx1"/>
            </w14:solidFill>
          </w14:textFill>
        </w:rPr>
        <w:t>2. 负荷统计与变压器选择</w:t>
      </w:r>
      <w:bookmarkEnd w:id="205"/>
    </w:p>
    <w:p>
      <w:pPr>
        <w:pStyle w:val="4"/>
        <w:keepNext w:val="0"/>
        <w:keepLines w:val="0"/>
        <w:snapToGrid w:val="0"/>
        <w:spacing w:before="0" w:after="0"/>
        <w:ind w:firstLine="0" w:firstLineChars="0"/>
        <w:jc w:val="both"/>
        <w:rPr>
          <w:rFonts w:ascii="仿宋" w:hAnsi="仿宋" w:eastAsia="仿宋" w:cs="仿宋_GB2312"/>
          <w:color w:val="000000" w:themeColor="text1"/>
          <w:kern w:val="2"/>
          <w:szCs w:val="24"/>
          <w14:textFill>
            <w14:solidFill>
              <w14:schemeClr w14:val="tx1"/>
            </w14:solidFill>
          </w14:textFill>
        </w:rPr>
      </w:pPr>
      <w:bookmarkStart w:id="206" w:name="_Toc988968"/>
      <w:r>
        <w:rPr>
          <w:rFonts w:hint="eastAsia" w:ascii="仿宋" w:hAnsi="仿宋" w:eastAsia="仿宋" w:cs="仿宋_GB2312"/>
          <w:color w:val="000000" w:themeColor="text1"/>
          <w:kern w:val="2"/>
          <w:szCs w:val="24"/>
          <w14:textFill>
            <w14:solidFill>
              <w14:schemeClr w14:val="tx1"/>
            </w14:solidFill>
          </w14:textFill>
        </w:rPr>
        <w:t>2.1 负荷统计表</w:t>
      </w:r>
      <w:bookmarkEnd w:id="206"/>
    </w:p>
    <w:p>
      <w:pPr>
        <w:ind w:firstLine="420"/>
        <w:jc w:val="center"/>
        <w:rPr>
          <w:rFonts w:hint="eastAsia" w:ascii="宋体" w:hAnsi="宋体" w:eastAsia="宋体"/>
        </w:rPr>
      </w:pPr>
    </w:p>
    <w:p>
      <w:pPr>
        <w:ind w:firstLine="420"/>
        <w:jc w:val="center"/>
        <w:rPr>
          <w:rFonts w:ascii="宋体" w:hAnsi="宋体" w:eastAsia="宋体"/>
        </w:rPr>
      </w:pPr>
      <w:r>
        <w:rPr>
          <w:rFonts w:hint="eastAsia" w:ascii="宋体" w:hAnsi="宋体" w:eastAsia="宋体"/>
        </w:rPr>
        <w:t>1#变压器负荷统计表</w:t>
      </w:r>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20"/>
        <w:gridCol w:w="781"/>
        <w:gridCol w:w="863"/>
        <w:gridCol w:w="945"/>
        <w:gridCol w:w="862"/>
        <w:gridCol w:w="862"/>
        <w:gridCol w:w="862"/>
        <w:gridCol w:w="862"/>
        <w:gridCol w:w="862"/>
        <w:gridCol w:w="8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设备名称</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电动机台数</w:t>
            </w:r>
          </w:p>
        </w:tc>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电动机型号</w:t>
            </w:r>
          </w:p>
        </w:tc>
        <w:tc>
          <w:tcPr>
            <w:tcW w:w="11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w:t>
            </w:r>
            <m:oMath>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额定电压</w:t>
            </w:r>
            <m:oMath>
              <m:r>
                <m:rPr>
                  <m:sty m:val="p"/>
                </m:rPr>
                <w:rPr>
                  <w:rFonts w:hint="eastAsia" w:ascii="Cambria Math" w:hAnsi="Cambria Math" w:eastAsia="仿宋"/>
                  <w:color w:val="000000" w:themeColor="text1"/>
                  <w:sz w:val="18"/>
                  <w:szCs w:val="18"/>
                  <w14:textFill>
                    <w14:solidFill>
                      <w14:schemeClr w14:val="tx1"/>
                    </w14:solidFill>
                  </w14:textFill>
                </w:rPr>
                <m:t>(V)</m:t>
              </m:r>
            </m:oMath>
          </w:p>
        </w:tc>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额定效率</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η</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启动电流倍数</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M1(采煤机)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MG650/1510WD</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1510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3300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304</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M2,M3(刮板输送机)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SGZ1000/1710</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855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3300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183</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功率</w:t>
            </w:r>
            <m:oMath>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3220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平均功率因数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pj</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w:t>
            </w:r>
          </w:p>
        </w:tc>
      </w:tr>
    </w:tbl>
    <w:p>
      <w:pPr>
        <w:ind w:firstLine="420"/>
        <w:jc w:val="center"/>
        <w:rPr>
          <w:rFonts w:hint="eastAsia" w:ascii="宋体" w:hAnsi="宋体" w:eastAsia="宋体"/>
        </w:rPr>
      </w:pPr>
    </w:p>
    <w:p>
      <w:pPr>
        <w:ind w:left="0" w:leftChars="0" w:firstLine="0" w:firstLineChars="0"/>
        <w:jc w:val="center"/>
        <w:rPr>
          <w:rFonts w:ascii="宋体" w:hAnsi="宋体" w:eastAsia="宋体"/>
        </w:rPr>
      </w:pPr>
      <w:r>
        <w:rPr>
          <w:rFonts w:hint="eastAsia" w:ascii="宋体" w:hAnsi="宋体" w:eastAsia="宋体"/>
        </w:rPr>
        <w:t>2#变压器负荷统计表</w:t>
      </w:r>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20"/>
        <w:gridCol w:w="781"/>
        <w:gridCol w:w="863"/>
        <w:gridCol w:w="945"/>
        <w:gridCol w:w="862"/>
        <w:gridCol w:w="862"/>
        <w:gridCol w:w="862"/>
        <w:gridCol w:w="862"/>
        <w:gridCol w:w="862"/>
        <w:gridCol w:w="8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设备名称</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电动机台数</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电动机型号</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w:t>
            </w:r>
            <m:oMath>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额定电压</w:t>
            </w:r>
            <m:oMath>
              <m:r>
                <m:rPr>
                  <m:sty m:val="p"/>
                </m:rPr>
                <w:rPr>
                  <w:rFonts w:hint="eastAsia" w:ascii="Cambria Math" w:hAnsi="Cambria Math" w:eastAsia="仿宋"/>
                  <w:color w:val="000000" w:themeColor="text1"/>
                  <w:sz w:val="18"/>
                  <w:szCs w:val="18"/>
                  <w14:textFill>
                    <w14:solidFill>
                      <w14:schemeClr w14:val="tx1"/>
                    </w14:solidFill>
                  </w14:textFill>
                </w:rPr>
                <m:t>(V)</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额定效率</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η</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启动电流倍数</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M4(转载机)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YBSD-700/350-4/8</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700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3300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113</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M5(破碎机)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PCM400</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400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3300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M6,M7(刮板输送机)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SGZ1000/1710</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855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3300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176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0.42</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功率</w:t>
            </w:r>
            <m:oMath>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2810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平均功率因数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pj</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w:t>
            </w:r>
          </w:p>
        </w:tc>
      </w:tr>
    </w:tbl>
    <w:p>
      <w:pPr>
        <w:ind w:firstLine="420"/>
        <w:jc w:val="center"/>
        <w:rPr>
          <w:rFonts w:ascii="宋体" w:hAnsi="宋体" w:eastAsia="宋体"/>
        </w:rPr>
      </w:pPr>
      <w:r>
        <w:rPr>
          <w:rFonts w:hint="eastAsia" w:ascii="宋体" w:hAnsi="宋体" w:eastAsia="宋体"/>
        </w:rPr>
        <w:t>4#变压器负荷统计表</w:t>
      </w:r>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20"/>
        <w:gridCol w:w="781"/>
        <w:gridCol w:w="863"/>
        <w:gridCol w:w="945"/>
        <w:gridCol w:w="862"/>
        <w:gridCol w:w="862"/>
        <w:gridCol w:w="862"/>
        <w:gridCol w:w="862"/>
        <w:gridCol w:w="862"/>
        <w:gridCol w:w="8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设备名称</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电动机台数</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电动机型号</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w:t>
            </w:r>
            <m:oMath>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额定电压</w:t>
            </w:r>
            <m:oMath>
              <m:r>
                <m:rPr>
                  <m:sty m:val="p"/>
                </m:rPr>
                <w:rPr>
                  <w:rFonts w:hint="eastAsia" w:ascii="Cambria Math" w:hAnsi="Cambria Math" w:eastAsia="仿宋"/>
                  <w:color w:val="000000" w:themeColor="text1"/>
                  <w:sz w:val="18"/>
                  <w:szCs w:val="18"/>
                  <w14:textFill>
                    <w14:solidFill>
                      <w14:schemeClr w14:val="tx1"/>
                    </w14:solidFill>
                  </w14:textFill>
                </w:rPr>
                <m:t>(V)</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额定效率</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η</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启动电流倍数</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M8,M9(永磁电机)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YBK3-500</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500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310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M22(排水泵)</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BQS60-30-22/N</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22</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14</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功率</w:t>
            </w:r>
            <m:oMath>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平均功率因数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pj</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w:t>
            </w:r>
          </w:p>
        </w:tc>
      </w:tr>
    </w:tbl>
    <w:p>
      <w:pPr>
        <w:ind w:firstLine="420"/>
        <w:jc w:val="center"/>
        <w:rPr>
          <w:rFonts w:ascii="宋体" w:hAnsi="宋体" w:eastAsia="宋体"/>
        </w:rPr>
      </w:pPr>
      <w:r>
        <w:rPr>
          <w:rFonts w:hint="eastAsia" w:ascii="宋体" w:hAnsi="宋体" w:eastAsia="宋体"/>
        </w:rPr>
        <w:t>3#变压器负荷统计表</w:t>
      </w:r>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20"/>
        <w:gridCol w:w="781"/>
        <w:gridCol w:w="863"/>
        <w:gridCol w:w="945"/>
        <w:gridCol w:w="862"/>
        <w:gridCol w:w="862"/>
        <w:gridCol w:w="862"/>
        <w:gridCol w:w="862"/>
        <w:gridCol w:w="862"/>
        <w:gridCol w:w="8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设备名称</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电动机台数</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电动机型号</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w:t>
            </w:r>
            <m:oMath>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额定电压</w:t>
            </w:r>
            <m:oMath>
              <m:r>
                <m:rPr>
                  <m:sty m:val="p"/>
                </m:rPr>
                <w:rPr>
                  <w:rFonts w:hint="eastAsia" w:ascii="Cambria Math" w:hAnsi="Cambria Math" w:eastAsia="仿宋"/>
                  <w:color w:val="000000" w:themeColor="text1"/>
                  <w:sz w:val="18"/>
                  <w:szCs w:val="18"/>
                  <w14:textFill>
                    <w14:solidFill>
                      <w14:schemeClr w14:val="tx1"/>
                    </w14:solidFill>
                  </w14:textFill>
                </w:rPr>
                <m:t>(V)</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额定效率</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η</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启动电流倍数</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M10,M12,M14(乳化液泵站)</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BRW315KW</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315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M11,M13(喷雾泵)</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BPW-315/400-10</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47</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M21(排水泵)</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BQS60-30-22/N</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22</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14</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M26(钻机)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YBK-45</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28</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M27(挖掘式装载机)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YBK3-55</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34</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M28(钻机)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YBK3-45</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28</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功率</w:t>
            </w:r>
            <m:oMath>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1262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平均功率因数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pj</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w:t>
            </w:r>
          </w:p>
        </w:tc>
      </w:tr>
    </w:tbl>
    <w:p>
      <w:pPr>
        <w:ind w:firstLine="420"/>
        <w:jc w:val="center"/>
        <w:rPr>
          <w:rFonts w:ascii="宋体" w:hAnsi="宋体" w:eastAsia="宋体"/>
        </w:rPr>
      </w:pPr>
      <w:r>
        <w:rPr>
          <w:rFonts w:hint="eastAsia" w:ascii="宋体" w:hAnsi="宋体" w:eastAsia="宋体"/>
        </w:rPr>
        <w:t>5#变压器负荷统计表</w:t>
      </w:r>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20"/>
        <w:gridCol w:w="781"/>
        <w:gridCol w:w="863"/>
        <w:gridCol w:w="945"/>
        <w:gridCol w:w="862"/>
        <w:gridCol w:w="862"/>
        <w:gridCol w:w="862"/>
        <w:gridCol w:w="862"/>
        <w:gridCol w:w="862"/>
        <w:gridCol w:w="8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设备名称</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电动机台数</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电动机型号</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w:t>
            </w:r>
            <m:oMath>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额定电压</w:t>
            </w:r>
            <m:oMath>
              <m:r>
                <m:rPr>
                  <m:sty m:val="p"/>
                </m:rPr>
                <w:rPr>
                  <w:rFonts w:hint="eastAsia" w:ascii="Cambria Math" w:hAnsi="Cambria Math" w:eastAsia="仿宋"/>
                  <w:color w:val="000000" w:themeColor="text1"/>
                  <w:sz w:val="18"/>
                  <w:szCs w:val="18"/>
                  <w14:textFill>
                    <w14:solidFill>
                      <w14:schemeClr w14:val="tx1"/>
                    </w14:solidFill>
                  </w14:textFill>
                </w:rPr>
                <m:t>(V)</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额定效率</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η</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启动电流倍数</w:t>
            </w: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q</m:t>
                  </m:r>
                  <m:ctrlPr>
                    <w:rPr>
                      <w:rFonts w:hint="eastAsia" w:ascii="Cambria Math" w:hAnsi="Cambria Math" w:eastAsia="仿宋"/>
                      <w:color w:val="000000" w:themeColor="text1"/>
                      <w:sz w:val="18"/>
                      <w:szCs w:val="18"/>
                      <w14:textFill>
                        <w14:solidFill>
                          <w14:schemeClr w14:val="tx1"/>
                        </w14:solidFill>
                      </w14:textFill>
                    </w:rPr>
                  </m:ctrlPr>
                </m:sub>
              </m:sSub>
            </m:oMath>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M15,M18(钻机)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YBK3-45</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28</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M16(挖掘式装载机)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YBK3-55</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34</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M17(张紧绞车)</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LJJC-7.5</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M19(冷却风扇)</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YBK3-3</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M20(无极绳绞车)</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YBK2-315M-6</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315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M23(带式输送机)</w:t>
            </w:r>
          </w:p>
        </w:tc>
        <w:tc>
          <w:tcPr>
            <w:tcW w:w="9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DST65/20/2×40</w:t>
            </w:r>
          </w:p>
        </w:tc>
        <w:tc>
          <w:tcPr>
            <w:tcW w:w="11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1140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0.6</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功率</w:t>
            </w:r>
            <m:oMath>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515.5(含照明)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平均功率因数</w:t>
            </w:r>
            <m:oMath>
              <m:r>
                <m:rPr>
                  <m:sty m:val="p"/>
                </m:rPr>
                <w:rPr>
                  <w:rFonts w:hint="eastAsia" w:ascii="Cambria Math" w:hAnsi="Cambria Math" w:eastAsia="仿宋"/>
                  <w:color w:val="000000" w:themeColor="text1"/>
                  <w:sz w:val="18"/>
                  <w:szCs w:val="18"/>
                  <w14:textFill>
                    <w14:solidFill>
                      <w14:schemeClr w14:val="tx1"/>
                    </w14:solidFill>
                  </w14:textFill>
                </w:rPr>
                <m:t>cos</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φ</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pj</m:t>
                  </m:r>
                  <m:ctrlPr>
                    <w:rPr>
                      <w:rFonts w:hint="eastAsia" w:ascii="Cambria Math" w:hAnsi="Cambria Math" w:eastAsia="仿宋"/>
                      <w:color w:val="000000" w:themeColor="text1"/>
                      <w:sz w:val="18"/>
                      <w:szCs w:val="18"/>
                      <w14:textFill>
                        <w14:solidFill>
                          <w14:schemeClr w14:val="tx1"/>
                        </w14:solidFill>
                      </w14:textFill>
                    </w:rPr>
                  </m:ctrlPr>
                </m:sub>
              </m:sSub>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8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合计总功率之和</w:t>
            </w:r>
            <m:oMath>
              <m:r>
                <m:rPr>
                  <m:sty m:val="p"/>
                </m:rPr>
                <w:rPr>
                  <w:rFonts w:hint="eastAsia" w:ascii="Cambria Math" w:hAnsi="Cambria Math" w:eastAsia="仿宋"/>
                  <w:color w:val="000000" w:themeColor="text1"/>
                  <w:sz w:val="18"/>
                  <w:szCs w:val="18"/>
                  <w14:textFill>
                    <w14:solidFill>
                      <w14:schemeClr w14:val="tx1"/>
                    </w14:solidFill>
                  </w14:textFill>
                </w:rPr>
                <m:t>(kW)</m:t>
              </m:r>
            </m:oMath>
          </w:p>
        </w:tc>
        <w:tc>
          <w:tcPr>
            <w:tcW w:w="9000" w:type="dxa"/>
            <w:gridSpan w:val="9"/>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8654.5</w:t>
            </w:r>
          </w:p>
        </w:tc>
      </w:tr>
    </w:tbl>
    <w:p>
      <w:pPr>
        <w:pStyle w:val="4"/>
        <w:ind w:firstLine="0" w:firstLineChars="0"/>
        <w:jc w:val="both"/>
        <w:rPr>
          <w:rFonts w:ascii="宋体" w:hAnsi="宋体" w:eastAsia="宋体"/>
          <w:sz w:val="21"/>
        </w:rPr>
      </w:pPr>
      <w:bookmarkStart w:id="207" w:name="_Toc988969"/>
      <w:r>
        <w:rPr>
          <w:rFonts w:hint="eastAsia" w:ascii="宋体" w:hAnsi="宋体" w:eastAsia="宋体"/>
        </w:rPr>
        <w:t>2.2 变压器选择</w:t>
      </w:r>
      <w:bookmarkEnd w:id="207"/>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根据供电系统的拟订原则，变压器的选择原理如下：</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2.2.1 变压器 1#选型计算</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max</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ascii="Cambria Math" w:hAnsi="Cambria Math" w:eastAsia="仿宋"/>
                  <w:color w:val="000000" w:themeColor="text1"/>
                  <w:szCs w:val="21"/>
                  <w14:textFill>
                    <w14:solidFill>
                      <w14:schemeClr w14:val="tx1"/>
                    </w14:solidFill>
                  </w14:textFill>
                </w:rPr>
                <m:t>855</m:t>
              </m:r>
              <m:r>
                <m:rPr>
                  <m:sty m:val="p"/>
                </m:rPr>
                <w:rPr>
                  <w:rFonts w:hint="eastAsia" w:ascii="Cambria Math" w:hAnsi="Cambria Math" w:eastAsia="仿宋"/>
                  <w:color w:val="000000" w:themeColor="text1"/>
                  <w:szCs w:val="21"/>
                  <w14:textFill>
                    <w14:solidFill>
                      <w14:schemeClr w14:val="tx1"/>
                    </w14:solidFill>
                  </w14:textFill>
                </w:rPr>
                <m:t>.00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3220.00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m:t>
          </m:r>
          <m:r>
            <m:rPr>
              <m:sty m:val="p"/>
            </m:rPr>
            <w:rPr>
              <w:rFonts w:ascii="Cambria Math" w:hAnsi="Cambria Math" w:eastAsia="仿宋"/>
              <w:color w:val="000000" w:themeColor="text1"/>
              <w:szCs w:val="21"/>
              <w14:textFill>
                <w14:solidFill>
                  <w14:schemeClr w14:val="tx1"/>
                </w14:solidFill>
              </w14:textFill>
            </w:rPr>
            <m:t>52</m:t>
          </m:r>
          <m:r>
            <m:rPr>
              <m:sty m:val="p"/>
            </m:rPr>
            <w:rPr>
              <w:rFonts w:hint="eastAsia" w:ascii="Cambria Math" w:hAnsi="Cambria Math" w:eastAsia="仿宋"/>
              <w:color w:val="000000" w:themeColor="text1"/>
              <w:szCs w:val="21"/>
              <w14:textFill>
                <w14:solidFill>
                  <w14:schemeClr w14:val="tx1"/>
                </w14:solidFill>
              </w14:textFill>
            </w:rPr>
            <m:t>，取0.</m:t>
          </m:r>
          <m:r>
            <m:rPr>
              <m:sty m:val="p"/>
            </m:rPr>
            <w:rPr>
              <w:rFonts w:ascii="Cambria Math" w:hAnsi="Cambria Math" w:eastAsia="仿宋"/>
              <w:color w:val="000000" w:themeColor="text1"/>
              <w:szCs w:val="21"/>
              <w14:textFill>
                <w14:solidFill>
                  <w14:schemeClr w14:val="tx1"/>
                </w14:solidFill>
              </w14:textFill>
            </w:rPr>
            <m:t>52</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m:t>
          </m:r>
          <m:r>
            <m:rPr>
              <m:sty m:val="p"/>
            </m:rPr>
            <w:rPr>
              <w:rFonts w:ascii="Cambria Math" w:hAnsi="Cambria Math" w:eastAsia="仿宋"/>
              <w:color w:val="000000" w:themeColor="text1"/>
              <w:szCs w:val="21"/>
              <w14:textFill>
                <w14:solidFill>
                  <w14:schemeClr w14:val="tx1"/>
                </w14:solidFill>
              </w14:textFill>
            </w:rPr>
            <m:t>52</m:t>
          </m:r>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3220.00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0.80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=2</m:t>
          </m:r>
          <m:r>
            <m:rPr>
              <m:sty m:val="p"/>
            </m:rPr>
            <w:rPr>
              <w:rFonts w:ascii="Cambria Math" w:hAnsi="Cambria Math" w:eastAsia="仿宋"/>
              <w:color w:val="000000" w:themeColor="text1"/>
              <w:szCs w:val="21"/>
              <w14:textFill>
                <w14:solidFill>
                  <w14:schemeClr w14:val="tx1"/>
                </w14:solidFill>
              </w14:textFill>
            </w:rPr>
            <m:t>093</m:t>
          </m:r>
          <m:r>
            <m:rPr>
              <m:sty m:val="p"/>
            </m:rPr>
            <w:rPr>
              <w:rFonts w:hint="eastAsia" w:ascii="Cambria Math" w:hAnsi="Cambria Math" w:eastAsia="仿宋"/>
              <w:color w:val="000000" w:themeColor="text1"/>
              <w:szCs w:val="21"/>
              <w14:textFill>
                <w14:solidFill>
                  <w14:schemeClr w14:val="tx1"/>
                </w14:solidFill>
              </w14:textFill>
            </w:rPr>
            <m:t>.00 kVA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    平均功率因数</w:t>
      </w:r>
      <m:oMath>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取0.8，当有功率因数补偿时，按计算的功率因数取值；选用型号为KBSGZY-4000/10/3.45的移动变电站符合要求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2.2.2 变压器 2#选型计算</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max</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855.00</m:t>
              </m:r>
              <m:ctrlPr>
                <w:rPr>
                  <w:rFonts w:hint="eastAsia" w:ascii="Cambria Math" w:hAnsi="Cambria Math" w:eastAsia="仿宋"/>
                  <w:color w:val="000000" w:themeColor="text1"/>
                  <w:szCs w:val="21"/>
                  <w14:textFill>
                    <w14:solidFill>
                      <w14:schemeClr w14:val="tx1"/>
                    </w14:solidFill>
                  </w14:textFill>
                </w:rPr>
              </m:ctrlPr>
            </m:num>
            <m:den>
              <m:r>
                <m:rPr>
                  <m:sty m:val="p"/>
                </m:rPr>
                <w:rPr>
                  <w:rFonts w:ascii="Cambria Math" w:hAnsi="Cambria Math" w:eastAsia="仿宋"/>
                  <w:color w:val="000000" w:themeColor="text1"/>
                  <w:szCs w:val="21"/>
                  <w14:textFill>
                    <w14:solidFill>
                      <w14:schemeClr w14:val="tx1"/>
                    </w14:solidFill>
                  </w14:textFill>
                </w:rPr>
                <m:t>2810</m:t>
              </m:r>
              <m:r>
                <m:rPr>
                  <m:sty m:val="p"/>
                </m:rPr>
                <w:rPr>
                  <w:rFonts w:hint="eastAsia" w:ascii="Cambria Math" w:hAnsi="Cambria Math" w:eastAsia="仿宋"/>
                  <w:color w:val="000000" w:themeColor="text1"/>
                  <w:szCs w:val="21"/>
                  <w14:textFill>
                    <w14:solidFill>
                      <w14:schemeClr w14:val="tx1"/>
                    </w14:solidFill>
                  </w14:textFill>
                </w:rPr>
                <m:t>.00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m:t>
          </m:r>
          <m:r>
            <m:rPr>
              <m:sty m:val="p"/>
            </m:rPr>
            <w:rPr>
              <w:rFonts w:ascii="Cambria Math" w:hAnsi="Cambria Math" w:eastAsia="仿宋"/>
              <w:color w:val="000000" w:themeColor="text1"/>
              <w:szCs w:val="21"/>
              <w14:textFill>
                <w14:solidFill>
                  <w14:schemeClr w14:val="tx1"/>
                </w14:solidFill>
              </w14:textFill>
            </w:rPr>
            <m:t>30</m:t>
          </m:r>
          <m:r>
            <m:rPr>
              <m:sty m:val="p"/>
            </m:rPr>
            <w:rPr>
              <w:rFonts w:hint="eastAsia" w:ascii="Cambria Math" w:hAnsi="Cambria Math" w:eastAsia="仿宋"/>
              <w:color w:val="000000" w:themeColor="text1"/>
              <w:szCs w:val="21"/>
              <w14:textFill>
                <w14:solidFill>
                  <w14:schemeClr w14:val="tx1"/>
                </w14:solidFill>
              </w14:textFill>
            </w:rPr>
            <m:t>，取0.</m:t>
          </m:r>
          <m:r>
            <m:rPr>
              <m:sty m:val="p"/>
            </m:rPr>
            <w:rPr>
              <w:rFonts w:ascii="Cambria Math" w:hAnsi="Cambria Math" w:eastAsia="仿宋"/>
              <w:color w:val="000000" w:themeColor="text1"/>
              <w:szCs w:val="21"/>
              <w14:textFill>
                <w14:solidFill>
                  <w14:schemeClr w14:val="tx1"/>
                </w14:solidFill>
              </w14:textFill>
            </w:rPr>
            <m:t>30</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m:t>
          </m:r>
          <m:r>
            <m:rPr>
              <m:sty m:val="p"/>
            </m:rPr>
            <w:rPr>
              <w:rFonts w:ascii="Cambria Math" w:hAnsi="Cambria Math" w:eastAsia="仿宋"/>
              <w:color w:val="000000" w:themeColor="text1"/>
              <w:szCs w:val="21"/>
              <w14:textFill>
                <w14:solidFill>
                  <w14:schemeClr w14:val="tx1"/>
                </w14:solidFill>
              </w14:textFill>
            </w:rPr>
            <m:t>30</m:t>
          </m:r>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ascii="Cambria Math" w:hAnsi="Cambria Math" w:eastAsia="仿宋"/>
                  <w:color w:val="000000" w:themeColor="text1"/>
                  <w:szCs w:val="21"/>
                  <w14:textFill>
                    <w14:solidFill>
                      <w14:schemeClr w14:val="tx1"/>
                    </w14:solidFill>
                  </w14:textFill>
                </w:rPr>
                <m:t>2810</m:t>
              </m:r>
              <m:r>
                <m:rPr>
                  <m:sty m:val="p"/>
                </m:rPr>
                <w:rPr>
                  <w:rFonts w:hint="eastAsia" w:ascii="Cambria Math" w:hAnsi="Cambria Math" w:eastAsia="仿宋"/>
                  <w:color w:val="000000" w:themeColor="text1"/>
                  <w:szCs w:val="21"/>
                  <w14:textFill>
                    <w14:solidFill>
                      <w14:schemeClr w14:val="tx1"/>
                    </w14:solidFill>
                  </w14:textFill>
                </w:rPr>
                <m:t>.00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0.80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r>
            <m:rPr>
              <m:sty m:val="p"/>
            </m:rPr>
            <w:rPr>
              <w:rFonts w:ascii="Cambria Math" w:hAnsi="Cambria Math" w:eastAsia="仿宋"/>
              <w:color w:val="000000" w:themeColor="text1"/>
              <w:szCs w:val="21"/>
              <w14:textFill>
                <w14:solidFill>
                  <w14:schemeClr w14:val="tx1"/>
                </w14:solidFill>
              </w14:textFill>
            </w:rPr>
            <m:t>1053</m:t>
          </m:r>
          <m:r>
            <m:rPr>
              <m:sty m:val="p"/>
            </m:rPr>
            <w:rPr>
              <w:rFonts w:hint="eastAsia" w:ascii="Cambria Math" w:hAnsi="Cambria Math" w:eastAsia="仿宋"/>
              <w:color w:val="000000" w:themeColor="text1"/>
              <w:szCs w:val="21"/>
              <w14:textFill>
                <w14:solidFill>
                  <w14:schemeClr w14:val="tx1"/>
                </w14:solidFill>
              </w14:textFill>
            </w:rPr>
            <m:t>.00 kVA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    平均功率因数</w:t>
      </w:r>
      <m:oMath>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取0.8，当有功率因数补偿时，按计算的功率因数取值；选用型号为KBSGZY-4000/10/3.45的移动变电站符合要求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2.2.3 变压器 4#选型计算</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max</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5</m:t>
              </m:r>
              <m:r>
                <m:rPr>
                  <m:sty m:val="p"/>
                </m:rPr>
                <w:rPr>
                  <w:rFonts w:ascii="Cambria Math" w:hAnsi="Cambria Math" w:eastAsia="仿宋"/>
                  <w:color w:val="000000" w:themeColor="text1"/>
                  <w:szCs w:val="21"/>
                  <w14:textFill>
                    <w14:solidFill>
                      <w14:schemeClr w14:val="tx1"/>
                    </w14:solidFill>
                  </w14:textFill>
                </w:rPr>
                <m:t>00</m:t>
              </m:r>
              <m:r>
                <m:rPr>
                  <m:sty m:val="p"/>
                </m:rPr>
                <w:rPr>
                  <w:rFonts w:hint="eastAsia" w:ascii="Cambria Math" w:hAnsi="Cambria Math" w:eastAsia="仿宋"/>
                  <w:color w:val="000000" w:themeColor="text1"/>
                  <w:szCs w:val="21"/>
                  <w14:textFill>
                    <w14:solidFill>
                      <w14:schemeClr w14:val="tx1"/>
                    </w14:solidFill>
                  </w14:textFill>
                </w:rPr>
                <m:t>.00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1022.00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=0.63，取0.63</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=0.63×</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1022.00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0.80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=805.00 kVA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    平均功率因数</w:t>
      </w:r>
      <m:oMath>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取0.8，当有功率因数补偿时，按计算的功率因数取值；选用型号为KBSGZY-1600/10/1.2的移动变电站符合要求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2.2.4 变压器 3#选型计算</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max</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3</m:t>
              </m:r>
              <m:r>
                <m:rPr>
                  <m:sty m:val="p"/>
                </m:rPr>
                <w:rPr>
                  <w:rFonts w:ascii="Cambria Math" w:hAnsi="Cambria Math" w:eastAsia="仿宋"/>
                  <w:color w:val="000000" w:themeColor="text1"/>
                  <w:szCs w:val="21"/>
                  <w14:textFill>
                    <w14:solidFill>
                      <w14:schemeClr w14:val="tx1"/>
                    </w14:solidFill>
                  </w14:textFill>
                </w:rPr>
                <m:t>15</m:t>
              </m:r>
              <m:r>
                <m:rPr>
                  <m:sty m:val="p"/>
                </m:rPr>
                <w:rPr>
                  <w:rFonts w:hint="eastAsia" w:ascii="Cambria Math" w:hAnsi="Cambria Math" w:eastAsia="仿宋"/>
                  <w:color w:val="000000" w:themeColor="text1"/>
                  <w:szCs w:val="21"/>
                  <w14:textFill>
                    <w14:solidFill>
                      <w14:schemeClr w14:val="tx1"/>
                    </w14:solidFill>
                  </w14:textFill>
                </w:rPr>
                <m:t>.00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1262.00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=0.5</m:t>
          </m:r>
          <m:r>
            <m:rPr>
              <m:sty m:val="p"/>
            </m:rPr>
            <w:rPr>
              <w:rFonts w:ascii="Cambria Math" w:hAnsi="Cambria Math" w:eastAsia="仿宋"/>
              <w:color w:val="000000" w:themeColor="text1"/>
              <w:szCs w:val="21"/>
              <w14:textFill>
                <w14:solidFill>
                  <w14:schemeClr w14:val="tx1"/>
                </w14:solidFill>
              </w14:textFill>
            </w:rPr>
            <m:t>1</m:t>
          </m:r>
          <m:r>
            <m:rPr>
              <m:sty m:val="p"/>
            </m:rPr>
            <w:rPr>
              <w:rFonts w:hint="eastAsia" w:ascii="Cambria Math" w:hAnsi="Cambria Math" w:eastAsia="仿宋"/>
              <w:color w:val="000000" w:themeColor="text1"/>
              <w:szCs w:val="21"/>
              <w14:textFill>
                <w14:solidFill>
                  <w14:schemeClr w14:val="tx1"/>
                </w14:solidFill>
              </w14:textFill>
            </w:rPr>
            <m:t>，取0.5</m:t>
          </m:r>
          <m:r>
            <m:rPr>
              <m:sty m:val="p"/>
            </m:rPr>
            <w:rPr>
              <w:rFonts w:ascii="Cambria Math" w:hAnsi="Cambria Math" w:eastAsia="仿宋"/>
              <w:color w:val="000000" w:themeColor="text1"/>
              <w:szCs w:val="21"/>
              <w14:textFill>
                <w14:solidFill>
                  <w14:schemeClr w14:val="tx1"/>
                </w14:solidFill>
              </w14:textFill>
            </w:rPr>
            <m:t>1</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=0.5</m:t>
          </m:r>
          <m:r>
            <m:rPr>
              <m:sty m:val="p"/>
            </m:rPr>
            <w:rPr>
              <w:rFonts w:ascii="Cambria Math" w:hAnsi="Cambria Math" w:eastAsia="仿宋"/>
              <w:color w:val="000000" w:themeColor="text1"/>
              <w:szCs w:val="21"/>
              <w14:textFill>
                <w14:solidFill>
                  <w14:schemeClr w14:val="tx1"/>
                </w14:solidFill>
              </w14:textFill>
            </w:rPr>
            <m:t>1</m:t>
          </m:r>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1262.00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0.80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=8</m:t>
          </m:r>
          <m:r>
            <m:rPr>
              <m:sty m:val="p"/>
            </m:rPr>
            <w:rPr>
              <w:rFonts w:ascii="Cambria Math" w:hAnsi="Cambria Math" w:eastAsia="仿宋"/>
              <w:color w:val="000000" w:themeColor="text1"/>
              <w:szCs w:val="21"/>
              <w14:textFill>
                <w14:solidFill>
                  <w14:schemeClr w14:val="tx1"/>
                </w14:solidFill>
              </w14:textFill>
            </w:rPr>
            <m:t>04</m:t>
          </m:r>
          <m:r>
            <m:rPr>
              <m:sty m:val="p"/>
            </m:rPr>
            <w:rPr>
              <w:rFonts w:hint="eastAsia" w:ascii="Cambria Math" w:hAnsi="Cambria Math" w:eastAsia="仿宋"/>
              <w:color w:val="000000" w:themeColor="text1"/>
              <w:szCs w:val="21"/>
              <w14:textFill>
                <w14:solidFill>
                  <w14:schemeClr w14:val="tx1"/>
                </w14:solidFill>
              </w14:textFill>
            </w:rPr>
            <m:t>.00 kVA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    平均功率因数</w:t>
      </w:r>
      <m:oMath>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取0.8，当有功率因数补偿时，按计算的功率因数取值；选用型号为KBSGZY-1250/10/1.2的移动变电站符合要求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2.2.5 变压器 5#选型计算</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max</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=0.4+0.45×</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3</m:t>
              </m:r>
              <m:r>
                <m:rPr>
                  <m:sty m:val="p"/>
                </m:rPr>
                <w:rPr>
                  <w:rFonts w:ascii="Cambria Math" w:hAnsi="Cambria Math" w:eastAsia="仿宋"/>
                  <w:color w:val="000000" w:themeColor="text1"/>
                  <w:szCs w:val="21"/>
                  <w14:textFill>
                    <w14:solidFill>
                      <w14:schemeClr w14:val="tx1"/>
                    </w14:solidFill>
                  </w14:textFill>
                </w:rPr>
                <m:t>15</m:t>
              </m:r>
              <m:r>
                <m:rPr>
                  <m:sty m:val="p"/>
                </m:rPr>
                <w:rPr>
                  <w:rFonts w:hint="eastAsia" w:ascii="Cambria Math" w:hAnsi="Cambria Math" w:eastAsia="仿宋"/>
                  <w:color w:val="000000" w:themeColor="text1"/>
                  <w:szCs w:val="21"/>
                  <w14:textFill>
                    <w14:solidFill>
                      <w14:schemeClr w14:val="tx1"/>
                    </w14:solidFill>
                  </w14:textFill>
                </w:rPr>
                <m:t>.00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515.50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m:t>
          </m:r>
          <m:r>
            <m:rPr>
              <m:sty m:val="p"/>
            </m:rPr>
            <w:rPr>
              <w:rFonts w:ascii="Cambria Math" w:hAnsi="Cambria Math" w:eastAsia="仿宋"/>
              <w:color w:val="000000" w:themeColor="text1"/>
              <w:szCs w:val="21"/>
              <w14:textFill>
                <w14:solidFill>
                  <w14:schemeClr w14:val="tx1"/>
                </w14:solidFill>
              </w14:textFill>
            </w:rPr>
            <m:t>68</m:t>
          </m:r>
          <m:r>
            <m:rPr>
              <m:sty m:val="p"/>
            </m:rPr>
            <w:rPr>
              <w:rFonts w:hint="eastAsia" w:ascii="Cambria Math" w:hAnsi="Cambria Math" w:eastAsia="仿宋"/>
              <w:color w:val="000000" w:themeColor="text1"/>
              <w:szCs w:val="21"/>
              <w14:textFill>
                <w14:solidFill>
                  <w14:schemeClr w14:val="tx1"/>
                </w14:solidFill>
              </w14:textFill>
            </w:rPr>
            <m:t>，取0.</m:t>
          </m:r>
          <m:r>
            <m:rPr>
              <m:sty m:val="p"/>
            </m:rPr>
            <w:rPr>
              <w:rFonts w:ascii="Cambria Math" w:hAnsi="Cambria Math" w:eastAsia="仿宋"/>
              <w:color w:val="000000" w:themeColor="text1"/>
              <w:szCs w:val="21"/>
              <w14:textFill>
                <w14:solidFill>
                  <w14:schemeClr w14:val="tx1"/>
                </w14:solidFill>
              </w14:textFill>
            </w:rPr>
            <m:t>68</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m:t>
          </m:r>
          <m:r>
            <m:rPr>
              <m:sty m:val="p"/>
            </m:rPr>
            <w:rPr>
              <w:rFonts w:ascii="Cambria Math" w:hAnsi="Cambria Math" w:eastAsia="仿宋"/>
              <w:color w:val="000000" w:themeColor="text1"/>
              <w:szCs w:val="21"/>
              <w14:textFill>
                <w14:solidFill>
                  <w14:schemeClr w14:val="tx1"/>
                </w14:solidFill>
              </w14:textFill>
            </w:rPr>
            <m:t>68</m:t>
          </m:r>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515.50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0.80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=4</m:t>
          </m:r>
          <m:r>
            <m:rPr>
              <m:sty m:val="p"/>
            </m:rPr>
            <w:rPr>
              <w:rFonts w:ascii="Cambria Math" w:hAnsi="Cambria Math" w:eastAsia="仿宋"/>
              <w:color w:val="000000" w:themeColor="text1"/>
              <w:szCs w:val="21"/>
              <w14:textFill>
                <w14:solidFill>
                  <w14:schemeClr w14:val="tx1"/>
                </w14:solidFill>
              </w14:textFill>
            </w:rPr>
            <m:t>38</m:t>
          </m:r>
          <m:r>
            <m:rPr>
              <m:sty m:val="p"/>
            </m:rPr>
            <w:rPr>
              <w:rFonts w:hint="eastAsia" w:ascii="Cambria Math" w:hAnsi="Cambria Math" w:eastAsia="仿宋"/>
              <w:color w:val="000000" w:themeColor="text1"/>
              <w:szCs w:val="21"/>
              <w14:textFill>
                <w14:solidFill>
                  <w14:schemeClr w14:val="tx1"/>
                </w14:solidFill>
              </w14:textFill>
            </w:rPr>
            <m:t>.00 kVA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    平均功率因数</w:t>
      </w:r>
      <m:oMath>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取0.8，当有功率因数补偿时，按计算的功率因数取值；选用型号为KBSGZY-800/10/1.2的移动变电站符合要求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公式参数意义说明</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—需用系数；</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—平均功率因数；</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max</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—最大一台（套）电动机功率，</w:t>
      </w:r>
      <m:oMath>
        <m:r>
          <m:rPr>
            <m:sty m:val="p"/>
          </m:rPr>
          <w:rPr>
            <w:rFonts w:hint="eastAsia" w:ascii="Cambria Math" w:hAnsi="Cambria Math" w:eastAsia="仿宋"/>
            <w:color w:val="000000" w:themeColor="text1"/>
            <w:szCs w:val="21"/>
            <w14:textFill>
              <w14:solidFill>
                <w14:schemeClr w14:val="tx1"/>
              </w14:solidFill>
            </w14:textFill>
          </w:rPr>
          <m:t>kW</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S</m:t>
        </m:r>
      </m:oMath>
      <w:r>
        <w:rPr>
          <w:rFonts w:hint="eastAsia" w:ascii="仿宋" w:hAnsi="仿宋" w:eastAsia="仿宋"/>
          <w:color w:val="000000" w:themeColor="text1"/>
          <w:szCs w:val="21"/>
          <w14:textFill>
            <w14:solidFill>
              <w14:schemeClr w14:val="tx1"/>
            </w14:solidFill>
          </w14:textFill>
        </w:rPr>
        <w:t>—变压器需用容量，</w:t>
      </w:r>
      <m:oMath>
        <m:r>
          <m:rPr>
            <m:sty m:val="p"/>
          </m:rPr>
          <w:rPr>
            <w:rFonts w:hint="eastAsia" w:ascii="Cambria Math" w:hAnsi="Cambria Math" w:eastAsia="仿宋"/>
            <w:color w:val="000000" w:themeColor="text1"/>
            <w:szCs w:val="21"/>
            <w14:textFill>
              <w14:solidFill>
                <w14:schemeClr w14:val="tx1"/>
              </w14:solidFill>
            </w14:textFill>
          </w:rPr>
          <m:t>kVA</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宋体" w:hAnsi="宋体" w:eastAsia="宋体"/>
        </w:rPr>
      </w:pPr>
      <m:oMath>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—变压器的负荷额定功率之和，</w:t>
      </w:r>
      <m:oMath>
        <m:r>
          <m:rPr>
            <m:sty m:val="p"/>
          </m:rPr>
          <w:rPr>
            <w:rFonts w:hint="eastAsia" w:ascii="Cambria Math" w:hAnsi="Cambria Math" w:eastAsia="仿宋"/>
            <w:color w:val="000000" w:themeColor="text1"/>
            <w:szCs w:val="21"/>
            <w14:textFill>
              <w14:solidFill>
                <w14:schemeClr w14:val="tx1"/>
              </w14:solidFill>
            </w14:textFill>
          </w:rPr>
          <m:t>kW</m:t>
        </m:r>
      </m:oMath>
      <w:r>
        <w:rPr>
          <w:rFonts w:hint="eastAsia" w:ascii="仿宋" w:hAnsi="仿宋" w:eastAsia="仿宋"/>
          <w:color w:val="000000" w:themeColor="text1"/>
          <w:szCs w:val="21"/>
          <w14:textFill>
            <w14:solidFill>
              <w14:schemeClr w14:val="tx1"/>
            </w14:solidFill>
          </w14:textFill>
        </w:rPr>
        <w:t>。</w:t>
      </w:r>
    </w:p>
    <w:p>
      <w:pPr>
        <w:pStyle w:val="4"/>
        <w:keepNext w:val="0"/>
        <w:keepLines w:val="0"/>
        <w:snapToGrid w:val="0"/>
        <w:spacing w:before="0" w:after="0"/>
        <w:ind w:firstLine="0" w:firstLineChars="0"/>
        <w:jc w:val="both"/>
        <w:rPr>
          <w:rFonts w:ascii="仿宋" w:hAnsi="仿宋" w:eastAsia="仿宋" w:cs="仿宋_GB2312"/>
          <w:color w:val="000000" w:themeColor="text1"/>
          <w:kern w:val="2"/>
          <w:szCs w:val="24"/>
          <w14:textFill>
            <w14:solidFill>
              <w14:schemeClr w14:val="tx1"/>
            </w14:solidFill>
          </w14:textFill>
        </w:rPr>
      </w:pPr>
      <w:bookmarkStart w:id="208" w:name="_Toc988973"/>
      <w:r>
        <w:rPr>
          <w:rFonts w:hint="eastAsia" w:ascii="仿宋" w:hAnsi="仿宋" w:eastAsia="仿宋" w:cs="仿宋_GB2312"/>
          <w:color w:val="000000" w:themeColor="text1"/>
          <w:kern w:val="2"/>
          <w:szCs w:val="24"/>
          <w14:textFill>
            <w14:solidFill>
              <w14:schemeClr w14:val="tx1"/>
            </w14:solidFill>
          </w14:textFill>
        </w:rPr>
        <w:t>3. 高低压电缆选择和校验</w:t>
      </w:r>
      <w:bookmarkEnd w:id="208"/>
    </w:p>
    <w:p>
      <w:pPr>
        <w:pStyle w:val="4"/>
        <w:keepNext w:val="0"/>
        <w:keepLines w:val="0"/>
        <w:snapToGrid w:val="0"/>
        <w:spacing w:before="0" w:after="0"/>
        <w:ind w:firstLine="0" w:firstLineChars="0"/>
        <w:jc w:val="both"/>
        <w:rPr>
          <w:rFonts w:ascii="仿宋" w:hAnsi="仿宋" w:eastAsia="仿宋" w:cs="仿宋_GB2312"/>
          <w:color w:val="000000" w:themeColor="text1"/>
          <w:kern w:val="2"/>
          <w:szCs w:val="24"/>
          <w14:textFill>
            <w14:solidFill>
              <w14:schemeClr w14:val="tx1"/>
            </w14:solidFill>
          </w14:textFill>
        </w:rPr>
      </w:pPr>
      <w:bookmarkStart w:id="209" w:name="_Toc988974"/>
      <w:r>
        <w:rPr>
          <w:rFonts w:hint="eastAsia" w:ascii="仿宋" w:hAnsi="仿宋" w:eastAsia="仿宋" w:cs="仿宋_GB2312"/>
          <w:color w:val="000000" w:themeColor="text1"/>
          <w:kern w:val="2"/>
          <w:szCs w:val="24"/>
          <w14:textFill>
            <w14:solidFill>
              <w14:schemeClr w14:val="tx1"/>
            </w14:solidFill>
          </w14:textFill>
        </w:rPr>
        <w:t>3.1 高压电缆选择和校验</w:t>
      </w:r>
      <w:bookmarkEnd w:id="209"/>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90"/>
        <w:gridCol w:w="1794"/>
        <w:gridCol w:w="777"/>
        <w:gridCol w:w="1196"/>
        <w:gridCol w:w="777"/>
        <w:gridCol w:w="718"/>
        <w:gridCol w:w="2033"/>
        <w:gridCol w:w="11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66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编号</w:t>
            </w:r>
          </w:p>
        </w:tc>
        <w:tc>
          <w:tcPr>
            <w:tcW w:w="15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型 号</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截面(mm²)</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额定电压(V)</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长度(m)</w:t>
            </w:r>
          </w:p>
        </w:tc>
        <w:tc>
          <w:tcPr>
            <w:tcW w:w="6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根数</w:t>
            </w:r>
          </w:p>
        </w:tc>
        <w:tc>
          <w:tcPr>
            <w:tcW w:w="17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空气允许载流量25℃(A)</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负荷电流(A)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66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C31</w:t>
            </w:r>
          </w:p>
        </w:tc>
        <w:tc>
          <w:tcPr>
            <w:tcW w:w="15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MYPTJ</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10000</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20</w:t>
            </w:r>
          </w:p>
        </w:tc>
        <w:tc>
          <w:tcPr>
            <w:tcW w:w="6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7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170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95.1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66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C59</w:t>
            </w:r>
          </w:p>
        </w:tc>
        <w:tc>
          <w:tcPr>
            <w:tcW w:w="15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MYPTJ</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10000</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15</w:t>
            </w:r>
          </w:p>
        </w:tc>
        <w:tc>
          <w:tcPr>
            <w:tcW w:w="6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7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170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66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C26</w:t>
            </w:r>
          </w:p>
        </w:tc>
        <w:tc>
          <w:tcPr>
            <w:tcW w:w="15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MYPTJ</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10000</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100</w:t>
            </w:r>
          </w:p>
        </w:tc>
        <w:tc>
          <w:tcPr>
            <w:tcW w:w="6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7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170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66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C4</w:t>
            </w:r>
          </w:p>
        </w:tc>
        <w:tc>
          <w:tcPr>
            <w:tcW w:w="15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MYPTJ</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95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10000</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835</w:t>
            </w:r>
          </w:p>
        </w:tc>
        <w:tc>
          <w:tcPr>
            <w:tcW w:w="6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7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250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66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C5</w:t>
            </w:r>
          </w:p>
        </w:tc>
        <w:tc>
          <w:tcPr>
            <w:tcW w:w="15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MYPTJ</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95</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10000</w:t>
            </w:r>
          </w:p>
        </w:tc>
        <w:tc>
          <w:tcPr>
            <w:tcW w:w="65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850</w:t>
            </w:r>
          </w:p>
        </w:tc>
        <w:tc>
          <w:tcPr>
            <w:tcW w:w="6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17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250</w:t>
            </w:r>
          </w:p>
        </w:tc>
        <w:tc>
          <w:tcPr>
            <w:tcW w:w="1000" w:type="dxa"/>
            <w:shd w:val="clear" w:color="auto" w:fill="auto"/>
            <w:vAlign w:val="center"/>
          </w:tcPr>
          <w:p>
            <w:pPr>
              <w:snapToGrid w:val="0"/>
              <w:spacing w:line="240" w:lineRule="atLeast"/>
              <w:ind w:firstLine="0" w:firstLineChars="0"/>
              <w:jc w:val="center"/>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197.9</w:t>
            </w:r>
          </w:p>
        </w:tc>
      </w:tr>
    </w:tbl>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3.1.1 C31：1#变压器至3#变压器</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电缆型号规格：MYPTJ-3×50-20m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（1）长时负荷电流</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0.7×1580.5×</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×10000×0.7×0.96</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=95.10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—需用系数，取</w:t>
      </w: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=0.7</m:t>
        </m:r>
      </m:oMath>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此高压电缆长时载流量为170A,满足要求。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（2）按经济电流密度选择高压电缆截面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95.10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=42.27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（3）按热稳定截面选择高压电缆截面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=4573×</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159</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=14.38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（4）按允许电压损失校验高压电缆截面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bSup>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R+X×tanφ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0.7×1580.5×0.02</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0.412 + 0.075×1.020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=0.0100 %</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3.1.2 C59：3#变压器至5#变压器</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电缆型号规格：MYPTJ-3×50-15m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（1）长时负荷电流</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1×478×</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×10000×0.7×0.96</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=41.10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—需用系数，取</w:t>
      </w: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=1</m:t>
        </m:r>
      </m:oMath>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此高压电缆长时载流量为170A,满足要求。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（2）按经济电流密度选择高压电缆截面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41.10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=18.27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（3）按热稳定截面选择高压电缆截面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=4564×</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159</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=14.35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（4）按允许电压损失校验高压电缆截面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bSup>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R+X×tanφ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1×478×0.02</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0.412 + 0.075×1.020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=0.0030 %</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3.1.3 C26：2#变压器至4#变压器</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电缆型号规格：MYPTJ-3×50-100m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（1）长时负荷电流</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0.63×1320×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×10000×0.7×0.96</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=71.40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—需用系数，取</w:t>
      </w: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=0.63</m:t>
        </m:r>
      </m:oMath>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此高压电缆长时载流量为170A,满足要求。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（2）按经济电流密度选择高压电缆截面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71.40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=31.73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（3）按热稳定截面选择高压电缆截面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=4558×</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159</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=14.33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（4）按允许电压损失校验高压电缆截面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bSup>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R+X×tanφ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0.63×1320×0.10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0.412 + 0.075×1.020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=0.0400 %</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3.1.4 C4：A-2至1#变压器</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电缆型号规格：MYPTJ-3×95-835m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（1）长时负荷电流</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0.77×4992.5×</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×10000×0.7×0.96</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=330.30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—需用系数，取</w:t>
      </w: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=0.77</m:t>
        </m:r>
      </m:oMath>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此高压电缆长时载流量为250A,满足要求。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（2）按经济电流密度选择高压电缆截面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330.30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=146.80 mm²</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所选电缆截面偏小，当热稳定校验和电压损失校验满足要求时，基本满足使用要求。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（3）按允许电压损失校验高压电缆截面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bSup>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R+X×tanφ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0.77×4992.5×0.84</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0.217 + 0.069×1.020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=0.9200 %</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3.1.5 C5：B-8至2#变压器</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电缆型号规格：MYPTJ-3×95-850m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（1）长时负荷电流</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=0.63×(</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1×500×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×10000×0.7×0.96</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1×500×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×10000×0.7×0.96</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)=197.90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此高压电缆长时载流量为250A,满足要求。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（2）按经济电流密度选择高压电缆截面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197.90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=87.96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（3）按允许电压损失校验高压电缆截面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bSup>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R+X×tanφ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0.63×3657×0.85</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0.217 + 0.069×1.020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=0.5600 %</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公式参数意义说明</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—高压电缆所带负荷的需用系数；</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—高压电缆所带的负荷额定功率之和，</w:t>
      </w:r>
      <m:oMath>
        <m:r>
          <m:rPr>
            <m:sty m:val="p"/>
          </m:rPr>
          <w:rPr>
            <w:rFonts w:hint="eastAsia" w:ascii="Cambria Math" w:hAnsi="Cambria Math" w:eastAsia="仿宋"/>
            <w:color w:val="000000" w:themeColor="text1"/>
            <w:szCs w:val="21"/>
            <w14:textFill>
              <w14:solidFill>
                <w14:schemeClr w14:val="tx1"/>
              </w14:solidFill>
            </w14:textFill>
          </w:rPr>
          <m:t>kW</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—高压电缆的额定电压，</w:t>
      </w:r>
      <m:oMath>
        <m:r>
          <m:rPr>
            <m:sty m:val="p"/>
          </m:rPr>
          <w:rPr>
            <w:rFonts w:hint="eastAsia" w:ascii="Cambria Math" w:hAnsi="Cambria Math" w:eastAsia="仿宋"/>
            <w:color w:val="000000" w:themeColor="text1"/>
            <w:szCs w:val="21"/>
            <w14:textFill>
              <w14:solidFill>
                <w14:schemeClr w14:val="tx1"/>
              </w14:solidFill>
            </w14:textFill>
          </w:rPr>
          <m:t>V</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—平均功率因数；</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oMath>
      <w:r>
        <w:rPr>
          <w:rFonts w:hint="eastAsia" w:ascii="仿宋" w:hAnsi="仿宋" w:eastAsia="仿宋"/>
          <w:color w:val="000000" w:themeColor="text1"/>
          <w:szCs w:val="21"/>
          <w14:textFill>
            <w14:solidFill>
              <w14:schemeClr w14:val="tx1"/>
            </w14:solidFill>
          </w14:textFill>
        </w:rPr>
        <w:t>长时负荷电流，A；</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-加权平均效率；</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C</m:t>
        </m:r>
      </m:oMath>
      <w:r>
        <w:rPr>
          <w:rFonts w:hint="eastAsia" w:ascii="仿宋" w:hAnsi="仿宋" w:eastAsia="仿宋"/>
          <w:color w:val="000000" w:themeColor="text1"/>
          <w:szCs w:val="21"/>
          <w14:textFill>
            <w14:solidFill>
              <w14:schemeClr w14:val="tx1"/>
            </w14:solidFill>
          </w14:textFill>
        </w:rPr>
        <w:t>—电缆芯线热稳定系数，查表取93.4或159；</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oMath>
      <w:r>
        <w:rPr>
          <w:rFonts w:hint="eastAsia" w:ascii="仿宋" w:hAnsi="仿宋" w:eastAsia="仿宋"/>
          <w:color w:val="000000" w:themeColor="text1"/>
          <w:szCs w:val="21"/>
          <w14:textFill>
            <w14:solidFill>
              <w14:schemeClr w14:val="tx1"/>
            </w14:solidFill>
          </w14:textFill>
        </w:rPr>
        <w:t>短路电流作用的假想时间，</w:t>
      </w:r>
      <m:oMath>
        <m:r>
          <m:rPr>
            <m:sty m:val="p"/>
          </m:rPr>
          <w:rPr>
            <w:rFonts w:hint="eastAsia" w:ascii="Cambria Math" w:hAnsi="Cambria Math" w:eastAsia="仿宋"/>
            <w:color w:val="000000" w:themeColor="text1"/>
            <w:szCs w:val="21"/>
            <w14:textFill>
              <w14:solidFill>
                <w14:schemeClr w14:val="tx1"/>
              </w14:solidFill>
            </w14:textFill>
          </w:rPr>
          <m:t>s</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oMath>
      <w:r>
        <w:rPr>
          <w:rFonts w:hint="eastAsia" w:ascii="仿宋" w:hAnsi="仿宋" w:eastAsia="仿宋"/>
          <w:color w:val="000000" w:themeColor="text1"/>
          <w:szCs w:val="21"/>
          <w14:textFill>
            <w14:solidFill>
              <w14:schemeClr w14:val="tx1"/>
            </w14:solidFill>
          </w14:textFill>
        </w:rPr>
        <w:t>电缆长度，</w:t>
      </w:r>
      <m:oMath>
        <m:r>
          <m:rPr>
            <m:sty m:val="p"/>
          </m:rPr>
          <w:rPr>
            <w:rFonts w:hint="eastAsia" w:ascii="Cambria Math" w:hAnsi="Cambria Math" w:eastAsia="仿宋"/>
            <w:color w:val="000000" w:themeColor="text1"/>
            <w:szCs w:val="21"/>
            <w14:textFill>
              <w14:solidFill>
                <w14:schemeClr w14:val="tx1"/>
              </w14:solidFill>
            </w14:textFill>
          </w:rPr>
          <m:t>km</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oMath>
      <w:r>
        <w:rPr>
          <w:rFonts w:hint="eastAsia" w:ascii="仿宋" w:hAnsi="仿宋" w:eastAsia="仿宋"/>
          <w:color w:val="000000" w:themeColor="text1"/>
          <w:szCs w:val="21"/>
          <w14:textFill>
            <w14:solidFill>
              <w14:schemeClr w14:val="tx1"/>
            </w14:solidFill>
          </w14:textFill>
        </w:rPr>
        <w:t>—最大三相稳态短路电流，</w:t>
      </w:r>
      <m:oMath>
        <m:r>
          <m:rPr>
            <m:sty m:val="p"/>
          </m:rPr>
          <w:rPr>
            <w:rFonts w:hint="eastAsia" w:ascii="Cambria Math" w:hAnsi="Cambria Math" w:eastAsia="仿宋"/>
            <w:color w:val="000000" w:themeColor="text1"/>
            <w:szCs w:val="21"/>
            <w14:textFill>
              <w14:solidFill>
                <w14:schemeClr w14:val="tx1"/>
              </w14:solidFill>
            </w14:textFill>
          </w:rPr>
          <m:t>A</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tanφ</m:t>
        </m:r>
      </m:oMath>
      <w:r>
        <w:rPr>
          <w:rFonts w:hint="eastAsia" w:ascii="仿宋" w:hAnsi="仿宋" w:eastAsia="仿宋"/>
          <w:color w:val="000000" w:themeColor="text1"/>
          <w:szCs w:val="21"/>
          <w14:textFill>
            <w14:solidFill>
              <w14:schemeClr w14:val="tx1"/>
            </w14:solidFill>
          </w14:textFill>
        </w:rPr>
        <w:t>—平均功率因数角对应的正切值，</w:t>
      </w:r>
      <m:oMath>
        <m:r>
          <m:rPr>
            <m:sty m:val="p"/>
          </m:rPr>
          <w:rPr>
            <w:rFonts w:hint="eastAsia" w:ascii="Cambria Math" w:hAnsi="Cambria Math" w:eastAsia="仿宋"/>
            <w:color w:val="000000" w:themeColor="text1"/>
            <w:szCs w:val="21"/>
            <w14:textFill>
              <w14:solidFill>
                <w14:schemeClr w14:val="tx1"/>
              </w14:solidFill>
            </w14:textFill>
          </w:rPr>
          <m:t>tanφ=</m:t>
        </m:r>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m:t>
                </m:r>
                <m:ctrlPr>
                  <w:rPr>
                    <w:rFonts w:hint="eastAsia" w:ascii="Cambria Math" w:hAnsi="Cambria Math" w:eastAsia="仿宋"/>
                    <w:color w:val="000000" w:themeColor="text1"/>
                    <w:szCs w:val="21"/>
                    <w14:textFill>
                      <w14:solidFill>
                        <w14:schemeClr w14:val="tx1"/>
                      </w14:solidFill>
                    </w14:textFill>
                  </w:rPr>
                </m:ctrlPr>
              </m:num>
              <m:den>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cos</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m:t>
            </m:r>
            <m:ctrlPr>
              <w:rPr>
                <w:rFonts w:hint="eastAsia" w:ascii="Cambria Math" w:hAnsi="Cambria Math" w:eastAsia="仿宋"/>
                <w:color w:val="000000" w:themeColor="text1"/>
                <w:szCs w:val="21"/>
                <w14:textFill>
                  <w14:solidFill>
                    <w14:schemeClr w14:val="tx1"/>
                  </w14:solidFill>
                </w14:textFill>
              </w:rPr>
            </m:ctrlPr>
          </m:e>
        </m:rad>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R、X</m:t>
        </m:r>
      </m:oMath>
      <w:r>
        <w:rPr>
          <w:rFonts w:hint="eastAsia" w:ascii="仿宋" w:hAnsi="仿宋" w:eastAsia="仿宋"/>
          <w:color w:val="000000" w:themeColor="text1"/>
          <w:szCs w:val="21"/>
          <w14:textFill>
            <w14:solidFill>
              <w14:schemeClr w14:val="tx1"/>
            </w14:solidFill>
          </w14:textFill>
        </w:rPr>
        <w:t>—电缆的每公里电阻和电抗，</w:t>
      </w:r>
      <m:oMath>
        <m:r>
          <m:rPr>
            <m:sty m:val="p"/>
          </m:rPr>
          <w:rPr>
            <w:rFonts w:hint="eastAsia" w:ascii="Cambria Math" w:hAnsi="Cambria Math" w:eastAsia="仿宋"/>
            <w:color w:val="000000" w:themeColor="text1"/>
            <w:szCs w:val="21"/>
            <w14:textFill>
              <w14:solidFill>
                <w14:schemeClr w14:val="tx1"/>
              </w14:solidFill>
            </w14:textFill>
          </w:rPr>
          <m:t>Ω/km</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—电缆短路时热稳定要求的最小截面，</w:t>
      </w:r>
      <m:oMath>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mm</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Δ</w:t>
      </w: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%—电压损失百分比，《煤矿井下供配电设计规范》规定，电压损失百分数在正常情况下不得超过额定电压的5％，故障状态下不得超过额定电压的10％；</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A</m:t>
        </m:r>
      </m:oMath>
      <w:r>
        <w:rPr>
          <w:rFonts w:hint="eastAsia" w:ascii="仿宋" w:hAnsi="仿宋" w:eastAsia="仿宋"/>
          <w:color w:val="000000" w:themeColor="text1"/>
          <w:szCs w:val="21"/>
          <w14:textFill>
            <w14:solidFill>
              <w14:schemeClr w14:val="tx1"/>
            </w14:solidFill>
          </w14:textFill>
        </w:rPr>
        <w:t>—导线的经济截面积，</w:t>
      </w:r>
      <m:oMath>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mm</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J</m:t>
        </m:r>
      </m:oMath>
      <w:r>
        <w:rPr>
          <w:rFonts w:hint="eastAsia" w:ascii="仿宋" w:hAnsi="仿宋" w:eastAsia="仿宋"/>
          <w:color w:val="000000" w:themeColor="text1"/>
          <w:szCs w:val="21"/>
          <w14:textFill>
            <w14:solidFill>
              <w14:schemeClr w14:val="tx1"/>
            </w14:solidFill>
          </w14:textFill>
        </w:rPr>
        <w:t>—经济电流密度，A/</w:t>
      </w:r>
      <m:oMath>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mm</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n</m:t>
        </m:r>
      </m:oMath>
      <w:r>
        <w:rPr>
          <w:rFonts w:hint="eastAsia" w:ascii="仿宋" w:hAnsi="仿宋" w:eastAsia="仿宋"/>
          <w:color w:val="000000" w:themeColor="text1"/>
          <w:szCs w:val="21"/>
          <w14:textFill>
            <w14:solidFill>
              <w14:schemeClr w14:val="tx1"/>
            </w14:solidFill>
          </w14:textFill>
        </w:rPr>
        <w:t>—不考虑下井电缆损坏时，同时工作的电缆根数。</w:t>
      </w:r>
    </w:p>
    <w:p>
      <w:pPr>
        <w:pStyle w:val="4"/>
        <w:ind w:firstLine="482"/>
        <w:jc w:val="both"/>
        <w:rPr>
          <w:rFonts w:ascii="宋体" w:hAnsi="宋体" w:eastAsia="宋体"/>
          <w:sz w:val="21"/>
        </w:rPr>
      </w:pPr>
      <w:bookmarkStart w:id="210" w:name="_Toc988975"/>
      <w:r>
        <w:rPr>
          <w:rFonts w:hint="eastAsia" w:ascii="宋体" w:hAnsi="宋体" w:eastAsia="宋体"/>
        </w:rPr>
        <w:t>3.2 低压电缆选择和校验</w:t>
      </w:r>
      <w:bookmarkEnd w:id="210"/>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3.2.1 1#变压器所带低压电缆</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1#变压器电压损失计算</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b</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S</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b</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S</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×sin</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2e</m:t>
              </m:r>
              <m:ctrlPr>
                <w:rPr>
                  <w:rFonts w:hint="eastAsia" w:ascii="Cambria Math" w:hAnsi="Cambria Math" w:eastAsia="仿宋"/>
                  <w:color w:val="000000" w:themeColor="text1"/>
                  <w:szCs w:val="21"/>
                  <w14:textFill>
                    <w14:solidFill>
                      <w14:schemeClr w14:val="tx1"/>
                    </w14:solidFill>
                  </w14:textFill>
                </w:rPr>
              </m:ctrlPr>
            </m:sub>
          </m:sSub>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2697</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4000</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0.38%×0.80+5.99%×0.6000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×3300=86.7315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 C86：真空接触器至M3刮板输送机</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电缆型号规格：MCPT-1.9/3.3-3×150-502m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（1）按长时负荷电流初选电缆截面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×3300×0.96×0.85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=183.30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该低压电缆长时载流量为325A,满足要求。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（2）按允许电压损失校验电缆截面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855×0.502</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3.3</m:t>
              </m:r>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0.132+0.066×0.750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=23.6000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（3）按经济电流密度选择低压电缆截面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183.30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=81.47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（4）按热稳定截面选择低压电缆截面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=5873×</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93.4</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=31.44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 C100：真空接触器至M3刮板输送机</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电缆型号规格：MCPT-1.9/3.3-3×120-300m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（1）按长时负荷电流初选电缆截面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×3300×0.96×0.85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=183.30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该低压电缆长时载流量为310A,满足要求。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（2）按允许电压损失校验电缆截面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855×0.3</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3.3</m:t>
              </m:r>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0.164+0.056×0.750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=16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（3）按经济电流密度选择低压电缆截面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183.30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=81.47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（4）按热稳定截面选择低压电缆截面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=5873×</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93.4</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=31.44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（5）C100支线电缆末端负荷刮板输送机正常运行时的电压总损失为</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ΔU=Δ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b</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=86.7+43.3+16=146 V&lt;Δ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y</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=315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满足《煤矿井下供配电设计规范》要求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 C97：真空接触器至M3刮板输送机</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电缆型号规格：MCPT-1.9/3.3-3×120-300m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（1）按长时负荷电流初选电缆截面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×3300×0.96×0.85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=183.30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该低压电缆长时载流量为310A,满足要求。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（2）按允许电压损失校验电缆截面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855×0.3</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3.3</m:t>
              </m:r>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0.164+0.056×0.750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=16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（3）按经济电流密度选择低压电缆截面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183.30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=81.47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（4）按热稳定截面选择低压电缆截面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=5873×</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93.4</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=31.44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 C69：真空接触器至M1采煤机</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电缆型号规格：MCPT-1.9/3.3-3×150-1000m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（1）按长时负荷电流初选电缆截面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1510×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×3300×0.96×0.85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=323.80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该低压电缆长时载流量为325A,满足要求。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（2）按允许电压损失校验电缆截面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1510×1</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3.3</m:t>
              </m:r>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0.132+0.066×0.750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=83.1000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（3）按经济电流密度选择低压电缆截面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323.80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=143.91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（4）按热稳定截面选择低压电缆截面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=5873×</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93.4</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=31.44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 C72：真空接触器至M1采煤机</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电缆型号规格：MCPT-1.9/3.3-3×150-300m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（1）按长时负荷电流初选电缆截面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1510×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×3300×0.96×0.85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=323.80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该低压电缆长时载流量为325A,满足要求。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（2）按允许电压损失校验电缆截面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1510×0.3</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3.3</m:t>
              </m:r>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0.132+0.066×0.750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=24.9000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（3）按经济电流密度选择低压电缆截面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323.80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=143.91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（4）按热稳定截面选择低压电缆截面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=5873×</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93.4</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=31.44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（5）C72支线电缆末端负荷采煤机正常运行时的电压总损失为</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ΔU=Δ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b</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=86.7+86.8+24.9=198.4 V&lt;Δ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y</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=315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满足《煤矿井下供配电设计规范》要求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 C70：真空接触器至M2刮板输送机</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电缆型号规格：MCPT-1.9/3.3-3×150-900m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（1）按长时负荷电流初选电缆截面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×3300×0.96×0.85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=183.30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该低压电缆长时载流量为325A,满足要求。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（2）按允许电压损失校验电缆截面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855×0.9</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3.3</m:t>
              </m:r>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0.132+0.066×0.750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=42.3000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（3）按经济电流密度选择低压电缆截面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183.30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=81.47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（4）按热稳定截面选择低压电缆截面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=5873×</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93.4</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=31.44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7. C73：真空接触器至M2刮板输送机</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电缆型号规格：MCPT-1.9/3.3-3×120-300m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（1）按长时负荷电流初选电缆截面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×3300×0.96×0.85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=183.30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该低压电缆长时载流量为310A,满足要求。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（2）按允许电压损失校验电缆截面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=1×</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855×0.3</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3.3</m:t>
              </m:r>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0.164+0.056×0.750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=16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（3）按经济电流密度选择低压电缆截面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183.30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=81.47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（4）按热稳定截面选择低压电缆截面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=5873×</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93.4</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=31.44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（5）C73支线电缆末端负荷刮板输送机正常运行时的电压总损失为</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ΔU=Δ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b</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=86.7+46+16=148.7 V&lt;Δ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y</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=315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满足《煤矿井下供配电设计规范》要求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8. C24：1#变压器至1号隔离开关</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电缆型号规格：MCPT-1.9/3.3-3×150-80m</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（1）按长时负荷电流初选电缆截面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0.52×3220×</m:t>
              </m:r>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10</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p>
              <m:ctrlPr>
                <w:rPr>
                  <w:rFonts w:hint="eastAsia" w:ascii="Cambria Math" w:hAnsi="Cambria Math" w:eastAsia="仿宋"/>
                  <w:color w:val="000000" w:themeColor="text1"/>
                  <w:szCs w:val="21"/>
                  <w14:textFill>
                    <w14:solidFill>
                      <w14:schemeClr w14:val="tx1"/>
                    </w14:solidFill>
                  </w14:textFill>
                </w:rPr>
              </m:ctrlPr>
            </m:num>
            <m:den>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e>
              </m:rad>
              <m:r>
                <m:rPr>
                  <m:sty m:val="p"/>
                </m:rPr>
                <w:rPr>
                  <w:rFonts w:hint="eastAsia" w:ascii="Cambria Math" w:hAnsi="Cambria Math" w:eastAsia="仿宋"/>
                  <w:color w:val="000000" w:themeColor="text1"/>
                  <w:szCs w:val="21"/>
                  <w14:textFill>
                    <w14:solidFill>
                      <w14:schemeClr w14:val="tx1"/>
                    </w14:solidFill>
                  </w14:textFill>
                </w:rPr>
                <m:t>×3300×0.8×0.96</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=381.40 A</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该低压电缆长时载流量为325A,用2根并联，满足要求。</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（2）按允许电压损失校验电缆截面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Δ</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0</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×tanφ</m:t>
              </m:r>
              <m:ctrlPr>
                <w:rPr>
                  <w:rFonts w:hint="eastAsia" w:ascii="Cambria Math" w:hAnsi="Cambria Math" w:eastAsia="仿宋"/>
                  <w:color w:val="000000" w:themeColor="text1"/>
                  <w:szCs w:val="21"/>
                  <w14:textFill>
                    <w14:solidFill>
                      <w14:schemeClr w14:val="tx1"/>
                    </w14:solidFill>
                  </w14:textFill>
                </w:rPr>
              </m:ctrlPr>
            </m:e>
          </m:d>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=0.52×</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3220×0.08</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3.3</m:t>
              </m:r>
              <m:ctrlPr>
                <w:rPr>
                  <w:rFonts w:hint="eastAsia" w:ascii="Cambria Math" w:hAnsi="Cambria Math" w:eastAsia="仿宋"/>
                  <w:color w:val="000000" w:themeColor="text1"/>
                  <w:szCs w:val="21"/>
                  <w14:textFill>
                    <w14:solidFill>
                      <w14:schemeClr w14:val="tx1"/>
                    </w14:solidFill>
                  </w14:textFill>
                </w:rPr>
              </m:ctrlPr>
            </m:den>
          </m:f>
          <m:d>
            <m:dPr>
              <m:ctrlPr>
                <w:rPr>
                  <w:rFonts w:hint="eastAsia" w:ascii="Cambria Math" w:hAnsi="Cambria Math" w:eastAsia="仿宋"/>
                  <w:color w:val="000000" w:themeColor="text1"/>
                  <w:szCs w:val="21"/>
                  <w14:textFill>
                    <w14:solidFill>
                      <w14:schemeClr w14:val="tx1"/>
                    </w14:solidFill>
                  </w14:textFill>
                </w:rPr>
              </m:ctrlPr>
            </m:dPr>
            <m:e>
              <m:r>
                <m:rPr>
                  <m:sty m:val="p"/>
                </m:rPr>
                <w:rPr>
                  <w:rFonts w:hint="eastAsia" w:ascii="Cambria Math" w:hAnsi="Cambria Math" w:eastAsia="仿宋"/>
                  <w:color w:val="000000" w:themeColor="text1"/>
                  <w:szCs w:val="21"/>
                  <w14:textFill>
                    <w14:solidFill>
                      <w14:schemeClr w14:val="tx1"/>
                    </w14:solidFill>
                  </w14:textFill>
                </w:rPr>
                <m:t>0.066+0.033×0.750</m:t>
              </m:r>
              <m:ctrlPr>
                <w:rPr>
                  <w:rFonts w:hint="eastAsia" w:ascii="Cambria Math" w:hAnsi="Cambria Math" w:eastAsia="仿宋"/>
                  <w:color w:val="000000" w:themeColor="text1"/>
                  <w:szCs w:val="21"/>
                  <w14:textFill>
                    <w14:solidFill>
                      <w14:schemeClr w14:val="tx1"/>
                    </w14:solidFill>
                  </w14:textFill>
                </w:rPr>
              </m:ctrlPr>
            </m:e>
          </m:d>
          <m:r>
            <m:rPr>
              <m:sty m:val="p"/>
            </m:rPr>
            <w:rPr>
              <w:rFonts w:hint="eastAsia" w:ascii="Cambria Math" w:hAnsi="Cambria Math" w:eastAsia="仿宋"/>
              <w:color w:val="000000" w:themeColor="text1"/>
              <w:szCs w:val="21"/>
              <w14:textFill>
                <w14:solidFill>
                  <w14:schemeClr w14:val="tx1"/>
                </w14:solidFill>
              </w14:textFill>
            </w:rPr>
            <m:t>=3.7000 V</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（3）按经济电流密度选择低压电缆截面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r>
            <m:rPr>
              <m:sty m:val="p"/>
            </m:rPr>
            <w:rPr>
              <w:rFonts w:hint="eastAsia" w:ascii="Cambria Math" w:hAnsi="Cambria Math" w:eastAsia="仿宋"/>
              <w:color w:val="000000" w:themeColor="text1"/>
              <w:szCs w:val="21"/>
              <w14:textFill>
                <w14:solidFill>
                  <w14:schemeClr w14:val="tx1"/>
                </w14:solidFill>
              </w14:textFill>
            </w:rPr>
            <m:t>A=</m:t>
          </m:r>
          <m:f>
            <m:fPr>
              <m:ctrlPr>
                <w:rPr>
                  <w:rFonts w:hint="eastAsia" w:ascii="Cambria Math" w:hAnsi="Cambria Math" w:eastAsia="仿宋"/>
                  <w:color w:val="000000" w:themeColor="text1"/>
                  <w:szCs w:val="21"/>
                  <w14:textFill>
                    <w14:solidFill>
                      <w14:schemeClr w14:val="tx1"/>
                    </w14:solidFill>
                  </w14:textFill>
                </w:rPr>
              </m:ctrlPr>
            </m:fPr>
            <m:num>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n</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nJ</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m:t>
          </m:r>
          <m:f>
            <m:fPr>
              <m:ctrlPr>
                <w:rPr>
                  <w:rFonts w:hint="eastAsia" w:ascii="Cambria Math" w:hAnsi="Cambria Math" w:eastAsia="仿宋"/>
                  <w:color w:val="000000" w:themeColor="text1"/>
                  <w:szCs w:val="21"/>
                  <w14:textFill>
                    <w14:solidFill>
                      <w14:schemeClr w14:val="tx1"/>
                    </w14:solidFill>
                  </w14:textFill>
                </w:rPr>
              </m:ctrlPr>
            </m:fPr>
            <m:num>
              <m:r>
                <m:rPr>
                  <m:sty m:val="p"/>
                </m:rPr>
                <w:rPr>
                  <w:rFonts w:hint="eastAsia" w:ascii="Cambria Math" w:hAnsi="Cambria Math" w:eastAsia="仿宋"/>
                  <w:color w:val="000000" w:themeColor="text1"/>
                  <w:szCs w:val="21"/>
                  <w14:textFill>
                    <w14:solidFill>
                      <w14:schemeClr w14:val="tx1"/>
                    </w14:solidFill>
                  </w14:textFill>
                </w:rPr>
                <m:t>381.40</m:t>
              </m:r>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2×2.25</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=84.76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（4）按热稳定截面选择低压电缆截面</w:t>
      </w:r>
    </w:p>
    <w:p>
      <w:pPr>
        <w:snapToGrid w:val="0"/>
        <w:spacing w:line="240" w:lineRule="auto"/>
        <w:ind w:firstLine="420"/>
        <w:rPr>
          <w:rFonts w:ascii="仿宋" w:hAnsi="仿宋" w:eastAsia="仿宋"/>
          <w:color w:val="000000" w:themeColor="text1"/>
          <w:szCs w:val="21"/>
          <w14:textFill>
            <w14:solidFill>
              <w14:schemeClr w14:val="tx1"/>
            </w14:solidFill>
          </w14:textFill>
        </w:rPr>
      </w:pPr>
      <m:oMathPara>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r>
            <m:rPr>
              <m:sty m:val="p"/>
            </m:rPr>
            <w:rPr>
              <w:rFonts w:hint="eastAsia" w:ascii="Cambria Math" w:hAnsi="Cambria Math" w:eastAsia="仿宋"/>
              <w:color w:val="000000" w:themeColor="text1"/>
              <w:szCs w:val="21"/>
              <w14:textFill>
                <w14:solidFill>
                  <w14:schemeClr w14:val="tx1"/>
                </w14:solidFill>
              </w14:textFill>
            </w:rPr>
            <m:t>=</m:t>
          </m:r>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C</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=5928×</m:t>
          </m:r>
          <m:f>
            <m:fPr>
              <m:ctrlPr>
                <w:rPr>
                  <w:rFonts w:hint="eastAsia" w:ascii="Cambria Math" w:hAnsi="Cambria Math" w:eastAsia="仿宋"/>
                  <w:color w:val="000000" w:themeColor="text1"/>
                  <w:szCs w:val="21"/>
                  <w14:textFill>
                    <w14:solidFill>
                      <w14:schemeClr w14:val="tx1"/>
                    </w14:solidFill>
                  </w14:textFill>
                </w:rPr>
              </m:ctrlPr>
            </m:fPr>
            <m:num>
              <m:rad>
                <m:radPr>
                  <m:degHide m:val="1"/>
                  <m:ctrlPr>
                    <w:rPr>
                      <w:rFonts w:hint="eastAsia" w:ascii="Cambria Math" w:hAnsi="Cambria Math" w:eastAsia="仿宋"/>
                      <w:color w:val="000000" w:themeColor="text1"/>
                      <w:szCs w:val="21"/>
                      <w14:textFill>
                        <w14:solidFill>
                          <w14:schemeClr w14:val="tx1"/>
                        </w14:solidFill>
                      </w14:textFill>
                    </w:rPr>
                  </m:ctrlPr>
                </m:radPr>
                <m:deg>
                  <m:ctrlPr>
                    <w:rPr>
                      <w:rFonts w:hint="eastAsia" w:ascii="Cambria Math" w:hAnsi="Cambria Math" w:eastAsia="仿宋"/>
                      <w:color w:val="000000" w:themeColor="text1"/>
                      <w:szCs w:val="21"/>
                      <w14:textFill>
                        <w14:solidFill>
                          <w14:schemeClr w14:val="tx1"/>
                        </w14:solidFill>
                      </w14:textFill>
                    </w:rPr>
                  </m:ctrlPr>
                </m:deg>
                <m:e>
                  <m:r>
                    <m:rPr>
                      <m:sty m:val="p"/>
                    </m:rPr>
                    <w:rPr>
                      <w:rFonts w:hint="eastAsia" w:ascii="Cambria Math" w:hAnsi="Cambria Math" w:eastAsia="仿宋"/>
                      <w:color w:val="000000" w:themeColor="text1"/>
                      <w:szCs w:val="21"/>
                      <w14:textFill>
                        <w14:solidFill>
                          <w14:schemeClr w14:val="tx1"/>
                        </w14:solidFill>
                      </w14:textFill>
                    </w:rPr>
                    <m:t>0.25</m:t>
                  </m:r>
                  <m:ctrlPr>
                    <w:rPr>
                      <w:rFonts w:hint="eastAsia" w:ascii="Cambria Math" w:hAnsi="Cambria Math" w:eastAsia="仿宋"/>
                      <w:color w:val="000000" w:themeColor="text1"/>
                      <w:szCs w:val="21"/>
                      <w14:textFill>
                        <w14:solidFill>
                          <w14:schemeClr w14:val="tx1"/>
                        </w14:solidFill>
                      </w14:textFill>
                    </w:rPr>
                  </m:ctrlPr>
                </m:e>
              </m:rad>
              <m:ctrlPr>
                <w:rPr>
                  <w:rFonts w:hint="eastAsia" w:ascii="Cambria Math" w:hAnsi="Cambria Math" w:eastAsia="仿宋"/>
                  <w:color w:val="000000" w:themeColor="text1"/>
                  <w:szCs w:val="21"/>
                  <w14:textFill>
                    <w14:solidFill>
                      <w14:schemeClr w14:val="tx1"/>
                    </w14:solidFill>
                  </w14:textFill>
                </w:rPr>
              </m:ctrlPr>
            </m:num>
            <m:den>
              <m:r>
                <m:rPr>
                  <m:sty m:val="p"/>
                </m:rPr>
                <w:rPr>
                  <w:rFonts w:hint="eastAsia" w:ascii="Cambria Math" w:hAnsi="Cambria Math" w:eastAsia="仿宋"/>
                  <w:color w:val="000000" w:themeColor="text1"/>
                  <w:szCs w:val="21"/>
                  <w14:textFill>
                    <w14:solidFill>
                      <w14:schemeClr w14:val="tx1"/>
                    </w14:solidFill>
                  </w14:textFill>
                </w:rPr>
                <m:t>159</m:t>
              </m:r>
              <m:ctrlPr>
                <w:rPr>
                  <w:rFonts w:hint="eastAsia" w:ascii="Cambria Math" w:hAnsi="Cambria Math" w:eastAsia="仿宋"/>
                  <w:color w:val="000000" w:themeColor="text1"/>
                  <w:szCs w:val="21"/>
                  <w14:textFill>
                    <w14:solidFill>
                      <w14:schemeClr w14:val="tx1"/>
                    </w14:solidFill>
                  </w14:textFill>
                </w:rPr>
              </m:ctrlPr>
            </m:den>
          </m:f>
          <m:r>
            <m:rPr>
              <m:sty m:val="p"/>
            </m:rPr>
            <w:rPr>
              <w:rFonts w:hint="eastAsia" w:ascii="Cambria Math" w:hAnsi="Cambria Math" w:eastAsia="仿宋"/>
              <w:color w:val="000000" w:themeColor="text1"/>
              <w:szCs w:val="21"/>
              <w14:textFill>
                <w14:solidFill>
                  <w14:schemeClr w14:val="tx1"/>
                </w14:solidFill>
              </w14:textFill>
            </w:rPr>
            <m:t>=18.64 mm²， 满足要求。</m:t>
          </m:r>
        </m:oMath>
      </m:oMathPara>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其余低压电缆选型设计详见《1303综采工作面供电设计》</w:t>
      </w:r>
    </w:p>
    <w:p>
      <w:pPr>
        <w:snapToGrid w:val="0"/>
        <w:spacing w:line="240" w:lineRule="auto"/>
        <w:ind w:firstLine="42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公式参数意义说明</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C</m:t>
        </m:r>
      </m:oMath>
      <w:r>
        <w:rPr>
          <w:rFonts w:hint="eastAsia" w:ascii="仿宋" w:hAnsi="仿宋" w:eastAsia="仿宋"/>
          <w:color w:val="000000" w:themeColor="text1"/>
          <w:szCs w:val="21"/>
          <w14:textFill>
            <w14:solidFill>
              <w14:schemeClr w14:val="tx1"/>
            </w14:solidFill>
          </w14:textFill>
        </w:rPr>
        <w:t>—电缆芯线热稳定系数，查表取93.4或159；</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t</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f</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—短路电流作用的假想时间，s；</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S</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b</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—变压器需用容量，kVA；</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r</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—变压器电阻压降；</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—变压器电抗压降；</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ΔU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b</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—变压器电压损失，V；</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S</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—变压器额定容量，kVA；</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2e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—变压器二次侧额定电压，V；</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—电动机的额定电流，A；</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K</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x</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—高压电缆所带负荷的需用系数；</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—电动机的额定功率，kW；</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—低压电缆的额定电压；</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η</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—电动机的额定效率；</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ΔU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—支线电缆电压损失，V；</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A</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min</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—电缆短路时热稳定要求的最小截面，</w:t>
      </w:r>
      <m:oMath>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mm</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Σ</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P</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—低压电缆所带的负荷额定功率之和，</w:t>
      </w:r>
      <m:oMath>
        <m:r>
          <m:rPr>
            <m:sty m:val="p"/>
          </m:rPr>
          <w:rPr>
            <w:rFonts w:hint="eastAsia" w:ascii="Cambria Math" w:hAnsi="Cambria Math" w:eastAsia="仿宋"/>
            <w:color w:val="000000" w:themeColor="text1"/>
            <w:szCs w:val="21"/>
            <w14:textFill>
              <w14:solidFill>
                <w14:schemeClr w14:val="tx1"/>
              </w14:solidFill>
            </w14:textFill>
          </w:rPr>
          <m:t>kW</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Sup>
          <m:sSubSupPr>
            <m:ctrlPr>
              <w:rPr>
                <w:rFonts w:hint="eastAsia" w:ascii="Cambria Math" w:hAnsi="Cambria Math" w:eastAsia="仿宋"/>
                <w:color w:val="000000" w:themeColor="text1"/>
                <w:szCs w:val="21"/>
                <w14:textFill>
                  <w14:solidFill>
                    <w14:schemeClr w14:val="tx1"/>
                  </w14:solidFill>
                </w14:textFill>
              </w:rPr>
            </m:ctrlPr>
          </m:sSubSupPr>
          <m:e>
            <m:r>
              <m:rPr>
                <m:sty m:val="p"/>
              </m:rPr>
              <w:rPr>
                <w:rFonts w:hint="eastAsia" w:ascii="Cambria Math" w:hAnsi="Cambria Math" w:eastAsia="仿宋"/>
                <w:color w:val="000000" w:themeColor="text1"/>
                <w:szCs w:val="21"/>
                <w14:textFill>
                  <w14:solidFill>
                    <w14:schemeClr w14:val="tx1"/>
                  </w14:solidFill>
                </w14:textFill>
              </w:rPr>
              <m:t>I</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d.max</m:t>
            </m:r>
            <m:ctrlPr>
              <w:rPr>
                <w:rFonts w:hint="eastAsia" w:ascii="Cambria Math" w:hAnsi="Cambria Math" w:eastAsia="仿宋"/>
                <w:color w:val="000000" w:themeColor="text1"/>
                <w:szCs w:val="21"/>
                <w14:textFill>
                  <w14:solidFill>
                    <w14:schemeClr w14:val="tx1"/>
                  </w14:solidFill>
                </w14:textFill>
              </w:rPr>
            </m:ctrlPr>
          </m:sub>
          <m:sup>
            <m:r>
              <m:rPr>
                <m:sty m:val="p"/>
              </m:rPr>
              <w:rPr>
                <w:rFonts w:hint="eastAsia" w:ascii="Cambria Math" w:hAnsi="Cambria Math" w:eastAsia="仿宋"/>
                <w:color w:val="000000" w:themeColor="text1"/>
                <w:szCs w:val="21"/>
                <w14:textFill>
                  <w14:solidFill>
                    <w14:schemeClr w14:val="tx1"/>
                  </w14:solidFill>
                </w14:textFill>
              </w:rPr>
              <m:t>(3)</m:t>
            </m:r>
            <m:ctrlPr>
              <w:rPr>
                <w:rFonts w:hint="eastAsia" w:ascii="Cambria Math" w:hAnsi="Cambria Math" w:eastAsia="仿宋"/>
                <w:color w:val="000000" w:themeColor="text1"/>
                <w:szCs w:val="21"/>
                <w14:textFill>
                  <w14:solidFill>
                    <w14:schemeClr w14:val="tx1"/>
                  </w14:solidFill>
                </w14:textFill>
              </w:rPr>
            </m:ctrlPr>
          </m:sup>
        </m:sSubSup>
      </m:oMath>
      <w:r>
        <w:rPr>
          <w:rFonts w:hint="eastAsia" w:ascii="仿宋" w:hAnsi="仿宋" w:eastAsia="仿宋"/>
          <w:color w:val="000000" w:themeColor="text1"/>
          <w:szCs w:val="21"/>
          <w14:textFill>
            <w14:solidFill>
              <w14:schemeClr w14:val="tx1"/>
            </w14:solidFill>
          </w14:textFill>
        </w:rPr>
        <w:t>—最大三相稳态短路电流，</w:t>
      </w:r>
      <m:oMath>
        <m:r>
          <m:rPr>
            <m:sty m:val="p"/>
          </m:rPr>
          <w:rPr>
            <w:rFonts w:hint="eastAsia" w:ascii="Cambria Math" w:hAnsi="Cambria Math" w:eastAsia="仿宋"/>
            <w:color w:val="000000" w:themeColor="text1"/>
            <w:szCs w:val="21"/>
            <w14:textFill>
              <w14:solidFill>
                <w14:schemeClr w14:val="tx1"/>
              </w14:solidFill>
            </w14:textFill>
          </w:rPr>
          <m:t>A</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L</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z</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—支线电缆长度，</w:t>
      </w:r>
      <m:oMath>
        <m:r>
          <m:rPr>
            <m:sty m:val="p"/>
          </m:rPr>
          <w:rPr>
            <w:rFonts w:hint="eastAsia" w:ascii="Cambria Math" w:hAnsi="Cambria Math" w:eastAsia="仿宋"/>
            <w:color w:val="000000" w:themeColor="text1"/>
            <w:szCs w:val="21"/>
            <w14:textFill>
              <w14:solidFill>
                <w14:schemeClr w14:val="tx1"/>
              </w14:solidFill>
            </w14:textFill>
          </w:rPr>
          <m:t>km</m:t>
        </m:r>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—变压器平均功率因数；</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sin</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pj</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—变压器平均功率因数角对应的正弦值；</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tanφ</m:t>
        </m:r>
      </m:oMath>
      <w:r>
        <w:rPr>
          <w:rFonts w:hint="eastAsia" w:ascii="仿宋" w:hAnsi="仿宋" w:eastAsia="仿宋"/>
          <w:color w:val="000000" w:themeColor="text1"/>
          <w:szCs w:val="21"/>
          <w14:textFill>
            <w14:solidFill>
              <w14:schemeClr w14:val="tx1"/>
            </w14:solidFill>
          </w14:textFill>
        </w:rPr>
        <w:t>—变压器平均功率因数角对应的正切值；</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cos</m:t>
        </m:r>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φ</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e</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—额定功率因数；</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ΔU</m:t>
        </m:r>
      </m:oMath>
      <w:r>
        <w:rPr>
          <w:rFonts w:hint="eastAsia" w:ascii="仿宋" w:hAnsi="仿宋" w:eastAsia="仿宋"/>
          <w:color w:val="000000" w:themeColor="text1"/>
          <w:szCs w:val="21"/>
          <w14:textFill>
            <w14:solidFill>
              <w14:schemeClr w14:val="tx1"/>
            </w14:solidFill>
          </w14:textFill>
        </w:rPr>
        <w:t>—电压总损失，V；</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sSub>
          <m:sSubPr>
            <m:ctrlPr>
              <w:rPr>
                <w:rFonts w:hint="eastAsia" w:ascii="Cambria Math" w:hAnsi="Cambria Math" w:eastAsia="仿宋"/>
                <w:color w:val="000000" w:themeColor="text1"/>
                <w:szCs w:val="21"/>
                <w14:textFill>
                  <w14:solidFill>
                    <w14:schemeClr w14:val="tx1"/>
                  </w14:solidFill>
                </w14:textFill>
              </w:rPr>
            </m:ctrlPr>
          </m:sSubPr>
          <m:e>
            <m:r>
              <m:rPr>
                <m:sty m:val="p"/>
              </m:rPr>
              <w:rPr>
                <w:rFonts w:hint="eastAsia" w:ascii="Cambria Math" w:hAnsi="Cambria Math" w:eastAsia="仿宋"/>
                <w:color w:val="000000" w:themeColor="text1"/>
                <w:szCs w:val="21"/>
                <w14:textFill>
                  <w14:solidFill>
                    <w14:schemeClr w14:val="tx1"/>
                  </w14:solidFill>
                </w14:textFill>
              </w:rPr>
              <m:t>ΔU</m:t>
            </m:r>
            <m:ctrlPr>
              <w:rPr>
                <w:rFonts w:hint="eastAsia" w:ascii="Cambria Math" w:hAnsi="Cambria Math" w:eastAsia="仿宋"/>
                <w:color w:val="000000" w:themeColor="text1"/>
                <w:szCs w:val="21"/>
                <w14:textFill>
                  <w14:solidFill>
                    <w14:schemeClr w14:val="tx1"/>
                  </w14:solidFill>
                </w14:textFill>
              </w:rPr>
            </m:ctrlPr>
          </m:e>
          <m:sub>
            <m:r>
              <m:rPr>
                <m:sty m:val="p"/>
              </m:rPr>
              <w:rPr>
                <w:rFonts w:hint="eastAsia" w:ascii="Cambria Math" w:hAnsi="Cambria Math" w:eastAsia="仿宋"/>
                <w:color w:val="000000" w:themeColor="text1"/>
                <w:szCs w:val="21"/>
                <w14:textFill>
                  <w14:solidFill>
                    <w14:schemeClr w14:val="tx1"/>
                  </w14:solidFill>
                </w14:textFill>
              </w:rPr>
              <m:t>g</m:t>
            </m:r>
            <m:ctrlPr>
              <w:rPr>
                <w:rFonts w:hint="eastAsia" w:ascii="Cambria Math" w:hAnsi="Cambria Math" w:eastAsia="仿宋"/>
                <w:color w:val="000000" w:themeColor="text1"/>
                <w:szCs w:val="21"/>
                <w14:textFill>
                  <w14:solidFill>
                    <w14:schemeClr w14:val="tx1"/>
                  </w14:solidFill>
                </w14:textFill>
              </w:rPr>
            </m:ctrlPr>
          </m:sub>
        </m:sSub>
      </m:oMath>
      <w:r>
        <w:rPr>
          <w:rFonts w:hint="eastAsia" w:ascii="仿宋" w:hAnsi="仿宋" w:eastAsia="仿宋"/>
          <w:color w:val="000000" w:themeColor="text1"/>
          <w:szCs w:val="21"/>
          <w14:textFill>
            <w14:solidFill>
              <w14:schemeClr w14:val="tx1"/>
            </w14:solidFill>
          </w14:textFill>
        </w:rPr>
        <w:t>—干线电缆电压损失，V；</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A</m:t>
        </m:r>
      </m:oMath>
      <w:r>
        <w:rPr>
          <w:rFonts w:hint="eastAsia" w:ascii="仿宋" w:hAnsi="仿宋" w:eastAsia="仿宋"/>
          <w:color w:val="000000" w:themeColor="text1"/>
          <w:szCs w:val="21"/>
          <w14:textFill>
            <w14:solidFill>
              <w14:schemeClr w14:val="tx1"/>
            </w14:solidFill>
          </w14:textFill>
        </w:rPr>
        <w:t>—导线的经济截面积，</w:t>
      </w:r>
      <m:oMath>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mm</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J</m:t>
        </m:r>
      </m:oMath>
      <w:r>
        <w:rPr>
          <w:rFonts w:hint="eastAsia" w:ascii="仿宋" w:hAnsi="仿宋" w:eastAsia="仿宋"/>
          <w:color w:val="000000" w:themeColor="text1"/>
          <w:szCs w:val="21"/>
          <w14:textFill>
            <w14:solidFill>
              <w14:schemeClr w14:val="tx1"/>
            </w14:solidFill>
          </w14:textFill>
        </w:rPr>
        <w:t>—经济电流密度，A/</w:t>
      </w:r>
      <m:oMath>
        <m:sSup>
          <m:sSupPr>
            <m:ctrlPr>
              <w:rPr>
                <w:rFonts w:hint="eastAsia" w:ascii="Cambria Math" w:hAnsi="Cambria Math" w:eastAsia="仿宋"/>
                <w:color w:val="000000" w:themeColor="text1"/>
                <w:szCs w:val="21"/>
                <w14:textFill>
                  <w14:solidFill>
                    <w14:schemeClr w14:val="tx1"/>
                  </w14:solidFill>
                </w14:textFill>
              </w:rPr>
            </m:ctrlPr>
          </m:sSupPr>
          <m:e>
            <m:r>
              <m:rPr>
                <m:sty m:val="p"/>
              </m:rPr>
              <w:rPr>
                <w:rFonts w:hint="eastAsia" w:ascii="Cambria Math" w:hAnsi="Cambria Math" w:eastAsia="仿宋"/>
                <w:color w:val="000000" w:themeColor="text1"/>
                <w:szCs w:val="21"/>
                <w14:textFill>
                  <w14:solidFill>
                    <w14:schemeClr w14:val="tx1"/>
                  </w14:solidFill>
                </w14:textFill>
              </w:rPr>
              <m:t>mm</m:t>
            </m:r>
            <m:ctrlPr>
              <w:rPr>
                <w:rFonts w:hint="eastAsia" w:ascii="Cambria Math" w:hAnsi="Cambria Math" w:eastAsia="仿宋"/>
                <w:color w:val="000000" w:themeColor="text1"/>
                <w:szCs w:val="21"/>
                <w14:textFill>
                  <w14:solidFill>
                    <w14:schemeClr w14:val="tx1"/>
                  </w14:solidFill>
                </w14:textFill>
              </w:rPr>
            </m:ctrlPr>
          </m:e>
          <m:sup>
            <m:r>
              <m:rPr>
                <m:sty m:val="p"/>
              </m:rPr>
              <w:rPr>
                <w:rFonts w:hint="eastAsia" w:ascii="Cambria Math" w:hAnsi="Cambria Math" w:eastAsia="仿宋"/>
                <w:color w:val="000000" w:themeColor="text1"/>
                <w:szCs w:val="21"/>
                <w14:textFill>
                  <w14:solidFill>
                    <w14:schemeClr w14:val="tx1"/>
                  </w14:solidFill>
                </w14:textFill>
              </w:rPr>
              <m:t>2</m:t>
            </m:r>
            <m:ctrlPr>
              <w:rPr>
                <w:rFonts w:hint="eastAsia" w:ascii="Cambria Math" w:hAnsi="Cambria Math" w:eastAsia="仿宋"/>
                <w:color w:val="000000" w:themeColor="text1"/>
                <w:szCs w:val="21"/>
                <w14:textFill>
                  <w14:solidFill>
                    <w14:schemeClr w14:val="tx1"/>
                  </w14:solidFill>
                </w14:textFill>
              </w:rPr>
            </m:ctrlPr>
          </m:sup>
        </m:sSup>
      </m:oMath>
      <w:r>
        <w:rPr>
          <w:rFonts w:hint="eastAsia" w:ascii="仿宋" w:hAnsi="仿宋" w:eastAsia="仿宋"/>
          <w:color w:val="000000" w:themeColor="text1"/>
          <w:szCs w:val="21"/>
          <w14:textFill>
            <w14:solidFill>
              <w14:schemeClr w14:val="tx1"/>
            </w14:solidFill>
          </w14:textFill>
        </w:rPr>
        <w:t>；</w:t>
      </w:r>
    </w:p>
    <w:p>
      <w:pPr>
        <w:snapToGrid w:val="0"/>
        <w:spacing w:line="240" w:lineRule="auto"/>
        <w:ind w:firstLine="420"/>
        <w:rPr>
          <w:rFonts w:ascii="仿宋" w:hAnsi="仿宋" w:eastAsia="仿宋"/>
          <w:color w:val="000000" w:themeColor="text1"/>
          <w:szCs w:val="21"/>
          <w14:textFill>
            <w14:solidFill>
              <w14:schemeClr w14:val="tx1"/>
            </w14:solidFill>
          </w14:textFill>
        </w:rPr>
      </w:pPr>
      <m:oMath>
        <m:r>
          <m:rPr>
            <m:sty m:val="p"/>
          </m:rPr>
          <w:rPr>
            <w:rFonts w:hint="eastAsia" w:ascii="Cambria Math" w:hAnsi="Cambria Math" w:eastAsia="仿宋"/>
            <w:color w:val="000000" w:themeColor="text1"/>
            <w:szCs w:val="21"/>
            <w14:textFill>
              <w14:solidFill>
                <w14:schemeClr w14:val="tx1"/>
              </w14:solidFill>
            </w14:textFill>
          </w:rPr>
          <m:t>n</m:t>
        </m:r>
      </m:oMath>
      <w:r>
        <w:rPr>
          <w:rFonts w:hint="eastAsia" w:ascii="仿宋" w:hAnsi="仿宋" w:eastAsia="仿宋"/>
          <w:color w:val="000000" w:themeColor="text1"/>
          <w:szCs w:val="21"/>
          <w14:textFill>
            <w14:solidFill>
              <w14:schemeClr w14:val="tx1"/>
            </w14:solidFill>
          </w14:textFill>
        </w:rPr>
        <w:t>—不考虑下井电缆损坏时，同时工作的电缆根数。</w:t>
      </w:r>
      <w:bookmarkStart w:id="211" w:name="_Toc988993"/>
    </w:p>
    <w:p>
      <w:pPr>
        <w:snapToGrid w:val="0"/>
        <w:spacing w:line="240" w:lineRule="auto"/>
        <w:ind w:firstLine="0" w:firstLineChars="0"/>
        <w:rPr>
          <w:rFonts w:ascii="宋体" w:hAnsi="宋体" w:eastAsia="宋体"/>
          <w:b/>
          <w:kern w:val="0"/>
          <w:sz w:val="24"/>
          <w:szCs w:val="20"/>
        </w:rPr>
      </w:pPr>
      <w:r>
        <w:rPr>
          <w:rFonts w:hint="eastAsia" w:ascii="宋体" w:hAnsi="宋体" w:eastAsia="宋体"/>
          <w:b/>
          <w:kern w:val="0"/>
          <w:sz w:val="24"/>
          <w:szCs w:val="20"/>
        </w:rPr>
        <w:t>4. 整定保护</w:t>
      </w:r>
      <w:bookmarkEnd w:id="211"/>
    </w:p>
    <w:p>
      <w:pPr>
        <w:pStyle w:val="4"/>
        <w:ind w:firstLine="0" w:firstLineChars="0"/>
        <w:jc w:val="both"/>
        <w:rPr>
          <w:rFonts w:ascii="宋体" w:hAnsi="宋体" w:eastAsia="宋体"/>
          <w:sz w:val="21"/>
        </w:rPr>
      </w:pPr>
      <w:bookmarkStart w:id="212" w:name="_Toc988994"/>
      <w:r>
        <w:rPr>
          <w:rFonts w:hint="eastAsia" w:ascii="宋体" w:hAnsi="宋体" w:eastAsia="宋体"/>
        </w:rPr>
        <w:t>4.1 移变开关箱整定保护</w:t>
      </w:r>
      <w:bookmarkEnd w:id="212"/>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45"/>
        <w:gridCol w:w="2320"/>
        <w:gridCol w:w="1044"/>
        <w:gridCol w:w="1044"/>
        <w:gridCol w:w="1044"/>
        <w:gridCol w:w="1044"/>
        <w:gridCol w:w="1044"/>
        <w:gridCol w:w="6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编 号</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型 号</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过载保护值</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短路保护值</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过载整定倍数</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短路整定倍数</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两相短路电流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灵敏系数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1#(高)</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KBSGZY-4000/10/3.45</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231</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652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4911</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1#(低)</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KBSGZY-4000/10/3.45</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704</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3338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4.17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4867</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2#(高)</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KBSGZY-4000/10/3.45</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231</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650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4903</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2#(低)</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KBSGZY-4000/10/3.45</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578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2071</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0.72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2.59</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4860</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3#(高)</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KBSGZY-1250/10/1.2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577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8237</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3#(低)</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KBSGZY-1250/10/1.2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454</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2158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0.72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3.43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7608</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4#(高)</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KBSGZY-1600/10/1.2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92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728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9069</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4#(低)</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KBSGZY-1600/10/1.2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450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949</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0.56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1.19</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8314</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5#(高)</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KBSGZY-800/10/1.2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369</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6449</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5#(低)</w:t>
            </w:r>
          </w:p>
        </w:tc>
        <w:tc>
          <w:tcPr>
            <w:tcW w:w="2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KBSGZY-800/10/1.2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266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696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0.33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3616</w:t>
            </w:r>
          </w:p>
        </w:tc>
        <w:tc>
          <w:tcPr>
            <w:tcW w:w="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5.2</w:t>
            </w:r>
          </w:p>
        </w:tc>
      </w:tr>
    </w:tbl>
    <w:p>
      <w:pPr>
        <w:ind w:firstLine="422"/>
        <w:jc w:val="left"/>
        <w:rPr>
          <w:rFonts w:ascii="宋体" w:hAnsi="宋体" w:eastAsia="宋体"/>
        </w:rPr>
      </w:pPr>
      <w:r>
        <w:rPr>
          <w:rFonts w:hint="eastAsia" w:ascii="宋体" w:hAnsi="宋体" w:eastAsia="宋体"/>
          <w:b/>
        </w:rPr>
        <w:t>&lt;1&gt; 1#( KBSGZY-4000/10/3.45)</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移动变电站高压开关箱保护</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=230.94 A，取231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短路保护定值（按躲过变压器励磁涌流整定）</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=8×230.94=1847.5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短路保护定值（按变压器二次侧两相短路时有不小于1.5的灵敏系数整定）</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2k.min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4911/(</m:t>
              </m:r>
              <m:rad>
                <m:radPr>
                  <m:degHide m:val="1"/>
                  <m:ctrlPr>
                    <w:rPr>
                      <w:rFonts w:hint="eastAsia" w:ascii="Cambria Math" w:hAnsi="Cambria Math" w:eastAsia="仿宋"/>
                      <w:color w:val="000000" w:themeColor="text1"/>
                      <w:sz w:val="18"/>
                      <w:szCs w:val="18"/>
                      <w14:textFill>
                        <w14:solidFill>
                          <w14:schemeClr w14:val="tx1"/>
                        </w14:solidFill>
                      </w14:textFill>
                    </w:rPr>
                  </m:ctrlPr>
                </m:radPr>
                <m:deg>
                  <m:ctrlPr>
                    <w:rPr>
                      <w:rFonts w:hint="eastAsia" w:ascii="Cambria Math" w:hAnsi="Cambria Math" w:eastAsia="仿宋"/>
                      <w:color w:val="000000" w:themeColor="text1"/>
                      <w:sz w:val="18"/>
                      <w:szCs w:val="18"/>
                      <w14:textFill>
                        <w14:solidFill>
                          <w14:schemeClr w14:val="tx1"/>
                        </w14:solidFill>
                      </w14:textFill>
                    </w:rPr>
                  </m:ctrlPr>
                </m:deg>
                <m:e>
                  <m:r>
                    <m:rPr>
                      <m:sty m:val="p"/>
                    </m:rPr>
                    <w:rPr>
                      <w:rFonts w:hint="eastAsia" w:ascii="Cambria Math" w:hAnsi="Cambria Math" w:eastAsia="仿宋"/>
                      <w:color w:val="000000" w:themeColor="text1"/>
                      <w:sz w:val="18"/>
                      <w:szCs w:val="18"/>
                      <w14:textFill>
                        <w14:solidFill>
                          <w14:schemeClr w14:val="tx1"/>
                        </w14:solidFill>
                      </w14:textFill>
                    </w:rPr>
                    <m:t>3</m:t>
                  </m:r>
                  <m:ctrlPr>
                    <w:rPr>
                      <w:rFonts w:hint="eastAsia" w:ascii="Cambria Math" w:hAnsi="Cambria Math" w:eastAsia="仿宋"/>
                      <w:color w:val="000000" w:themeColor="text1"/>
                      <w:sz w:val="18"/>
                      <w:szCs w:val="18"/>
                      <w14:textFill>
                        <w14:solidFill>
                          <w14:schemeClr w14:val="tx1"/>
                        </w14:solidFill>
                      </w14:textFill>
                    </w:rPr>
                  </m:ctrlPr>
                </m:e>
              </m:rad>
              <m:r>
                <m:rPr>
                  <m:sty m:val="p"/>
                </m:rPr>
                <w:rPr>
                  <w:rFonts w:hint="eastAsia" w:ascii="Cambria Math" w:hAnsi="Cambria Math" w:eastAsia="仿宋"/>
                  <w:color w:val="000000" w:themeColor="text1"/>
                  <w:sz w:val="18"/>
                  <w:szCs w:val="18"/>
                  <w14:textFill>
                    <w14:solidFill>
                      <w14:schemeClr w14:val="tx1"/>
                    </w14:solidFill>
                  </w14:textFill>
                </w:rPr>
                <m:t>×2.9)</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1.5</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=651.8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选取短路保护定值中的最小值作为变压器速断保护的动作电流</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=651.8 A，取652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移动变电站低压开关箱保护</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=1.05×670.84=704 A，取704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rel</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d>
            <m:dPr>
              <m:ctrlPr>
                <w:rPr>
                  <w:rFonts w:hint="eastAsia" w:ascii="Cambria Math" w:hAnsi="Cambria Math" w:eastAsia="仿宋"/>
                  <w:color w:val="000000" w:themeColor="text1"/>
                  <w:sz w:val="18"/>
                  <w:szCs w:val="18"/>
                  <w14:textFill>
                    <w14:solidFill>
                      <w14:schemeClr w14:val="tx1"/>
                    </w14:solidFill>
                  </w14:textFill>
                </w:rPr>
              </m:ctrlPr>
            </m:dPr>
            <m:e>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e>
          </m:d>
          <m:r>
            <m:rPr>
              <m:sty m:val="p"/>
            </m:rPr>
            <w:rPr>
              <w:rFonts w:hint="eastAsia" w:ascii="Cambria Math" w:hAnsi="Cambria Math" w:eastAsia="仿宋"/>
              <w:color w:val="000000" w:themeColor="text1"/>
              <w:sz w:val="18"/>
              <w:szCs w:val="18"/>
              <w14:textFill>
                <w14:solidFill>
                  <w14:schemeClr w14:val="tx1"/>
                </w14:solidFill>
              </w14:textFill>
            </w:rPr>
            <m:t>=1.2×</m:t>
          </m:r>
          <m:d>
            <m:dPr>
              <m:ctrlPr>
                <w:rPr>
                  <w:rFonts w:hint="eastAsia" w:ascii="Cambria Math" w:hAnsi="Cambria Math" w:eastAsia="仿宋"/>
                  <w:color w:val="000000" w:themeColor="text1"/>
                  <w:sz w:val="18"/>
                  <w:szCs w:val="18"/>
                  <w14:textFill>
                    <w14:solidFill>
                      <w14:schemeClr w14:val="tx1"/>
                    </w14:solidFill>
                  </w14:textFill>
                </w:rPr>
              </m:ctrlPr>
            </m:dPr>
            <m:e>
              <m:r>
                <m:rPr>
                  <m:sty m:val="p"/>
                </m:rPr>
                <w:rPr>
                  <w:rFonts w:hint="eastAsia" w:ascii="Cambria Math" w:hAnsi="Cambria Math" w:eastAsia="仿宋"/>
                  <w:color w:val="000000" w:themeColor="text1"/>
                  <w:sz w:val="18"/>
                  <w:szCs w:val="18"/>
                  <w14:textFill>
                    <w14:solidFill>
                      <w14:schemeClr w14:val="tx1"/>
                    </w14:solidFill>
                  </w14:textFill>
                </w:rPr>
                <m:t>2689+93.3</m:t>
              </m:r>
              <m:ctrlPr>
                <w:rPr>
                  <w:rFonts w:hint="eastAsia" w:ascii="Cambria Math" w:hAnsi="Cambria Math" w:eastAsia="仿宋"/>
                  <w:color w:val="000000" w:themeColor="text1"/>
                  <w:sz w:val="18"/>
                  <w:szCs w:val="18"/>
                  <w14:textFill>
                    <w14:solidFill>
                      <w14:schemeClr w14:val="tx1"/>
                    </w14:solidFill>
                  </w14:textFill>
                </w:rPr>
              </m:ctrlPr>
            </m:e>
          </m:d>
          <m:r>
            <m:rPr>
              <m:sty m:val="p"/>
            </m:rPr>
            <w:rPr>
              <w:rFonts w:hint="eastAsia" w:ascii="Cambria Math" w:hAnsi="Cambria Math" w:eastAsia="仿宋"/>
              <w:color w:val="000000" w:themeColor="text1"/>
              <w:sz w:val="18"/>
              <w:szCs w:val="18"/>
              <w14:textFill>
                <w14:solidFill>
                  <w14:schemeClr w14:val="tx1"/>
                </w14:solidFill>
              </w14:textFill>
            </w:rPr>
            <m:t>=3338 A，取3338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704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=0.88，取0.88</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3338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=4.17，取4.17</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灵敏系数校验</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4867</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4.17×800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=1.5≥1.5，满足要求。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&lt;2&gt; 2#( KBSGZY-4000/10/3.45)</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移动变电站高压开关箱保护</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=230.94 A，取231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短路保护定值（按躲过变压器励磁涌流整定）</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=8×230.94=1847.5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短路保护定值（按变压器二次侧两相短路时有不小于1.5的灵敏系数整定）</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2k.min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4903/(</m:t>
              </m:r>
              <m:rad>
                <m:radPr>
                  <m:degHide m:val="1"/>
                  <m:ctrlPr>
                    <w:rPr>
                      <w:rFonts w:hint="eastAsia" w:ascii="Cambria Math" w:hAnsi="Cambria Math" w:eastAsia="仿宋"/>
                      <w:color w:val="000000" w:themeColor="text1"/>
                      <w:sz w:val="18"/>
                      <w:szCs w:val="18"/>
                      <w14:textFill>
                        <w14:solidFill>
                          <w14:schemeClr w14:val="tx1"/>
                        </w14:solidFill>
                      </w14:textFill>
                    </w:rPr>
                  </m:ctrlPr>
                </m:radPr>
                <m:deg>
                  <m:ctrlPr>
                    <w:rPr>
                      <w:rFonts w:hint="eastAsia" w:ascii="Cambria Math" w:hAnsi="Cambria Math" w:eastAsia="仿宋"/>
                      <w:color w:val="000000" w:themeColor="text1"/>
                      <w:sz w:val="18"/>
                      <w:szCs w:val="18"/>
                      <w14:textFill>
                        <w14:solidFill>
                          <w14:schemeClr w14:val="tx1"/>
                        </w14:solidFill>
                      </w14:textFill>
                    </w:rPr>
                  </m:ctrlPr>
                </m:deg>
                <m:e>
                  <m:r>
                    <m:rPr>
                      <m:sty m:val="p"/>
                    </m:rPr>
                    <w:rPr>
                      <w:rFonts w:hint="eastAsia" w:ascii="Cambria Math" w:hAnsi="Cambria Math" w:eastAsia="仿宋"/>
                      <w:color w:val="000000" w:themeColor="text1"/>
                      <w:sz w:val="18"/>
                      <w:szCs w:val="18"/>
                      <w14:textFill>
                        <w14:solidFill>
                          <w14:schemeClr w14:val="tx1"/>
                        </w14:solidFill>
                      </w14:textFill>
                    </w:rPr>
                    <m:t>3</m:t>
                  </m:r>
                  <m:ctrlPr>
                    <w:rPr>
                      <w:rFonts w:hint="eastAsia" w:ascii="Cambria Math" w:hAnsi="Cambria Math" w:eastAsia="仿宋"/>
                      <w:color w:val="000000" w:themeColor="text1"/>
                      <w:sz w:val="18"/>
                      <w:szCs w:val="18"/>
                      <w14:textFill>
                        <w14:solidFill>
                          <w14:schemeClr w14:val="tx1"/>
                        </w14:solidFill>
                      </w14:textFill>
                    </w:rPr>
                  </m:ctrlPr>
                </m:e>
              </m:rad>
              <m:r>
                <m:rPr>
                  <m:sty m:val="p"/>
                </m:rPr>
                <w:rPr>
                  <w:rFonts w:hint="eastAsia" w:ascii="Cambria Math" w:hAnsi="Cambria Math" w:eastAsia="仿宋"/>
                  <w:color w:val="000000" w:themeColor="text1"/>
                  <w:sz w:val="18"/>
                  <w:szCs w:val="18"/>
                  <w14:textFill>
                    <w14:solidFill>
                      <w14:schemeClr w14:val="tx1"/>
                    </w14:solidFill>
                  </w14:textFill>
                </w:rPr>
                <m:t>×2.9)</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1.5</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=650.7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选取短路保护定值中的最小值作为变压器速断保护的动作电流</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=650.7 A，取650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移动变电站低压开关箱保护</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=1.05×550.32=578 A，取578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rel</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d>
            <m:dPr>
              <m:ctrlPr>
                <w:rPr>
                  <w:rFonts w:hint="eastAsia" w:ascii="Cambria Math" w:hAnsi="Cambria Math" w:eastAsia="仿宋"/>
                  <w:color w:val="000000" w:themeColor="text1"/>
                  <w:sz w:val="18"/>
                  <w:szCs w:val="18"/>
                  <w14:textFill>
                    <w14:solidFill>
                      <w14:schemeClr w14:val="tx1"/>
                    </w14:solidFill>
                  </w14:textFill>
                </w:rPr>
              </m:ctrlPr>
            </m:dPr>
            <m:e>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e>
          </m:d>
          <m:r>
            <m:rPr>
              <m:sty m:val="p"/>
            </m:rPr>
            <w:rPr>
              <w:rFonts w:hint="eastAsia" w:ascii="Cambria Math" w:hAnsi="Cambria Math" w:eastAsia="仿宋"/>
              <w:color w:val="000000" w:themeColor="text1"/>
              <w:sz w:val="18"/>
              <w:szCs w:val="18"/>
              <w14:textFill>
                <w14:solidFill>
                  <w14:schemeClr w14:val="tx1"/>
                </w14:solidFill>
              </w14:textFill>
            </w:rPr>
            <m:t>=1.2×</m:t>
          </m:r>
          <m:d>
            <m:dPr>
              <m:ctrlPr>
                <w:rPr>
                  <w:rFonts w:hint="eastAsia" w:ascii="Cambria Math" w:hAnsi="Cambria Math" w:eastAsia="仿宋"/>
                  <w:color w:val="000000" w:themeColor="text1"/>
                  <w:sz w:val="18"/>
                  <w:szCs w:val="18"/>
                  <w14:textFill>
                    <w14:solidFill>
                      <w14:schemeClr w14:val="tx1"/>
                    </w14:solidFill>
                  </w14:textFill>
                </w:rPr>
              </m:ctrlPr>
            </m:dPr>
            <m:e>
              <m:r>
                <m:rPr>
                  <m:sty m:val="p"/>
                </m:rPr>
                <w:rPr>
                  <w:rFonts w:hint="eastAsia" w:ascii="Cambria Math" w:hAnsi="Cambria Math" w:eastAsia="仿宋"/>
                  <w:color w:val="000000" w:themeColor="text1"/>
                  <w:sz w:val="18"/>
                  <w:szCs w:val="18"/>
                  <w14:textFill>
                    <w14:solidFill>
                      <w14:schemeClr w14:val="tx1"/>
                    </w14:solidFill>
                  </w14:textFill>
                </w:rPr>
                <m:t>1408+318.2</m:t>
              </m:r>
              <m:ctrlPr>
                <w:rPr>
                  <w:rFonts w:hint="eastAsia" w:ascii="Cambria Math" w:hAnsi="Cambria Math" w:eastAsia="仿宋"/>
                  <w:color w:val="000000" w:themeColor="text1"/>
                  <w:sz w:val="18"/>
                  <w:szCs w:val="18"/>
                  <w14:textFill>
                    <w14:solidFill>
                      <w14:schemeClr w14:val="tx1"/>
                    </w14:solidFill>
                  </w14:textFill>
                </w:rPr>
              </m:ctrlPr>
            </m:e>
          </m:d>
          <m:r>
            <m:rPr>
              <m:sty m:val="p"/>
            </m:rPr>
            <w:rPr>
              <w:rFonts w:hint="eastAsia" w:ascii="Cambria Math" w:hAnsi="Cambria Math" w:eastAsia="仿宋"/>
              <w:color w:val="000000" w:themeColor="text1"/>
              <w:sz w:val="18"/>
              <w:szCs w:val="18"/>
              <w14:textFill>
                <w14:solidFill>
                  <w14:schemeClr w14:val="tx1"/>
                </w14:solidFill>
              </w14:textFill>
            </w:rPr>
            <m:t>=2071 A，取2071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578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=0.72，取0.72</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2071</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=2.59，取2.59</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灵敏系数校验</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4860</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2.59×800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=2.3≥1.5，满足要求。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&lt;3&gt; 3#( KBSGZY-1250/10/1.2)</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移动变电站高压开关箱保护</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=72.17 A，取72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短路保护定值（按躲过变压器励磁涌流整定）</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=8×72.17=577.4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短路保护定值（按变压器二次侧两相短路时有不小于1.5的灵敏系数整定）</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2k.min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8237/8.3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1.5</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=661.6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选取短路保护定值中的最小值作为变压器速断保护的动作电流</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=577.4 A，取577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灵敏系数校验</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2k.min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8237/8.3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577</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=1.7≥1.5，满足要求。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移动变电站低压开关箱保护</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需用系数：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=0.53</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=0.58×783.25=454 A，取454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=1837.1+0.58×553.6=2158 A，取2158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454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630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=0.72，取0.72</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2158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630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=3.43，取3.43</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灵敏系数校验</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7608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3.43×630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=3.5≥1.5，满足要求。</m:t>
          </m:r>
        </m:oMath>
      </m:oMathPara>
    </w:p>
    <w:p>
      <w:pPr>
        <w:ind w:firstLine="422"/>
        <w:jc w:val="left"/>
        <w:rPr>
          <w:rFonts w:ascii="宋体" w:hAnsi="宋体" w:eastAsia="宋体"/>
        </w:rPr>
      </w:pPr>
      <w:r>
        <w:rPr>
          <w:rFonts w:hint="eastAsia" w:ascii="宋体" w:hAnsi="宋体" w:eastAsia="宋体"/>
          <w:b/>
        </w:rPr>
        <w:t>&lt;4&gt; 4#( KBSGZY-1600/10/1.2)</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移动变电站高压开关箱保护</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=92.38 A，取92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短路保护定值（按躲过变压器励磁涌流整定）</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=8×92.38=739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短路保护定值（按变压器二次侧两相短路时有不小于1.5的灵敏系数整定）</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2k.min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9069/8.3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1.5</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=728.4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选取短路保护定值中的最小值作为变压器速断保护的动作电流</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=728.4 A，取728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移动变电站低压开关箱保护</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需用系数：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=0.63</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=0.71×634.29=450 A，取450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=729.8+0.71×310.3=949 A，取949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450</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=0.56，取0.56</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949</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=1.19，取1.19</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灵敏系数校验</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8314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1.19×800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=8.8≥1.5，满足要求。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&lt;5&gt; 5#( KBSGZY-800/10/1.2)</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移动变电站高压开关箱保护</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=46.19 A，取46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短路保护定值（按躲过变压器励磁涌流整定）</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1N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=8×46.19=369.5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短路保护定值（按变压器二次侧两相短路时有不小于1.5的灵敏系数整定）</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2k.min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6449/8.3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1.5</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=518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选取短路保护定值中的最小值作为变压器速断保护的动作电流</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=369.5 A，取369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灵敏系数校验</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2k.min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6449/8.3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369</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=2.1≥1.5，满足要求。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移动变电站低压开关箱保护</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需用系数：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=0.71</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=0.82×324.15=266 A，取266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=614.4+0.82×100.7=696 A，取696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266</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=0.33，取0.33</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696</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=0.87，取0.87</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灵敏系数校验</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3616</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0.87×800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=5.2≥1.5，满足要求。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公式参数意义说明</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需用系数；</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最大一台电机的启动电流，A；</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电机的额定电流之和，A；</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过载保护整定倍数；</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短路保护整定倍数；</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低压开关箱额定电流，A；</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被保护电缆干线或支线距变压器最远点的最小两相短路电流，A。</w:t>
      </w:r>
    </w:p>
    <w:p>
      <w:pPr>
        <w:pStyle w:val="4"/>
        <w:ind w:firstLine="482"/>
        <w:jc w:val="both"/>
        <w:rPr>
          <w:rFonts w:ascii="宋体" w:hAnsi="宋体" w:eastAsia="宋体"/>
          <w:sz w:val="21"/>
        </w:rPr>
      </w:pPr>
      <w:bookmarkStart w:id="213" w:name="_Toc988995"/>
      <w:r>
        <w:rPr>
          <w:rFonts w:hint="eastAsia" w:ascii="宋体" w:hAnsi="宋体" w:eastAsia="宋体"/>
        </w:rPr>
        <w:t>4.2 馈电开关整定保护</w:t>
      </w:r>
      <w:bookmarkEnd w:id="213"/>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61"/>
        <w:gridCol w:w="1856"/>
        <w:gridCol w:w="1044"/>
        <w:gridCol w:w="1044"/>
        <w:gridCol w:w="1044"/>
        <w:gridCol w:w="1044"/>
        <w:gridCol w:w="1044"/>
        <w:gridCol w:w="10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编 号</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型 号</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过载保护值</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短路保护值</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过载整定倍数</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短路整定倍数</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两相短路电流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灵敏系数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风巷动力</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KBZ-400/1140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316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0.15</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0.79</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1618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无极绳</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KJZ-400/1140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164</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392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0.41</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0.98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5490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机巷动力</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KJZ-400/1140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0.22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3052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机巷动力2</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KJZ-400/1140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0.03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0.27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3081</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28.5</w:t>
            </w:r>
          </w:p>
        </w:tc>
      </w:tr>
    </w:tbl>
    <w:p>
      <w:pPr>
        <w:ind w:firstLine="422"/>
        <w:jc w:val="left"/>
        <w:rPr>
          <w:rFonts w:ascii="宋体" w:hAnsi="宋体" w:eastAsia="宋体"/>
        </w:rPr>
      </w:pPr>
      <w:r>
        <w:rPr>
          <w:rFonts w:hint="eastAsia" w:ascii="宋体" w:hAnsi="宋体" w:eastAsia="宋体"/>
          <w:b/>
        </w:rPr>
        <w:t>&lt;1&gt; 风巷动力( KBZ-400/1140)</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=0.4+0.45×</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max</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=0.4+0.45×</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55.00</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192.50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=0.53，取0.53</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0.53×119.7</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400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=0.15，取0.15</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273.1+0.53×85.6</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400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=0.79，取0.79</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=0.15×400=60 A，取60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=0.79×400=316 A，取316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一级保护灵敏系数校验（短路保护设备为d46）</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1618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316</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=5.1≥1.5，满足要求。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&lt;2&gt; 无极绳( KJZ-400/1140)</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=0.4+0.45×</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max</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=0.4+0.45×</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315.00</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318.00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=0.85，取0.85</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0.85×197.36</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400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=0.41，取0.41</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391+0.85×1.9</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400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=0.98，取0.98</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=0.41×400=164 A，取164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=0.98×400=392 A，取392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一级保护灵敏系数校验（短路保护设备为d44）</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5490</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392</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=14≥1.5，满足要求。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&lt;3&gt; 机巷动力( KJZ-400/1140)</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=0.4+0.45×</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max</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=0.4+0.45×</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55.00</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167.00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=0.55，取0.85</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0.85×103.65</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400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=0.22，取0.22</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273.1+0.85×69.5</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400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=0.83，取0.83</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=0.22×400=88 A，取88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=0.83×400=332 A，取332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一级保护灵敏系数校验（短路保护设备为d50）</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3052</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332</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=9.2≥1.5，满足要求。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&lt;4&gt; 机巷动力2( KJZ-400/1140)</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=0.4+0.45×</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max</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P</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=0.4+0.45×</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22.00</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22.00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=0.85，取0.85</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0.85×13.65</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400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=0.02，取0.03</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109.2</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400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=0.27，取0.27</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=0.03×400=12 A，取12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=0.27×400=108 A，取108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一级保护灵敏系数校验（短路保护设备为d9）</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3081</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108</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=28.5≥1.5，满足要求。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公式参数意义说明</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开关的额定电流，A；</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需用系数；</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最大一台电机的启动电流，A；</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电机的额定电流之和，A；</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过载保护整定倍数；</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短路保护整定倍数；</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被保护电缆干线或支线距馈电开关最远点的最小两相短路电流，A。</w:t>
      </w:r>
    </w:p>
    <w:p>
      <w:pPr>
        <w:pStyle w:val="4"/>
        <w:ind w:firstLine="482"/>
        <w:rPr>
          <w:rFonts w:ascii="宋体" w:hAnsi="宋体" w:eastAsia="宋体"/>
          <w:sz w:val="21"/>
        </w:rPr>
      </w:pPr>
      <w:bookmarkStart w:id="214" w:name="_Toc988996"/>
      <w:r>
        <w:rPr>
          <w:rFonts w:hint="eastAsia" w:ascii="宋体" w:hAnsi="宋体" w:eastAsia="宋体"/>
        </w:rPr>
        <w:t>4.3 启动器整定保护</w:t>
      </w:r>
      <w:bookmarkEnd w:id="214"/>
    </w:p>
    <w:p>
      <w:pPr>
        <w:ind w:firstLine="420"/>
        <w:jc w:val="left"/>
        <w:rPr>
          <w:rFonts w:ascii="宋体" w:hAnsi="宋体" w:eastAsia="宋体"/>
        </w:rPr>
      </w:pPr>
      <w:r>
        <w:rPr>
          <w:rFonts w:hint="eastAsia" w:ascii="宋体" w:hAnsi="宋体" w:eastAsia="宋体"/>
        </w:rPr>
        <w:t xml:space="preserve">    保护方式：电子式</w:t>
      </w:r>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61"/>
        <w:gridCol w:w="1856"/>
        <w:gridCol w:w="1044"/>
        <w:gridCol w:w="1044"/>
        <w:gridCol w:w="1044"/>
        <w:gridCol w:w="1044"/>
        <w:gridCol w:w="1044"/>
        <w:gridCol w:w="10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编 号</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型 号</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过载保护值</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短路保护值</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过载整定倍数</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短路整定倍数</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两相短路电流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灵敏系数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钻机</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QJZ-120/1140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223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0.23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1618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水泵</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QJZ-80/1140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0.17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1.36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3052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钻机</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QJZ-120/1140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223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0.23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3052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挖机</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QJZ-120/1140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272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0.28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2.27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3052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钻机</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QJZ-120/1140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223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0.23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3052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张紧</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QJZ-80/1140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29</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0.06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0.37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1894</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65.3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皮带</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QJZ-120/1140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24</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196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1.64</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1894</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钻机</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QJZ-120/1140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223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0.23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1618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挖机</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QJZ-120/1140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272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0.28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2.27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1618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水泵</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QJZ-80/1140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13</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108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0.17</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1.36</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3081</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风扇</w:t>
            </w:r>
          </w:p>
        </w:tc>
        <w:tc>
          <w:tcPr>
            <w:tcW w:w="16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QBZ-80/1140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14</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0.02</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0.18</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5490</w:t>
            </w:r>
          </w:p>
        </w:tc>
        <w:tc>
          <w:tcPr>
            <w:tcW w:w="9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392.1</w:t>
            </w:r>
          </w:p>
        </w:tc>
      </w:tr>
    </w:tbl>
    <w:p>
      <w:pPr>
        <w:ind w:firstLine="422"/>
        <w:jc w:val="left"/>
        <w:rPr>
          <w:rFonts w:ascii="宋体" w:hAnsi="宋体" w:eastAsia="宋体"/>
        </w:rPr>
      </w:pPr>
      <w:r>
        <w:rPr>
          <w:rFonts w:hint="eastAsia" w:ascii="宋体" w:hAnsi="宋体" w:eastAsia="宋体"/>
          <w:b/>
        </w:rPr>
        <w:t>&lt;1&gt; 钻机( QJZ-120/1140)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1×27.93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=0.23，取0.23</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223.4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=1.86，取1.86</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=0.23×120=27.6 A，取27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=1.86×120=223.2 A，取223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1618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223</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=7.3≥1.2，满足要求。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&lt;2&gt; 水泵( QJZ-80/1140)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1×13.65</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=0.17，取0.17</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109.2</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=1.36，取1.36</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=0.17×80=13.6 A，取13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=1.36×80=108.8 A，取108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3052</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108</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=28.3≥1.2，满足要求。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&lt;3&gt; 钻机( QJZ-120/1140)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1×27.93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=0.23，取0.23</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223.4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=1.86，取1.86</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=0.23×120=27.6 A，取27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=1.86×120=223.2 A，取223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3052</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223</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=13.7≥1.2，满足要求。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&lt;4&gt; 挖机( QJZ-120/1140)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1×34.14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=0.28，取0.28</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273.1</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=2.27，取2.27</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=0.28×120=33.6 A，取33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=2.27×120=272.4 A，取272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3052</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272</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=11.2≥1.2，满足要求。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&lt;5&gt; 钻机( QJZ-120/1140)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1×27.93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=0.23，取0.23</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223.4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=1.86，取1.86</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=0.23×120=27.6 A，取27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=1.86×120=223.2 A，取223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3052</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223</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=13.7≥1.2，满足要求。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&lt;6&gt; 张紧( QJZ-80/1140)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1×5</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=0.06，取0.06</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30</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=0.37，取0.37</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=0.06×80=4.8 A，取4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=0.37×80=29.6 A，取29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1894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29</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=65.3≥1.2，满足要求。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&lt;7&gt; 皮带( QJZ-120/1140)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1×24.7</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=0.2，取0.2</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197.6</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=1.64，取1.64</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=0.2×120=24 A，取24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=1.64×120=196.8 A，取196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1894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196</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=9.7≥1.2，满足要求。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&lt;8&gt; 钻机( QJZ-120/1140)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1×27.93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=0.23，取0.23</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223.4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=1.86，取1.86</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=0.23×120=27.6 A，取27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=1.86×120=223.2 A，取223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1618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223</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=7.3≥1.2，满足要求。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&lt;9&gt; 挖机( QJZ-120/1140)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1×34.14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=0.28，取0.28</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273.1</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=2.27，取2.27</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=0.28×120=33.6 A，取33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=2.27×120=272.4 A，取272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1618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272</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=5.9≥1.2，满足要求。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&lt;10&gt; 水泵( QJZ-80/1140)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1×13.65</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=0.17，取0.17</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109.2</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=1.36，取1.36</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=0.17×80=13.6 A，取13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=1.36×80=108.8 A，取108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3081</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108</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=28.5≥1.2，满足要求。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&lt;11&gt; 风扇( QBZ-80/1140)</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1×1.86</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=0.02，取0.02</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短路整定倍数：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14.9</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=0.18，取0.18</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=0.02×80=1.6 A，取1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=0.18×80=14.4 A，取14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5490</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14</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=392.1≥1.2，满足要求。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公式参数意义说明</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ke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开关额定电流，A；</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x</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需用系数；</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ΣI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电机的额定电流之和，A；</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最大的一台或几台电机的启动电流，A；</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过载保护整定倍数；</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n</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短路保护整定倍数；</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被保护电机处的最小两相短路电流，A。</w:t>
      </w:r>
    </w:p>
    <w:p>
      <w:pPr>
        <w:pStyle w:val="4"/>
        <w:ind w:firstLine="482"/>
        <w:jc w:val="both"/>
        <w:rPr>
          <w:rFonts w:ascii="宋体" w:hAnsi="宋体" w:eastAsia="宋体"/>
          <w:sz w:val="21"/>
        </w:rPr>
      </w:pPr>
      <w:bookmarkStart w:id="215" w:name="_Toc988997"/>
      <w:r>
        <w:rPr>
          <w:rFonts w:hint="eastAsia" w:ascii="宋体" w:hAnsi="宋体" w:eastAsia="宋体"/>
        </w:rPr>
        <w:t>4.4 多组合开关整定保护</w:t>
      </w:r>
      <w:bookmarkEnd w:id="215"/>
    </w:p>
    <w:tbl>
      <w:tblPr>
        <w:tblStyle w:val="36"/>
        <w:tblW w:w="74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709"/>
        <w:gridCol w:w="1709"/>
        <w:gridCol w:w="1709"/>
        <w:gridCol w:w="10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名 称</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过载保护值</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短路保护值</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两相短路电流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灵敏系数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采煤机GS1</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319</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2560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3968</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运输机GS2</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1440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3628</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运输机GS3</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1440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3705</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转载机GS4</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140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1120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3023</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破碎机GS5</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80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640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3654</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运输机GS6</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1440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3583</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运输机GS7</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180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1440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3583</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乳化泵GS8</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200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1600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6361</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喷雾泵GS9</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47</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376</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5994</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乳化泵GS10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200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1600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6361</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喷雾泵GS11</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47</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376</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5994</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1242"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乳化泵GS12</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200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1600</w:t>
            </w:r>
          </w:p>
        </w:tc>
        <w:tc>
          <w:tcPr>
            <w:tcW w:w="1709"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6361</w:t>
            </w:r>
          </w:p>
        </w:tc>
        <w:tc>
          <w:tcPr>
            <w:tcW w:w="1087"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3.9</w:t>
            </w:r>
          </w:p>
        </w:tc>
      </w:tr>
    </w:tbl>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&lt;1&gt; 采煤机（1510kW）GS1开关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=1.05×304.2=319 A，取3</m:t>
          </m:r>
          <m:r>
            <m:rPr>
              <m:sty m:val="p"/>
            </m:rPr>
            <w:rPr>
              <w:rFonts w:ascii="Cambria Math" w:hAnsi="Cambria Math" w:eastAsia="仿宋"/>
              <w:color w:val="000000" w:themeColor="text1"/>
              <w:sz w:val="18"/>
              <w:szCs w:val="18"/>
              <w14:textFill>
                <w14:solidFill>
                  <w14:schemeClr w14:val="tx1"/>
                </w14:solidFill>
              </w14:textFill>
            </w:rPr>
            <m:t>20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m:t>
          </m:r>
          <m:r>
            <m:rPr>
              <m:sty m:val="p"/>
            </m:rPr>
            <w:rPr>
              <w:rFonts w:ascii="Cambria Math" w:hAnsi="Cambria Math" w:eastAsia="仿宋"/>
              <w:color w:val="000000" w:themeColor="text1"/>
              <w:sz w:val="18"/>
              <w:szCs w:val="18"/>
              <w14:textFill>
                <w14:solidFill>
                  <w14:schemeClr w14:val="tx1"/>
                </w14:solidFill>
              </w14:textFill>
            </w:rPr>
            <m:t>2</m:t>
          </m:r>
          <m:r>
            <m:rPr>
              <m:sty m:val="p"/>
            </m:rPr>
            <w:rPr>
              <w:rFonts w:hint="eastAsia" w:ascii="Cambria Math" w:hAnsi="Cambria Math" w:eastAsia="仿宋"/>
              <w:color w:val="000000" w:themeColor="text1"/>
              <w:sz w:val="18"/>
              <w:szCs w:val="18"/>
              <w14:textFill>
                <w14:solidFill>
                  <w14:schemeClr w14:val="tx1"/>
                </w14:solidFill>
              </w14:textFill>
            </w:rPr>
            <m:t>×2129.4 = 2555 A，取25</m:t>
          </m:r>
          <m:r>
            <m:rPr>
              <m:sty m:val="p"/>
            </m:rPr>
            <w:rPr>
              <w:rFonts w:ascii="Cambria Math" w:hAnsi="Cambria Math" w:eastAsia="仿宋"/>
              <w:color w:val="000000" w:themeColor="text1"/>
              <w:sz w:val="18"/>
              <w:szCs w:val="18"/>
              <w14:textFill>
                <w14:solidFill>
                  <w14:schemeClr w14:val="tx1"/>
                </w14:solidFill>
              </w14:textFill>
            </w:rPr>
            <m:t>60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ascii="Cambria Math" w:hAnsi="Cambria Math" w:eastAsia="仿宋"/>
                  <w:color w:val="000000" w:themeColor="text1"/>
                  <w:sz w:val="18"/>
                  <w:szCs w:val="18"/>
                  <w14:textFill>
                    <w14:solidFill>
                      <w14:schemeClr w14:val="tx1"/>
                    </w14:solidFill>
                  </w14:textFill>
                </w:rPr>
                <m:t>3968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25</m:t>
              </m:r>
              <m:r>
                <m:rPr>
                  <m:sty m:val="p"/>
                </m:rPr>
                <w:rPr>
                  <w:rFonts w:ascii="Cambria Math" w:hAnsi="Cambria Math" w:eastAsia="仿宋"/>
                  <w:color w:val="000000" w:themeColor="text1"/>
                  <w:sz w:val="18"/>
                  <w:szCs w:val="18"/>
                  <w14:textFill>
                    <w14:solidFill>
                      <w14:schemeClr w14:val="tx1"/>
                    </w14:solidFill>
                  </w14:textFill>
                </w:rPr>
                <m:t>60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m:t>
          </m:r>
          <m:r>
            <m:rPr>
              <m:sty m:val="p"/>
            </m:rPr>
            <w:rPr>
              <w:rFonts w:ascii="Cambria Math" w:hAnsi="Cambria Math" w:eastAsia="仿宋"/>
              <w:color w:val="000000" w:themeColor="text1"/>
              <w:sz w:val="18"/>
              <w:szCs w:val="18"/>
              <w14:textFill>
                <w14:solidFill>
                  <w14:schemeClr w14:val="tx1"/>
                </w14:solidFill>
              </w14:textFill>
            </w:rPr>
            <m:t>55＞</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&lt;2&gt; 运输机（855kW）GS2开关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=1.05×183.32=192 A，取1</m:t>
          </m:r>
          <m:r>
            <m:rPr>
              <m:sty m:val="p"/>
            </m:rPr>
            <w:rPr>
              <w:rFonts w:ascii="Cambria Math" w:hAnsi="Cambria Math" w:eastAsia="仿宋"/>
              <w:color w:val="000000" w:themeColor="text1"/>
              <w:sz w:val="18"/>
              <w:szCs w:val="18"/>
              <w14:textFill>
                <w14:solidFill>
                  <w14:schemeClr w14:val="tx1"/>
                </w14:solidFill>
              </w14:textFill>
            </w:rPr>
            <m:t>80</m:t>
          </m:r>
          <m:r>
            <m:rPr>
              <m:sty m:val="p"/>
            </m:rPr>
            <w:rPr>
              <w:rFonts w:hint="eastAsia" w:ascii="Cambria Math" w:hAnsi="Cambria Math" w:eastAsia="仿宋"/>
              <w:color w:val="000000" w:themeColor="text1"/>
              <w:sz w:val="18"/>
              <w:szCs w:val="18"/>
              <w14:textFill>
                <w14:solidFill>
                  <w14:schemeClr w14:val="tx1"/>
                </w14:solidFill>
              </w14:textFill>
            </w:rPr>
            <m:t>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r>
            <m:rPr>
              <m:sty m:val="p"/>
            </m:rPr>
            <w:rPr>
              <w:rFonts w:ascii="Cambria Math" w:hAnsi="Cambria Math" w:eastAsia="仿宋"/>
              <w:color w:val="000000" w:themeColor="text1"/>
              <w:sz w:val="18"/>
              <w:szCs w:val="18"/>
              <w14:textFill>
                <w14:solidFill>
                  <w14:schemeClr w14:val="tx1"/>
                </w14:solidFill>
              </w14:textFill>
            </w:rPr>
            <m:t>1104</m:t>
          </m:r>
          <m:r>
            <m:rPr>
              <m:sty m:val="p"/>
            </m:rPr>
            <w:rPr>
              <w:rFonts w:hint="eastAsia" w:ascii="Cambria Math" w:hAnsi="Cambria Math" w:eastAsia="仿宋"/>
              <w:color w:val="000000" w:themeColor="text1"/>
              <w:sz w:val="18"/>
              <w:szCs w:val="18"/>
              <w14:textFill>
                <w14:solidFill>
                  <w14:schemeClr w14:val="tx1"/>
                </w14:solidFill>
              </w14:textFill>
            </w:rPr>
            <m:t xml:space="preserve">= </m:t>
          </m:r>
          <m:r>
            <m:rPr>
              <m:sty m:val="p"/>
            </m:rPr>
            <w:rPr>
              <w:rFonts w:ascii="Cambria Math" w:hAnsi="Cambria Math" w:eastAsia="仿宋"/>
              <w:color w:val="000000" w:themeColor="text1"/>
              <w:sz w:val="18"/>
              <w:szCs w:val="18"/>
              <w14:textFill>
                <w14:solidFill>
                  <w14:schemeClr w14:val="tx1"/>
                </w14:solidFill>
              </w14:textFill>
            </w:rPr>
            <m:t>1324</m:t>
          </m:r>
          <m:r>
            <m:rPr>
              <m:sty m:val="p"/>
            </m:rPr>
            <w:rPr>
              <w:rFonts w:hint="eastAsia" w:ascii="Cambria Math" w:hAnsi="Cambria Math" w:eastAsia="仿宋"/>
              <w:color w:val="000000" w:themeColor="text1"/>
              <w:sz w:val="18"/>
              <w:szCs w:val="18"/>
              <w14:textFill>
                <w14:solidFill>
                  <w14:schemeClr w14:val="tx1"/>
                </w14:solidFill>
              </w14:textFill>
            </w:rPr>
            <m:t>A，取</m:t>
          </m:r>
          <m:r>
            <m:rPr>
              <m:sty m:val="p"/>
            </m:rPr>
            <w:rPr>
              <w:rFonts w:ascii="Cambria Math" w:hAnsi="Cambria Math" w:eastAsia="仿宋"/>
              <w:color w:val="000000" w:themeColor="text1"/>
              <w:sz w:val="18"/>
              <w:szCs w:val="18"/>
              <w14:textFill>
                <w14:solidFill>
                  <w14:schemeClr w14:val="tx1"/>
                </w14:solidFill>
              </w14:textFill>
            </w:rPr>
            <m:t>1440</m:t>
          </m:r>
          <m:r>
            <m:rPr>
              <m:sty m:val="p"/>
            </m:rPr>
            <w:rPr>
              <w:rFonts w:hint="eastAsia" w:ascii="Cambria Math" w:hAnsi="Cambria Math" w:eastAsia="仿宋"/>
              <w:color w:val="000000" w:themeColor="text1"/>
              <w:sz w:val="18"/>
              <w:szCs w:val="18"/>
              <w14:textFill>
                <w14:solidFill>
                  <w14:schemeClr w14:val="tx1"/>
                </w14:solidFill>
              </w14:textFill>
            </w:rPr>
            <m:t>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3628</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ascii="Cambria Math" w:hAnsi="Cambria Math" w:eastAsia="仿宋"/>
                  <w:color w:val="000000" w:themeColor="text1"/>
                  <w:sz w:val="18"/>
                  <w:szCs w:val="18"/>
                  <w14:textFill>
                    <w14:solidFill>
                      <w14:schemeClr w14:val="tx1"/>
                    </w14:solidFill>
                  </w14:textFill>
                </w:rPr>
                <m:t>1440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r>
            <m:rPr>
              <m:sty m:val="p"/>
            </m:rPr>
            <w:rPr>
              <w:rFonts w:ascii="Cambria Math" w:hAnsi="Cambria Math" w:eastAsia="仿宋"/>
              <w:color w:val="000000" w:themeColor="text1"/>
              <w:sz w:val="18"/>
              <w:szCs w:val="18"/>
              <w14:textFill>
                <w14:solidFill>
                  <w14:schemeClr w14:val="tx1"/>
                </w14:solidFill>
              </w14:textFill>
            </w:rPr>
            <m:t>2.5</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&lt;3&gt;运输机（855kW） GS3 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=1.05×183.32=192 A，取1</m:t>
          </m:r>
          <m:r>
            <m:rPr>
              <m:sty m:val="p"/>
            </m:rPr>
            <w:rPr>
              <w:rFonts w:ascii="Cambria Math" w:hAnsi="Cambria Math" w:eastAsia="仿宋"/>
              <w:color w:val="000000" w:themeColor="text1"/>
              <w:sz w:val="18"/>
              <w:szCs w:val="18"/>
              <w14:textFill>
                <w14:solidFill>
                  <w14:schemeClr w14:val="tx1"/>
                </w14:solidFill>
              </w14:textFill>
            </w:rPr>
            <m:t>80</m:t>
          </m:r>
          <m:r>
            <m:rPr>
              <m:sty m:val="p"/>
            </m:rPr>
            <w:rPr>
              <w:rFonts w:hint="eastAsia" w:ascii="Cambria Math" w:hAnsi="Cambria Math" w:eastAsia="仿宋"/>
              <w:color w:val="000000" w:themeColor="text1"/>
              <w:sz w:val="18"/>
              <w:szCs w:val="18"/>
              <w14:textFill>
                <w14:solidFill>
                  <w14:schemeClr w14:val="tx1"/>
                </w14:solidFill>
              </w14:textFill>
            </w:rPr>
            <m:t>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r>
            <m:rPr>
              <m:sty m:val="p"/>
            </m:rPr>
            <w:rPr>
              <w:rFonts w:ascii="Cambria Math" w:hAnsi="Cambria Math" w:eastAsia="仿宋"/>
              <w:color w:val="000000" w:themeColor="text1"/>
              <w:sz w:val="18"/>
              <w:szCs w:val="18"/>
              <w14:textFill>
                <w14:solidFill>
                  <w14:schemeClr w14:val="tx1"/>
                </w14:solidFill>
              </w14:textFill>
            </w:rPr>
            <m:t>1104</m:t>
          </m:r>
          <m:r>
            <m:rPr>
              <m:sty m:val="p"/>
            </m:rPr>
            <w:rPr>
              <w:rFonts w:hint="eastAsia" w:ascii="Cambria Math" w:hAnsi="Cambria Math" w:eastAsia="仿宋"/>
              <w:color w:val="000000" w:themeColor="text1"/>
              <w:sz w:val="18"/>
              <w:szCs w:val="18"/>
              <w14:textFill>
                <w14:solidFill>
                  <w14:schemeClr w14:val="tx1"/>
                </w14:solidFill>
              </w14:textFill>
            </w:rPr>
            <m:t>=  1</m:t>
          </m:r>
          <m:r>
            <m:rPr>
              <m:sty m:val="p"/>
            </m:rPr>
            <w:rPr>
              <w:rFonts w:ascii="Cambria Math" w:hAnsi="Cambria Math" w:eastAsia="仿宋"/>
              <w:color w:val="000000" w:themeColor="text1"/>
              <w:sz w:val="18"/>
              <w:szCs w:val="18"/>
              <w14:textFill>
                <w14:solidFill>
                  <w14:schemeClr w14:val="tx1"/>
                </w14:solidFill>
              </w14:textFill>
            </w:rPr>
            <m:t>324</m:t>
          </m:r>
          <m:r>
            <m:rPr>
              <m:sty m:val="p"/>
            </m:rPr>
            <w:rPr>
              <w:rFonts w:hint="eastAsia" w:ascii="Cambria Math" w:hAnsi="Cambria Math" w:eastAsia="仿宋"/>
              <w:color w:val="000000" w:themeColor="text1"/>
              <w:sz w:val="18"/>
              <w:szCs w:val="18"/>
              <w14:textFill>
                <w14:solidFill>
                  <w14:schemeClr w14:val="tx1"/>
                </w14:solidFill>
              </w14:textFill>
            </w:rPr>
            <m:t>A，取</m:t>
          </m:r>
          <m:r>
            <m:rPr>
              <m:sty m:val="p"/>
            </m:rPr>
            <w:rPr>
              <w:rFonts w:ascii="Cambria Math" w:hAnsi="Cambria Math" w:eastAsia="仿宋"/>
              <w:color w:val="000000" w:themeColor="text1"/>
              <w:sz w:val="18"/>
              <w:szCs w:val="18"/>
              <w14:textFill>
                <w14:solidFill>
                  <w14:schemeClr w14:val="tx1"/>
                </w14:solidFill>
              </w14:textFill>
            </w:rPr>
            <m:t>1440</m:t>
          </m:r>
          <m:r>
            <m:rPr>
              <m:sty m:val="p"/>
            </m:rPr>
            <w:rPr>
              <w:rFonts w:hint="eastAsia" w:ascii="Cambria Math" w:hAnsi="Cambria Math" w:eastAsia="仿宋"/>
              <w:color w:val="000000" w:themeColor="text1"/>
              <w:sz w:val="18"/>
              <w:szCs w:val="18"/>
              <w14:textFill>
                <w14:solidFill>
                  <w14:schemeClr w14:val="tx1"/>
                </w14:solidFill>
              </w14:textFill>
            </w:rPr>
            <m:t>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3705</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ascii="Cambria Math" w:hAnsi="Cambria Math" w:eastAsia="仿宋"/>
                  <w:color w:val="000000" w:themeColor="text1"/>
                  <w:sz w:val="18"/>
                  <w:szCs w:val="18"/>
                  <w14:textFill>
                    <w14:solidFill>
                      <w14:schemeClr w14:val="tx1"/>
                    </w14:solidFill>
                  </w14:textFill>
                </w:rPr>
                <m:t>1440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r>
            <m:rPr>
              <m:sty m:val="p"/>
            </m:rPr>
            <w:rPr>
              <w:rFonts w:ascii="Cambria Math" w:hAnsi="Cambria Math" w:eastAsia="仿宋"/>
              <w:color w:val="000000" w:themeColor="text1"/>
              <w:sz w:val="18"/>
              <w:szCs w:val="18"/>
              <w14:textFill>
                <w14:solidFill>
                  <w14:schemeClr w14:val="tx1"/>
                </w14:solidFill>
              </w14:textFill>
            </w:rPr>
            <m:t>2.57</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&lt;4&gt; 转载机（700kW）GS4开关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=1.05×1</m:t>
          </m:r>
          <m:r>
            <m:rPr>
              <m:sty m:val="p"/>
            </m:rPr>
            <w:rPr>
              <w:rFonts w:ascii="Cambria Math" w:hAnsi="Cambria Math" w:eastAsia="仿宋"/>
              <w:color w:val="000000" w:themeColor="text1"/>
              <w:sz w:val="18"/>
              <w:szCs w:val="18"/>
              <w14:textFill>
                <w14:solidFill>
                  <w14:schemeClr w14:val="tx1"/>
                </w14:solidFill>
              </w14:textFill>
            </w:rPr>
            <m:t>36</m:t>
          </m:r>
          <m:r>
            <m:rPr>
              <m:sty m:val="p"/>
            </m:rPr>
            <w:rPr>
              <w:rFonts w:hint="eastAsia" w:ascii="Cambria Math" w:hAnsi="Cambria Math" w:eastAsia="仿宋"/>
              <w:color w:val="000000" w:themeColor="text1"/>
              <w:sz w:val="18"/>
              <w:szCs w:val="18"/>
              <w14:textFill>
                <w14:solidFill>
                  <w14:schemeClr w14:val="tx1"/>
                </w14:solidFill>
              </w14:textFill>
            </w:rPr>
            <m:t>=1</m:t>
          </m:r>
          <m:r>
            <m:rPr>
              <m:sty m:val="p"/>
            </m:rPr>
            <w:rPr>
              <w:rFonts w:ascii="Cambria Math" w:hAnsi="Cambria Math" w:eastAsia="仿宋"/>
              <w:color w:val="000000" w:themeColor="text1"/>
              <w:sz w:val="18"/>
              <w:szCs w:val="18"/>
              <w14:textFill>
                <w14:solidFill>
                  <w14:schemeClr w14:val="tx1"/>
                </w14:solidFill>
              </w14:textFill>
            </w:rPr>
            <m:t>43</m:t>
          </m:r>
          <m:r>
            <m:rPr>
              <m:sty m:val="p"/>
            </m:rPr>
            <w:rPr>
              <w:rFonts w:hint="eastAsia" w:ascii="Cambria Math" w:hAnsi="Cambria Math" w:eastAsia="仿宋"/>
              <w:color w:val="000000" w:themeColor="text1"/>
              <w:sz w:val="18"/>
              <w:szCs w:val="18"/>
              <w14:textFill>
                <w14:solidFill>
                  <w14:schemeClr w14:val="tx1"/>
                </w14:solidFill>
              </w14:textFill>
            </w:rPr>
            <m:t xml:space="preserve"> A，取1</m:t>
          </m:r>
          <m:r>
            <m:rPr>
              <m:sty m:val="p"/>
            </m:rPr>
            <w:rPr>
              <w:rFonts w:ascii="Cambria Math" w:hAnsi="Cambria Math" w:eastAsia="仿宋"/>
              <w:color w:val="000000" w:themeColor="text1"/>
              <w:sz w:val="18"/>
              <w:szCs w:val="18"/>
              <w14:textFill>
                <w14:solidFill>
                  <w14:schemeClr w14:val="tx1"/>
                </w14:solidFill>
              </w14:textFill>
            </w:rPr>
            <m:t>40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r>
            <m:rPr>
              <m:sty m:val="p"/>
            </m:rPr>
            <w:rPr>
              <w:rFonts w:ascii="Cambria Math" w:hAnsi="Cambria Math" w:eastAsia="仿宋"/>
              <w:color w:val="000000" w:themeColor="text1"/>
              <w:sz w:val="18"/>
              <w:szCs w:val="18"/>
              <w14:textFill>
                <w14:solidFill>
                  <w14:schemeClr w14:val="tx1"/>
                </w14:solidFill>
              </w14:textFill>
            </w:rPr>
            <m:t>544</m:t>
          </m:r>
          <m:r>
            <m:rPr>
              <m:sty m:val="p"/>
            </m:rPr>
            <w:rPr>
              <w:rFonts w:hint="eastAsia" w:ascii="Cambria Math" w:hAnsi="Cambria Math" w:eastAsia="仿宋"/>
              <w:color w:val="000000" w:themeColor="text1"/>
              <w:sz w:val="18"/>
              <w:szCs w:val="18"/>
              <w14:textFill>
                <w14:solidFill>
                  <w14:schemeClr w14:val="tx1"/>
                </w14:solidFill>
              </w14:textFill>
            </w:rPr>
            <m:t xml:space="preserve">= </m:t>
          </m:r>
          <m:r>
            <m:rPr>
              <m:sty m:val="p"/>
            </m:rPr>
            <w:rPr>
              <w:rFonts w:ascii="Cambria Math" w:hAnsi="Cambria Math" w:eastAsia="仿宋"/>
              <w:color w:val="000000" w:themeColor="text1"/>
              <w:sz w:val="18"/>
              <w:szCs w:val="18"/>
              <w14:textFill>
                <w14:solidFill>
                  <w14:schemeClr w14:val="tx1"/>
                </w14:solidFill>
              </w14:textFill>
            </w:rPr>
            <m:t>653</m:t>
          </m:r>
          <m:r>
            <m:rPr>
              <m:sty m:val="p"/>
            </m:rPr>
            <w:rPr>
              <w:rFonts w:hint="eastAsia" w:ascii="Cambria Math" w:hAnsi="Cambria Math" w:eastAsia="仿宋"/>
              <w:color w:val="000000" w:themeColor="text1"/>
              <w:sz w:val="18"/>
              <w:szCs w:val="18"/>
              <w14:textFill>
                <w14:solidFill>
                  <w14:schemeClr w14:val="tx1"/>
                </w14:solidFill>
              </w14:textFill>
            </w:rPr>
            <m:t>A，取</m:t>
          </m:r>
          <m:r>
            <m:rPr>
              <m:sty m:val="p"/>
            </m:rPr>
            <w:rPr>
              <w:rFonts w:ascii="Cambria Math" w:hAnsi="Cambria Math" w:eastAsia="仿宋"/>
              <w:color w:val="000000" w:themeColor="text1"/>
              <w:sz w:val="18"/>
              <w:szCs w:val="18"/>
              <w14:textFill>
                <w14:solidFill>
                  <w14:schemeClr w14:val="tx1"/>
                </w14:solidFill>
              </w14:textFill>
            </w:rPr>
            <m:t>1120</m:t>
          </m:r>
          <m:r>
            <m:rPr>
              <m:sty m:val="p"/>
            </m:rPr>
            <w:rPr>
              <w:rFonts w:hint="eastAsia" w:ascii="Cambria Math" w:hAnsi="Cambria Math" w:eastAsia="仿宋"/>
              <w:color w:val="000000" w:themeColor="text1"/>
              <w:sz w:val="18"/>
              <w:szCs w:val="18"/>
              <w14:textFill>
                <w14:solidFill>
                  <w14:schemeClr w14:val="tx1"/>
                </w14:solidFill>
              </w14:textFill>
            </w:rPr>
            <m:t>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3023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ascii="Cambria Math" w:hAnsi="Cambria Math" w:eastAsia="仿宋"/>
                  <w:color w:val="000000" w:themeColor="text1"/>
                  <w:sz w:val="18"/>
                  <w:szCs w:val="18"/>
                  <w14:textFill>
                    <w14:solidFill>
                      <w14:schemeClr w14:val="tx1"/>
                    </w14:solidFill>
                  </w14:textFill>
                </w:rPr>
                <m:t>1120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r>
            <m:rPr>
              <m:sty m:val="p"/>
            </m:rPr>
            <w:rPr>
              <w:rFonts w:ascii="Cambria Math" w:hAnsi="Cambria Math" w:eastAsia="仿宋"/>
              <w:color w:val="000000" w:themeColor="text1"/>
              <w:sz w:val="18"/>
              <w:szCs w:val="18"/>
              <w14:textFill>
                <w14:solidFill>
                  <w14:schemeClr w14:val="tx1"/>
                </w14:solidFill>
              </w14:textFill>
            </w:rPr>
            <m:t>2.7</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&lt;5&gt;破碎机（400kW） GS5开关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m:t>
          </m:r>
          <m:r>
            <m:rPr>
              <m:sty m:val="p"/>
            </m:rPr>
            <w:rPr>
              <w:rFonts w:ascii="Cambria Math" w:hAnsi="Cambria Math" w:eastAsia="仿宋"/>
              <w:color w:val="000000" w:themeColor="text1"/>
              <w:sz w:val="18"/>
              <w:szCs w:val="18"/>
              <w14:textFill>
                <w14:solidFill>
                  <w14:schemeClr w14:val="tx1"/>
                </w14:solidFill>
              </w14:textFill>
            </w:rPr>
            <m:t>77.7</m:t>
          </m:r>
          <m:r>
            <m:rPr>
              <m:sty m:val="p"/>
            </m:rPr>
            <w:rPr>
              <w:rFonts w:hint="eastAsia" w:ascii="Cambria Math" w:hAnsi="Cambria Math" w:eastAsia="仿宋"/>
              <w:color w:val="000000" w:themeColor="text1"/>
              <w:sz w:val="18"/>
              <w:szCs w:val="18"/>
              <w14:textFill>
                <w14:solidFill>
                  <w14:schemeClr w14:val="tx1"/>
                </w14:solidFill>
              </w14:textFill>
            </w:rPr>
            <m:t>=</m:t>
          </m:r>
          <m:r>
            <m:rPr>
              <m:sty m:val="p"/>
            </m:rPr>
            <w:rPr>
              <w:rFonts w:ascii="Cambria Math" w:hAnsi="Cambria Math" w:eastAsia="仿宋"/>
              <w:color w:val="000000" w:themeColor="text1"/>
              <w:sz w:val="18"/>
              <w:szCs w:val="18"/>
              <w14:textFill>
                <w14:solidFill>
                  <w14:schemeClr w14:val="tx1"/>
                </w14:solidFill>
              </w14:textFill>
            </w:rPr>
            <m:t>81.6</m:t>
          </m:r>
          <m:r>
            <m:rPr>
              <m:sty m:val="p"/>
            </m:rPr>
            <w:rPr>
              <w:rFonts w:hint="eastAsia" w:ascii="Cambria Math" w:hAnsi="Cambria Math" w:eastAsia="仿宋"/>
              <w:color w:val="000000" w:themeColor="text1"/>
              <w:sz w:val="18"/>
              <w:szCs w:val="18"/>
              <w14:textFill>
                <w14:solidFill>
                  <w14:schemeClr w14:val="tx1"/>
                </w14:solidFill>
              </w14:textFill>
            </w:rPr>
            <m:t xml:space="preserve"> A，取</m:t>
          </m:r>
          <m:r>
            <m:rPr>
              <m:sty m:val="p"/>
            </m:rPr>
            <w:rPr>
              <w:rFonts w:ascii="Cambria Math" w:hAnsi="Cambria Math" w:eastAsia="仿宋"/>
              <w:color w:val="000000" w:themeColor="text1"/>
              <w:sz w:val="18"/>
              <w:szCs w:val="18"/>
              <w14:textFill>
                <w14:solidFill>
                  <w14:schemeClr w14:val="tx1"/>
                </w14:solidFill>
              </w14:textFill>
            </w:rPr>
            <m:t>8</m:t>
          </m:r>
          <m:r>
            <m:rPr>
              <m:sty m:val="p"/>
            </m:rPr>
            <w:rPr>
              <w:rFonts w:hint="eastAsia" w:ascii="Cambria Math" w:hAnsi="Cambria Math" w:eastAsia="仿宋"/>
              <w:color w:val="000000" w:themeColor="text1"/>
              <w:sz w:val="18"/>
              <w:szCs w:val="18"/>
              <w14:textFill>
                <w14:solidFill>
                  <w14:schemeClr w14:val="tx1"/>
                </w14:solidFill>
              </w14:textFill>
            </w:rPr>
            <m:t>0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r>
            <m:rPr>
              <m:sty m:val="p"/>
            </m:rPr>
            <w:rPr>
              <w:rFonts w:ascii="Cambria Math" w:hAnsi="Cambria Math" w:eastAsia="仿宋"/>
              <w:color w:val="000000" w:themeColor="text1"/>
              <w:sz w:val="18"/>
              <w:szCs w:val="18"/>
              <w14:textFill>
                <w14:solidFill>
                  <w14:schemeClr w14:val="tx1"/>
                </w14:solidFill>
              </w14:textFill>
            </w:rPr>
            <m:t>466</m:t>
          </m:r>
          <m:r>
            <m:rPr>
              <m:sty m:val="p"/>
            </m:rPr>
            <w:rPr>
              <w:rFonts w:hint="eastAsia" w:ascii="Cambria Math" w:hAnsi="Cambria Math" w:eastAsia="仿宋"/>
              <w:color w:val="000000" w:themeColor="text1"/>
              <w:sz w:val="18"/>
              <w:szCs w:val="18"/>
              <w14:textFill>
                <w14:solidFill>
                  <w14:schemeClr w14:val="tx1"/>
                </w14:solidFill>
              </w14:textFill>
            </w:rPr>
            <m:t xml:space="preserve"> =</m:t>
          </m:r>
          <m:r>
            <m:rPr>
              <m:sty m:val="p"/>
            </m:rPr>
            <w:rPr>
              <w:rFonts w:ascii="Cambria Math" w:hAnsi="Cambria Math" w:eastAsia="仿宋"/>
              <w:color w:val="000000" w:themeColor="text1"/>
              <w:sz w:val="18"/>
              <w:szCs w:val="18"/>
              <w14:textFill>
                <w14:solidFill>
                  <w14:schemeClr w14:val="tx1"/>
                </w14:solidFill>
              </w14:textFill>
            </w:rPr>
            <m:t>559</m:t>
          </m:r>
          <m:r>
            <m:rPr>
              <m:sty m:val="p"/>
            </m:rPr>
            <w:rPr>
              <w:rFonts w:hint="eastAsia" w:ascii="Cambria Math" w:hAnsi="Cambria Math" w:eastAsia="仿宋"/>
              <w:color w:val="000000" w:themeColor="text1"/>
              <w:sz w:val="18"/>
              <w:szCs w:val="18"/>
              <w14:textFill>
                <w14:solidFill>
                  <w14:schemeClr w14:val="tx1"/>
                </w14:solidFill>
              </w14:textFill>
            </w:rPr>
            <m:t xml:space="preserve"> A，取</m:t>
          </m:r>
          <m:r>
            <m:rPr>
              <m:sty m:val="p"/>
            </m:rPr>
            <w:rPr>
              <w:rFonts w:ascii="Cambria Math" w:hAnsi="Cambria Math" w:eastAsia="仿宋"/>
              <w:color w:val="000000" w:themeColor="text1"/>
              <w:sz w:val="18"/>
              <w:szCs w:val="18"/>
              <w14:textFill>
                <w14:solidFill>
                  <w14:schemeClr w14:val="tx1"/>
                </w14:solidFill>
              </w14:textFill>
            </w:rPr>
            <m:t>640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3654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ascii="Cambria Math" w:hAnsi="Cambria Math" w:eastAsia="仿宋"/>
                  <w:color w:val="000000" w:themeColor="text1"/>
                  <w:sz w:val="18"/>
                  <w:szCs w:val="18"/>
                  <w14:textFill>
                    <w14:solidFill>
                      <w14:schemeClr w14:val="tx1"/>
                    </w14:solidFill>
                  </w14:textFill>
                </w:rPr>
                <m:t>640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=4.4≥1.5，满足要求。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&lt;6&gt;运输机（855kW） GS6开关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=1.05×176=184 A，取18</m:t>
          </m:r>
          <m:r>
            <m:rPr>
              <m:sty m:val="p"/>
            </m:rPr>
            <w:rPr>
              <w:rFonts w:ascii="Cambria Math" w:hAnsi="Cambria Math" w:eastAsia="仿宋"/>
              <w:color w:val="000000" w:themeColor="text1"/>
              <w:sz w:val="18"/>
              <w:szCs w:val="18"/>
              <w14:textFill>
                <w14:solidFill>
                  <w14:schemeClr w14:val="tx1"/>
                </w14:solidFill>
              </w14:textFill>
            </w:rPr>
            <m:t>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=1.2×1</m:t>
          </m:r>
          <m:r>
            <m:rPr>
              <m:sty m:val="p"/>
            </m:rPr>
            <w:rPr>
              <w:rFonts w:ascii="Cambria Math" w:hAnsi="Cambria Math" w:eastAsia="仿宋"/>
              <w:color w:val="000000" w:themeColor="text1"/>
              <w:sz w:val="18"/>
              <w:szCs w:val="18"/>
              <w14:textFill>
                <w14:solidFill>
                  <w14:schemeClr w14:val="tx1"/>
                </w14:solidFill>
              </w14:textFill>
            </w:rPr>
            <m:t>104</m:t>
          </m:r>
          <m:r>
            <m:rPr>
              <m:sty m:val="p"/>
            </m:rPr>
            <w:rPr>
              <w:rFonts w:hint="eastAsia" w:ascii="Cambria Math" w:hAnsi="Cambria Math" w:eastAsia="仿宋"/>
              <w:color w:val="000000" w:themeColor="text1"/>
              <w:sz w:val="18"/>
              <w:szCs w:val="18"/>
              <w14:textFill>
                <w14:solidFill>
                  <w14:schemeClr w14:val="tx1"/>
                </w14:solidFill>
              </w14:textFill>
            </w:rPr>
            <m:t xml:space="preserve"> = 1</m:t>
          </m:r>
          <m:r>
            <m:rPr>
              <m:sty m:val="p"/>
            </m:rPr>
            <w:rPr>
              <w:rFonts w:ascii="Cambria Math" w:hAnsi="Cambria Math" w:eastAsia="仿宋"/>
              <w:color w:val="000000" w:themeColor="text1"/>
              <w:sz w:val="18"/>
              <w:szCs w:val="18"/>
              <w14:textFill>
                <w14:solidFill>
                  <w14:schemeClr w14:val="tx1"/>
                </w14:solidFill>
              </w14:textFill>
            </w:rPr>
            <m:t>324</m:t>
          </m:r>
          <m:r>
            <m:rPr>
              <m:sty m:val="p"/>
            </m:rPr>
            <w:rPr>
              <w:rFonts w:hint="eastAsia" w:ascii="Cambria Math" w:hAnsi="Cambria Math" w:eastAsia="仿宋"/>
              <w:color w:val="000000" w:themeColor="text1"/>
              <w:sz w:val="18"/>
              <w:szCs w:val="18"/>
              <w14:textFill>
                <w14:solidFill>
                  <w14:schemeClr w14:val="tx1"/>
                </w14:solidFill>
              </w14:textFill>
            </w:rPr>
            <m:t>A，取1</m:t>
          </m:r>
          <m:r>
            <m:rPr>
              <m:sty m:val="p"/>
            </m:rPr>
            <w:rPr>
              <w:rFonts w:ascii="Cambria Math" w:hAnsi="Cambria Math" w:eastAsia="仿宋"/>
              <w:color w:val="000000" w:themeColor="text1"/>
              <w:sz w:val="18"/>
              <w:szCs w:val="18"/>
              <w14:textFill>
                <w14:solidFill>
                  <w14:schemeClr w14:val="tx1"/>
                </w14:solidFill>
              </w14:textFill>
            </w:rPr>
            <m:t>440</m:t>
          </m:r>
          <m:r>
            <m:rPr>
              <m:sty m:val="p"/>
            </m:rPr>
            <w:rPr>
              <w:rFonts w:hint="eastAsia" w:ascii="Cambria Math" w:hAnsi="Cambria Math" w:eastAsia="仿宋"/>
              <w:color w:val="000000" w:themeColor="text1"/>
              <w:sz w:val="18"/>
              <w:szCs w:val="18"/>
              <w14:textFill>
                <w14:solidFill>
                  <w14:schemeClr w14:val="tx1"/>
                </w14:solidFill>
              </w14:textFill>
            </w:rPr>
            <m:t>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3583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m:t>
              </m:r>
              <m:r>
                <m:rPr>
                  <m:sty m:val="p"/>
                </m:rPr>
                <w:rPr>
                  <w:rFonts w:ascii="Cambria Math" w:hAnsi="Cambria Math" w:eastAsia="仿宋"/>
                  <w:color w:val="000000" w:themeColor="text1"/>
                  <w:sz w:val="18"/>
                  <w:szCs w:val="18"/>
                  <w14:textFill>
                    <w14:solidFill>
                      <w14:schemeClr w14:val="tx1"/>
                    </w14:solidFill>
                  </w14:textFill>
                </w:rPr>
                <m:t>440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m:t>
          </m:r>
          <m:r>
            <m:rPr>
              <m:sty m:val="p"/>
            </m:rPr>
            <w:rPr>
              <w:rFonts w:ascii="Cambria Math" w:hAnsi="Cambria Math" w:eastAsia="仿宋"/>
              <w:color w:val="000000" w:themeColor="text1"/>
              <w:sz w:val="18"/>
              <w:szCs w:val="18"/>
              <w14:textFill>
                <w14:solidFill>
                  <w14:schemeClr w14:val="tx1"/>
                </w14:solidFill>
              </w14:textFill>
            </w:rPr>
            <m:t>5</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&lt;7&gt;运输机（855kW） GS7开关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=1.05×Σ</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=1.05×176=184 A，取18</m:t>
          </m:r>
          <m:r>
            <m:rPr>
              <m:sty m:val="p"/>
            </m:rPr>
            <w:rPr>
              <w:rFonts w:ascii="Cambria Math" w:hAnsi="Cambria Math" w:eastAsia="仿宋"/>
              <w:color w:val="000000" w:themeColor="text1"/>
              <w:sz w:val="18"/>
              <w:szCs w:val="18"/>
              <w14:textFill>
                <w14:solidFill>
                  <w14:schemeClr w14:val="tx1"/>
                </w14:solidFill>
              </w14:textFill>
            </w:rPr>
            <m:t>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=1.2×1</m:t>
          </m:r>
          <m:r>
            <m:rPr>
              <m:sty m:val="p"/>
            </m:rPr>
            <w:rPr>
              <w:rFonts w:ascii="Cambria Math" w:hAnsi="Cambria Math" w:eastAsia="仿宋"/>
              <w:color w:val="000000" w:themeColor="text1"/>
              <w:sz w:val="18"/>
              <w:szCs w:val="18"/>
              <w14:textFill>
                <w14:solidFill>
                  <w14:schemeClr w14:val="tx1"/>
                </w14:solidFill>
              </w14:textFill>
            </w:rPr>
            <m:t>104</m:t>
          </m:r>
          <m:r>
            <m:rPr>
              <m:sty m:val="p"/>
            </m:rPr>
            <w:rPr>
              <w:rFonts w:hint="eastAsia" w:ascii="Cambria Math" w:hAnsi="Cambria Math" w:eastAsia="仿宋"/>
              <w:color w:val="000000" w:themeColor="text1"/>
              <w:sz w:val="18"/>
              <w:szCs w:val="18"/>
              <w14:textFill>
                <w14:solidFill>
                  <w14:schemeClr w14:val="tx1"/>
                </w14:solidFill>
              </w14:textFill>
            </w:rPr>
            <m:t>= 1</m:t>
          </m:r>
          <m:r>
            <m:rPr>
              <m:sty m:val="p"/>
            </m:rPr>
            <w:rPr>
              <w:rFonts w:ascii="Cambria Math" w:hAnsi="Cambria Math" w:eastAsia="仿宋"/>
              <w:color w:val="000000" w:themeColor="text1"/>
              <w:sz w:val="18"/>
              <w:szCs w:val="18"/>
              <w14:textFill>
                <w14:solidFill>
                  <w14:schemeClr w14:val="tx1"/>
                </w14:solidFill>
              </w14:textFill>
            </w:rPr>
            <m:t>324</m:t>
          </m:r>
          <m:r>
            <m:rPr>
              <m:sty m:val="p"/>
            </m:rPr>
            <w:rPr>
              <w:rFonts w:hint="eastAsia" w:ascii="Cambria Math" w:hAnsi="Cambria Math" w:eastAsia="仿宋"/>
              <w:color w:val="000000" w:themeColor="text1"/>
              <w:sz w:val="18"/>
              <w:szCs w:val="18"/>
              <w14:textFill>
                <w14:solidFill>
                  <w14:schemeClr w14:val="tx1"/>
                </w14:solidFill>
              </w14:textFill>
            </w:rPr>
            <m:t>A，取1</m:t>
          </m:r>
          <m:r>
            <m:rPr>
              <m:sty m:val="p"/>
            </m:rPr>
            <w:rPr>
              <w:rFonts w:ascii="Cambria Math" w:hAnsi="Cambria Math" w:eastAsia="仿宋"/>
              <w:color w:val="000000" w:themeColor="text1"/>
              <w:sz w:val="18"/>
              <w:szCs w:val="18"/>
              <w14:textFill>
                <w14:solidFill>
                  <w14:schemeClr w14:val="tx1"/>
                </w14:solidFill>
              </w14:textFill>
            </w:rPr>
            <m:t>440</m:t>
          </m:r>
          <m:r>
            <m:rPr>
              <m:sty m:val="p"/>
            </m:rPr>
            <w:rPr>
              <w:rFonts w:hint="eastAsia" w:ascii="Cambria Math" w:hAnsi="Cambria Math" w:eastAsia="仿宋"/>
              <w:color w:val="000000" w:themeColor="text1"/>
              <w:sz w:val="18"/>
              <w:szCs w:val="18"/>
              <w14:textFill>
                <w14:solidFill>
                  <w14:schemeClr w14:val="tx1"/>
                </w14:solidFill>
              </w14:textFill>
            </w:rPr>
            <m:t>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3583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m:t>
              </m:r>
              <m:r>
                <m:rPr>
                  <m:sty m:val="p"/>
                </m:rPr>
                <w:rPr>
                  <w:rFonts w:ascii="Cambria Math" w:hAnsi="Cambria Math" w:eastAsia="仿宋"/>
                  <w:color w:val="000000" w:themeColor="text1"/>
                  <w:sz w:val="18"/>
                  <w:szCs w:val="18"/>
                  <w14:textFill>
                    <w14:solidFill>
                      <w14:schemeClr w14:val="tx1"/>
                    </w14:solidFill>
                  </w14:textFill>
                </w:rPr>
                <m:t>440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m:t>
          </m:r>
          <m:r>
            <m:rPr>
              <m:sty m:val="p"/>
            </m:rPr>
            <w:rPr>
              <w:rFonts w:ascii="Cambria Math" w:hAnsi="Cambria Math" w:eastAsia="仿宋"/>
              <w:color w:val="000000" w:themeColor="text1"/>
              <w:sz w:val="18"/>
              <w:szCs w:val="18"/>
              <w14:textFill>
                <w14:solidFill>
                  <w14:schemeClr w14:val="tx1"/>
                </w14:solidFill>
              </w14:textFill>
            </w:rPr>
            <m:t>5</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&lt;8&gt;乳化泵（315kW） GS8开关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=195 A，取</m:t>
          </m:r>
          <m:r>
            <m:rPr>
              <m:sty m:val="p"/>
            </m:rPr>
            <w:rPr>
              <w:rFonts w:ascii="Cambria Math" w:hAnsi="Cambria Math" w:eastAsia="仿宋"/>
              <w:color w:val="000000" w:themeColor="text1"/>
              <w:sz w:val="18"/>
              <w:szCs w:val="18"/>
              <w14:textFill>
                <w14:solidFill>
                  <w14:schemeClr w14:val="tx1"/>
                </w14:solidFill>
              </w14:textFill>
            </w:rPr>
            <m:t>200</m:t>
          </m:r>
          <m:r>
            <m:rPr>
              <m:sty m:val="p"/>
            </m:rPr>
            <w:rPr>
              <w:rFonts w:hint="eastAsia" w:ascii="Cambria Math" w:hAnsi="Cambria Math" w:eastAsia="仿宋"/>
              <w:color w:val="000000" w:themeColor="text1"/>
              <w:sz w:val="18"/>
              <w:szCs w:val="18"/>
              <w14:textFill>
                <w14:solidFill>
                  <w14:schemeClr w14:val="tx1"/>
                </w14:solidFill>
              </w14:textFill>
            </w:rPr>
            <m:t>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=1564 A，取</m:t>
          </m:r>
          <m:r>
            <m:rPr>
              <m:sty m:val="p"/>
            </m:rPr>
            <w:rPr>
              <w:rFonts w:ascii="Cambria Math" w:hAnsi="Cambria Math" w:eastAsia="仿宋"/>
              <w:color w:val="000000" w:themeColor="text1"/>
              <w:sz w:val="18"/>
              <w:szCs w:val="18"/>
              <w14:textFill>
                <w14:solidFill>
                  <w14:schemeClr w14:val="tx1"/>
                </w14:solidFill>
              </w14:textFill>
            </w:rPr>
            <m:t>1600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6361</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m:t>
              </m:r>
              <m:r>
                <m:rPr>
                  <m:sty m:val="p"/>
                </m:rPr>
                <w:rPr>
                  <w:rFonts w:ascii="Cambria Math" w:hAnsi="Cambria Math" w:eastAsia="仿宋"/>
                  <w:color w:val="000000" w:themeColor="text1"/>
                  <w:sz w:val="18"/>
                  <w:szCs w:val="18"/>
                  <w14:textFill>
                    <w14:solidFill>
                      <w14:schemeClr w14:val="tx1"/>
                    </w14:solidFill>
                  </w14:textFill>
                </w:rPr>
                <m:t>600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r>
            <m:rPr>
              <m:sty m:val="p"/>
            </m:rPr>
            <w:rPr>
              <w:rFonts w:ascii="Cambria Math" w:hAnsi="Cambria Math" w:eastAsia="仿宋"/>
              <w:color w:val="000000" w:themeColor="text1"/>
              <w:sz w:val="18"/>
              <w:szCs w:val="18"/>
              <w14:textFill>
                <w14:solidFill>
                  <w14:schemeClr w14:val="tx1"/>
                </w14:solidFill>
              </w14:textFill>
            </w:rPr>
            <m:t>3.9</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&lt;9&gt;喷雾泵（75kW） GS9开关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=4</m:t>
          </m:r>
          <m:r>
            <m:rPr>
              <m:sty m:val="p"/>
            </m:rPr>
            <w:rPr>
              <w:rFonts w:ascii="Cambria Math" w:hAnsi="Cambria Math" w:eastAsia="仿宋"/>
              <w:color w:val="000000" w:themeColor="text1"/>
              <w:sz w:val="18"/>
              <w:szCs w:val="18"/>
              <w14:textFill>
                <w14:solidFill>
                  <w14:schemeClr w14:val="tx1"/>
                </w14:solidFill>
              </w14:textFill>
            </w:rPr>
            <m:t>7</m:t>
          </m:r>
          <m:r>
            <m:rPr>
              <m:sty m:val="p"/>
            </m:rPr>
            <w:rPr>
              <w:rFonts w:hint="eastAsia" w:ascii="Cambria Math" w:hAnsi="Cambria Math" w:eastAsia="仿宋"/>
              <w:color w:val="000000" w:themeColor="text1"/>
              <w:sz w:val="18"/>
              <w:szCs w:val="18"/>
              <w14:textFill>
                <w14:solidFill>
                  <w14:schemeClr w14:val="tx1"/>
                </w14:solidFill>
              </w14:textFill>
            </w:rPr>
            <m:t xml:space="preserve"> A，取4</m:t>
          </m:r>
          <m:r>
            <m:rPr>
              <m:sty m:val="p"/>
            </m:rPr>
            <w:rPr>
              <w:rFonts w:ascii="Cambria Math" w:hAnsi="Cambria Math" w:eastAsia="仿宋"/>
              <w:color w:val="000000" w:themeColor="text1"/>
              <w:sz w:val="18"/>
              <w:szCs w:val="18"/>
              <w14:textFill>
                <w14:solidFill>
                  <w14:schemeClr w14:val="tx1"/>
                </w14:solidFill>
              </w14:textFill>
            </w:rPr>
            <m:t>7</m:t>
          </m:r>
          <m:r>
            <m:rPr>
              <m:sty m:val="p"/>
            </m:rPr>
            <w:rPr>
              <w:rFonts w:hint="eastAsia" w:ascii="Cambria Math" w:hAnsi="Cambria Math" w:eastAsia="仿宋"/>
              <w:color w:val="000000" w:themeColor="text1"/>
              <w:sz w:val="18"/>
              <w:szCs w:val="18"/>
              <w14:textFill>
                <w14:solidFill>
                  <w14:schemeClr w14:val="tx1"/>
                </w14:solidFill>
              </w14:textFill>
            </w:rPr>
            <m:t>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r>
            <m:rPr>
              <m:sty m:val="p"/>
            </m:rPr>
            <w:rPr>
              <w:rFonts w:ascii="Cambria Math" w:hAnsi="Cambria Math" w:eastAsia="仿宋"/>
              <w:color w:val="000000" w:themeColor="text1"/>
              <w:sz w:val="18"/>
              <w:szCs w:val="18"/>
              <w14:textFill>
                <w14:solidFill>
                  <w14:schemeClr w14:val="tx1"/>
                </w14:solidFill>
              </w14:textFill>
            </w:rPr>
            <m:t>376</m:t>
          </m:r>
          <m:r>
            <m:rPr>
              <m:sty m:val="p"/>
            </m:rPr>
            <w:rPr>
              <w:rFonts w:hint="eastAsia" w:ascii="Cambria Math" w:hAnsi="Cambria Math" w:eastAsia="仿宋"/>
              <w:color w:val="000000" w:themeColor="text1"/>
              <w:sz w:val="18"/>
              <w:szCs w:val="18"/>
              <w14:textFill>
                <w14:solidFill>
                  <w14:schemeClr w14:val="tx1"/>
                </w14:solidFill>
              </w14:textFill>
            </w:rPr>
            <m:t xml:space="preserve"> A，取</m:t>
          </m:r>
          <m:r>
            <m:rPr>
              <m:sty m:val="p"/>
            </m:rPr>
            <w:rPr>
              <w:rFonts w:ascii="Cambria Math" w:hAnsi="Cambria Math" w:eastAsia="仿宋"/>
              <w:color w:val="000000" w:themeColor="text1"/>
              <w:sz w:val="18"/>
              <w:szCs w:val="18"/>
              <w14:textFill>
                <w14:solidFill>
                  <w14:schemeClr w14:val="tx1"/>
                </w14:solidFill>
              </w14:textFill>
            </w:rPr>
            <m:t>376</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5994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ascii="Cambria Math" w:hAnsi="Cambria Math" w:eastAsia="仿宋"/>
                  <w:color w:val="000000" w:themeColor="text1"/>
                  <w:sz w:val="18"/>
                  <w:szCs w:val="18"/>
                  <w14:textFill>
                    <w14:solidFill>
                      <w14:schemeClr w14:val="tx1"/>
                    </w14:solidFill>
                  </w14:textFill>
                </w:rPr>
                <m:t>376</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r>
            <m:rPr>
              <m:sty m:val="p"/>
            </m:rPr>
            <w:rPr>
              <w:rFonts w:ascii="Cambria Math" w:hAnsi="Cambria Math" w:eastAsia="仿宋"/>
              <w:color w:val="000000" w:themeColor="text1"/>
              <w:sz w:val="18"/>
              <w:szCs w:val="18"/>
              <w14:textFill>
                <w14:solidFill>
                  <w14:schemeClr w14:val="tx1"/>
                </w14:solidFill>
              </w14:textFill>
            </w:rPr>
            <m:t>15.9</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&lt;10&gt; 乳化泵（315kW）GS10开关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=195 A，取</m:t>
          </m:r>
          <m:r>
            <m:rPr>
              <m:sty m:val="p"/>
            </m:rPr>
            <w:rPr>
              <w:rFonts w:ascii="Cambria Math" w:hAnsi="Cambria Math" w:eastAsia="仿宋"/>
              <w:color w:val="000000" w:themeColor="text1"/>
              <w:sz w:val="18"/>
              <w:szCs w:val="18"/>
              <w14:textFill>
                <w14:solidFill>
                  <w14:schemeClr w14:val="tx1"/>
                </w14:solidFill>
              </w14:textFill>
            </w:rPr>
            <m:t>200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=1564 A，取1</m:t>
          </m:r>
          <m:r>
            <m:rPr>
              <m:sty m:val="p"/>
            </m:rPr>
            <w:rPr>
              <w:rFonts w:ascii="Cambria Math" w:hAnsi="Cambria Math" w:eastAsia="仿宋"/>
              <w:color w:val="000000" w:themeColor="text1"/>
              <w:sz w:val="18"/>
              <w:szCs w:val="18"/>
              <w14:textFill>
                <w14:solidFill>
                  <w14:schemeClr w14:val="tx1"/>
                </w14:solidFill>
              </w14:textFill>
            </w:rPr>
            <m:t>600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6361</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1</m:t>
              </m:r>
              <m:r>
                <m:rPr>
                  <m:sty m:val="p"/>
                </m:rPr>
                <w:rPr>
                  <w:rFonts w:ascii="Cambria Math" w:hAnsi="Cambria Math" w:eastAsia="仿宋"/>
                  <w:color w:val="000000" w:themeColor="text1"/>
                  <w:sz w:val="18"/>
                  <w:szCs w:val="18"/>
                  <w14:textFill>
                    <w14:solidFill>
                      <w14:schemeClr w14:val="tx1"/>
                    </w14:solidFill>
                  </w14:textFill>
                </w:rPr>
                <m:t>600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r>
            <m:rPr>
              <m:sty m:val="p"/>
            </m:rPr>
            <w:rPr>
              <w:rFonts w:ascii="Cambria Math" w:hAnsi="Cambria Math" w:eastAsia="仿宋"/>
              <w:color w:val="000000" w:themeColor="text1"/>
              <w:sz w:val="18"/>
              <w:szCs w:val="18"/>
              <w14:textFill>
                <w14:solidFill>
                  <w14:schemeClr w14:val="tx1"/>
                </w14:solidFill>
              </w14:textFill>
            </w:rPr>
            <m:t>3.9</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&lt;11&gt; 喷雾泵（75kW）GS11开关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=4</m:t>
          </m:r>
          <m:r>
            <m:rPr>
              <m:sty m:val="p"/>
            </m:rPr>
            <w:rPr>
              <w:rFonts w:ascii="Cambria Math" w:hAnsi="Cambria Math" w:eastAsia="仿宋"/>
              <w:color w:val="000000" w:themeColor="text1"/>
              <w:sz w:val="18"/>
              <w:szCs w:val="18"/>
              <w14:textFill>
                <w14:solidFill>
                  <w14:schemeClr w14:val="tx1"/>
                </w14:solidFill>
              </w14:textFill>
            </w:rPr>
            <m:t>7</m:t>
          </m:r>
          <m:r>
            <m:rPr>
              <m:sty m:val="p"/>
            </m:rPr>
            <w:rPr>
              <w:rFonts w:hint="eastAsia" w:ascii="Cambria Math" w:hAnsi="Cambria Math" w:eastAsia="仿宋"/>
              <w:color w:val="000000" w:themeColor="text1"/>
              <w:sz w:val="18"/>
              <w:szCs w:val="18"/>
              <w14:textFill>
                <w14:solidFill>
                  <w14:schemeClr w14:val="tx1"/>
                </w14:solidFill>
              </w14:textFill>
            </w:rPr>
            <m:t xml:space="preserve"> A，取4</m:t>
          </m:r>
          <m:r>
            <m:rPr>
              <m:sty m:val="p"/>
            </m:rPr>
            <w:rPr>
              <w:rFonts w:ascii="Cambria Math" w:hAnsi="Cambria Math" w:eastAsia="仿宋"/>
              <w:color w:val="000000" w:themeColor="text1"/>
              <w:sz w:val="18"/>
              <w:szCs w:val="18"/>
              <w14:textFill>
                <w14:solidFill>
                  <w14:schemeClr w14:val="tx1"/>
                </w14:solidFill>
              </w14:textFill>
            </w:rPr>
            <m:t>7</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=37</m:t>
          </m:r>
          <m:r>
            <m:rPr>
              <m:sty m:val="p"/>
            </m:rPr>
            <w:rPr>
              <w:rFonts w:ascii="Cambria Math" w:hAnsi="Cambria Math" w:eastAsia="仿宋"/>
              <w:color w:val="000000" w:themeColor="text1"/>
              <w:sz w:val="18"/>
              <w:szCs w:val="18"/>
              <w14:textFill>
                <w14:solidFill>
                  <w14:schemeClr w14:val="tx1"/>
                </w14:solidFill>
              </w14:textFill>
            </w:rPr>
            <m:t>6</m:t>
          </m:r>
          <m:r>
            <m:rPr>
              <m:sty m:val="p"/>
            </m:rPr>
            <w:rPr>
              <w:rFonts w:hint="eastAsia" w:ascii="Cambria Math" w:hAnsi="Cambria Math" w:eastAsia="仿宋"/>
              <w:color w:val="000000" w:themeColor="text1"/>
              <w:sz w:val="18"/>
              <w:szCs w:val="18"/>
              <w14:textFill>
                <w14:solidFill>
                  <w14:schemeClr w14:val="tx1"/>
                </w14:solidFill>
              </w14:textFill>
            </w:rPr>
            <m:t xml:space="preserve"> A，取37</m:t>
          </m:r>
          <m:r>
            <m:rPr>
              <m:sty m:val="p"/>
            </m:rPr>
            <w:rPr>
              <w:rFonts w:ascii="Cambria Math" w:hAnsi="Cambria Math" w:eastAsia="仿宋"/>
              <w:color w:val="000000" w:themeColor="text1"/>
              <w:sz w:val="18"/>
              <w:szCs w:val="18"/>
              <w14:textFill>
                <w14:solidFill>
                  <w14:schemeClr w14:val="tx1"/>
                </w14:solidFill>
              </w14:textFill>
            </w:rPr>
            <m:t>6</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5994</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37</m:t>
              </m:r>
              <m:r>
                <m:rPr>
                  <m:sty m:val="p"/>
                </m:rPr>
                <w:rPr>
                  <w:rFonts w:ascii="Cambria Math" w:hAnsi="Cambria Math" w:eastAsia="仿宋"/>
                  <w:color w:val="000000" w:themeColor="text1"/>
                  <w:sz w:val="18"/>
                  <w:szCs w:val="18"/>
                  <w14:textFill>
                    <w14:solidFill>
                      <w14:schemeClr w14:val="tx1"/>
                    </w14:solidFill>
                  </w14:textFill>
                </w:rPr>
                <m:t>6</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=1</m:t>
          </m:r>
          <m:r>
            <m:rPr>
              <m:sty m:val="p"/>
            </m:rPr>
            <w:rPr>
              <w:rFonts w:ascii="Cambria Math" w:hAnsi="Cambria Math" w:eastAsia="仿宋"/>
              <w:color w:val="000000" w:themeColor="text1"/>
              <w:sz w:val="18"/>
              <w:szCs w:val="18"/>
              <w14:textFill>
                <w14:solidFill>
                  <w14:schemeClr w14:val="tx1"/>
                </w14:solidFill>
              </w14:textFill>
            </w:rPr>
            <m:t>5.9</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&lt;12&gt; 乳化泵（315kW）GS12开关</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过载保护定值：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=195 A，取</m:t>
          </m:r>
          <m:r>
            <m:rPr>
              <m:sty m:val="p"/>
            </m:rPr>
            <w:rPr>
              <w:rFonts w:ascii="Cambria Math" w:hAnsi="Cambria Math" w:eastAsia="仿宋"/>
              <w:color w:val="000000" w:themeColor="text1"/>
              <w:sz w:val="18"/>
              <w:szCs w:val="18"/>
              <w14:textFill>
                <w14:solidFill>
                  <w14:schemeClr w14:val="tx1"/>
                </w14:solidFill>
              </w14:textFill>
            </w:rPr>
            <m:t>200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短路保护定值：</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=1564 A，取</m:t>
          </m:r>
          <m:r>
            <m:rPr>
              <m:sty m:val="p"/>
            </m:rPr>
            <w:rPr>
              <w:rFonts w:ascii="Cambria Math" w:hAnsi="Cambria Math" w:eastAsia="仿宋"/>
              <w:color w:val="000000" w:themeColor="text1"/>
              <w:sz w:val="18"/>
              <w:szCs w:val="18"/>
              <w14:textFill>
                <w14:solidFill>
                  <w14:schemeClr w14:val="tx1"/>
                </w14:solidFill>
              </w14:textFill>
            </w:rPr>
            <m:t>1600</m:t>
          </m:r>
          <m:r>
            <m:rPr>
              <m:sty m:val="p"/>
            </m:rPr>
            <w:rPr>
              <w:rFonts w:hint="eastAsia" w:ascii="Cambria Math" w:hAnsi="Cambria Math" w:eastAsia="仿宋"/>
              <w:color w:val="000000" w:themeColor="text1"/>
              <w:sz w:val="18"/>
              <w:szCs w:val="18"/>
              <w14:textFill>
                <w14:solidFill>
                  <w14:schemeClr w14:val="tx1"/>
                </w14:solidFill>
              </w14:textFill>
            </w:rPr>
            <m:t xml:space="preserve"> A</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6361</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ascii="Cambria Math" w:hAnsi="Cambria Math" w:eastAsia="仿宋"/>
                  <w:color w:val="000000" w:themeColor="text1"/>
                  <w:sz w:val="18"/>
                  <w:szCs w:val="18"/>
                  <w14:textFill>
                    <w14:solidFill>
                      <w14:schemeClr w14:val="tx1"/>
                    </w14:solidFill>
                  </w14:textFill>
                </w:rPr>
                <m:t>1600</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r>
            <m:rPr>
              <m:sty m:val="p"/>
            </m:rPr>
            <w:rPr>
              <w:rFonts w:ascii="Cambria Math" w:hAnsi="Cambria Math" w:eastAsia="仿宋"/>
              <w:color w:val="000000" w:themeColor="text1"/>
              <w:sz w:val="18"/>
              <w:szCs w:val="18"/>
              <w14:textFill>
                <w14:solidFill>
                  <w14:schemeClr w14:val="tx1"/>
                </w14:solidFill>
              </w14:textFill>
            </w:rPr>
            <m:t>3.9</m:t>
          </m:r>
          <m:r>
            <m:rPr>
              <m:sty m:val="p"/>
            </m:rPr>
            <w:rPr>
              <w:rFonts w:hint="eastAsia" w:ascii="Cambria Math" w:hAnsi="Cambria Math" w:eastAsia="仿宋"/>
              <w:color w:val="000000" w:themeColor="text1"/>
              <w:sz w:val="18"/>
              <w:szCs w:val="18"/>
              <w14:textFill>
                <w14:solidFill>
                  <w14:schemeClr w14:val="tx1"/>
                </w14:solidFill>
              </w14:textFill>
            </w:rPr>
            <m:t>≥1.5，满足要求。</m:t>
          </m:r>
        </m:oMath>
      </m:oMathPara>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公式参数意义说明</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电动机的额定电流，A；</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eq</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电动机的启动电流，A；</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g.zd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过载保护电流，A；</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s.zd</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短路保护电流，A；</w:t>
      </w:r>
    </w:p>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m:oMath>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仿宋" w:hAnsi="仿宋" w:eastAsia="仿宋"/>
          <w:color w:val="000000" w:themeColor="text1"/>
          <w:sz w:val="18"/>
          <w:szCs w:val="18"/>
          <w14:textFill>
            <w14:solidFill>
              <w14:schemeClr w14:val="tx1"/>
            </w14:solidFill>
          </w14:textFill>
        </w:rPr>
        <w:t>被保护电机处的最小两相短路电流，A。</w:t>
      </w:r>
    </w:p>
    <w:p>
      <w:pPr>
        <w:pStyle w:val="4"/>
        <w:ind w:firstLine="0" w:firstLineChars="0"/>
        <w:jc w:val="both"/>
        <w:rPr>
          <w:rFonts w:ascii="宋体" w:hAnsi="宋体" w:eastAsia="宋体"/>
          <w:sz w:val="21"/>
        </w:rPr>
      </w:pPr>
      <w:bookmarkStart w:id="216" w:name="_Toc988998"/>
      <w:r>
        <w:rPr>
          <w:rFonts w:hint="eastAsia" w:ascii="宋体" w:hAnsi="宋体" w:eastAsia="宋体"/>
        </w:rPr>
        <w:t>6.5 综保整定保护</w:t>
      </w:r>
      <w:bookmarkEnd w:id="216"/>
    </w:p>
    <w:tbl>
      <w:tblPr>
        <w:tblStyle w:val="36"/>
        <w:tblW w:w="92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57"/>
        <w:gridCol w:w="2320"/>
        <w:gridCol w:w="1326"/>
        <w:gridCol w:w="1326"/>
        <w:gridCol w:w="1326"/>
        <w:gridCol w:w="13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编 号</w:t>
            </w:r>
          </w:p>
        </w:tc>
        <w:tc>
          <w:tcPr>
            <w:tcW w:w="14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型 号</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类 型</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熔体额定电流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两相短路电流</w:t>
            </w:r>
            <m:oMath>
              <m:r>
                <m:rPr>
                  <m:sty m:val="p"/>
                </m:rPr>
                <w:rPr>
                  <w:rFonts w:hint="eastAsia" w:ascii="Cambria Math" w:hAnsi="Cambria Math" w:eastAsia="仿宋"/>
                  <w:color w:val="000000" w:themeColor="text1"/>
                  <w:sz w:val="18"/>
                  <w:szCs w:val="18"/>
                  <w14:textFill>
                    <w14:solidFill>
                      <w14:schemeClr w14:val="tx1"/>
                    </w14:solidFill>
                  </w14:textFill>
                </w:rPr>
                <m:t>(A)</m:t>
              </m:r>
            </m:oMath>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灵敏系数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P1</w:t>
            </w:r>
          </w:p>
        </w:tc>
        <w:tc>
          <w:tcPr>
            <w:tcW w:w="14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ZBZ-4/1.14/0.133</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照明</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0.8</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622</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52.4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P2</w:t>
            </w:r>
          </w:p>
        </w:tc>
        <w:tc>
          <w:tcPr>
            <w:tcW w:w="14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ZBZ-10/1.14/0.133</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照明</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3.2</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289</w:t>
            </w:r>
          </w:p>
        </w:tc>
        <w:tc>
          <w:tcPr>
            <w:tcW w:w="800" w:type="dxa"/>
            <w:shd w:val="clear" w:color="auto" w:fill="auto"/>
            <w:vAlign w:val="center"/>
          </w:tcPr>
          <w:p>
            <w:pPr>
              <w:snapToGrid w:val="0"/>
              <w:spacing w:line="240" w:lineRule="atLeast"/>
              <w:ind w:firstLine="0" w:firstLineChars="0"/>
              <w:rPr>
                <w:rFonts w:ascii="仿宋" w:hAnsi="仿宋" w:eastAsia="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6.1</w:t>
            </w:r>
          </w:p>
        </w:tc>
      </w:tr>
    </w:tbl>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&lt;1&gt; P1</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保护照明综保的熔体额定电流：</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1.2～1.4</m:t>
              </m:r>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b</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8.57</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×5.29=0.8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rad>
                <m:radPr>
                  <m:degHide m:val="1"/>
                  <m:ctrlPr>
                    <w:rPr>
                      <w:rFonts w:hint="eastAsia" w:ascii="Cambria Math" w:hAnsi="Cambria Math" w:eastAsia="仿宋"/>
                      <w:color w:val="000000" w:themeColor="text1"/>
                      <w:sz w:val="18"/>
                      <w:szCs w:val="18"/>
                      <w14:textFill>
                        <w14:solidFill>
                          <w14:schemeClr w14:val="tx1"/>
                        </w14:solidFill>
                      </w14:textFill>
                    </w:rPr>
                  </m:ctrlPr>
                </m:radPr>
                <m:deg>
                  <m:ctrlPr>
                    <w:rPr>
                      <w:rFonts w:hint="eastAsia" w:ascii="Cambria Math" w:hAnsi="Cambria Math" w:eastAsia="仿宋"/>
                      <w:color w:val="000000" w:themeColor="text1"/>
                      <w:sz w:val="18"/>
                      <w:szCs w:val="18"/>
                      <w14:textFill>
                        <w14:solidFill>
                          <w14:schemeClr w14:val="tx1"/>
                        </w14:solidFill>
                      </w14:textFill>
                    </w:rPr>
                  </m:ctrlPr>
                </m:deg>
                <m:e>
                  <m:r>
                    <m:rPr>
                      <m:sty m:val="p"/>
                    </m:rPr>
                    <w:rPr>
                      <w:rFonts w:hint="eastAsia" w:ascii="Cambria Math" w:hAnsi="Cambria Math" w:eastAsia="仿宋"/>
                      <w:color w:val="000000" w:themeColor="text1"/>
                      <w:sz w:val="18"/>
                      <w:szCs w:val="18"/>
                      <w14:textFill>
                        <w14:solidFill>
                          <w14:schemeClr w14:val="tx1"/>
                        </w14:solidFill>
                      </w14:textFill>
                    </w:rPr>
                    <m:t>3</m:t>
                  </m:r>
                  <m:ctrlPr>
                    <w:rPr>
                      <w:rFonts w:hint="eastAsia" w:ascii="Cambria Math" w:hAnsi="Cambria Math" w:eastAsia="仿宋"/>
                      <w:color w:val="000000" w:themeColor="text1"/>
                      <w:sz w:val="18"/>
                      <w:szCs w:val="18"/>
                      <w14:textFill>
                        <w14:solidFill>
                          <w14:schemeClr w14:val="tx1"/>
                        </w14:solidFill>
                      </w14:textFill>
                    </w:rPr>
                  </m:ctrlPr>
                </m:e>
              </m:rad>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b</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622</m:t>
              </m:r>
              <m:ctrlPr>
                <w:rPr>
                  <w:rFonts w:hint="eastAsia" w:ascii="Cambria Math" w:hAnsi="Cambria Math" w:eastAsia="仿宋"/>
                  <w:color w:val="000000" w:themeColor="text1"/>
                  <w:sz w:val="18"/>
                  <w:szCs w:val="18"/>
                  <w14:textFill>
                    <w14:solidFill>
                      <w14:schemeClr w14:val="tx1"/>
                    </w14:solidFill>
                  </w14:textFill>
                </w:rPr>
              </m:ctrlPr>
            </m:num>
            <m:den>
              <m:rad>
                <m:radPr>
                  <m:degHide m:val="1"/>
                  <m:ctrlPr>
                    <w:rPr>
                      <w:rFonts w:hint="eastAsia" w:ascii="Cambria Math" w:hAnsi="Cambria Math" w:eastAsia="仿宋"/>
                      <w:color w:val="000000" w:themeColor="text1"/>
                      <w:sz w:val="18"/>
                      <w:szCs w:val="18"/>
                      <w14:textFill>
                        <w14:solidFill>
                          <w14:schemeClr w14:val="tx1"/>
                        </w14:solidFill>
                      </w14:textFill>
                    </w:rPr>
                  </m:ctrlPr>
                </m:radPr>
                <m:deg>
                  <m:ctrlPr>
                    <w:rPr>
                      <w:rFonts w:hint="eastAsia" w:ascii="Cambria Math" w:hAnsi="Cambria Math" w:eastAsia="仿宋"/>
                      <w:color w:val="000000" w:themeColor="text1"/>
                      <w:sz w:val="18"/>
                      <w:szCs w:val="18"/>
                      <w14:textFill>
                        <w14:solidFill>
                          <w14:schemeClr w14:val="tx1"/>
                        </w14:solidFill>
                      </w14:textFill>
                    </w:rPr>
                  </m:ctrlPr>
                </m:deg>
                <m:e>
                  <m:r>
                    <m:rPr>
                      <m:sty m:val="p"/>
                    </m:rPr>
                    <w:rPr>
                      <w:rFonts w:hint="eastAsia" w:ascii="Cambria Math" w:hAnsi="Cambria Math" w:eastAsia="仿宋"/>
                      <w:color w:val="000000" w:themeColor="text1"/>
                      <w:sz w:val="18"/>
                      <w:szCs w:val="18"/>
                      <w14:textFill>
                        <w14:solidFill>
                          <w14:schemeClr w14:val="tx1"/>
                        </w14:solidFill>
                      </w14:textFill>
                    </w:rPr>
                    <m:t>3</m:t>
                  </m:r>
                  <m:ctrlPr>
                    <w:rPr>
                      <w:rFonts w:hint="eastAsia" w:ascii="Cambria Math" w:hAnsi="Cambria Math" w:eastAsia="仿宋"/>
                      <w:color w:val="000000" w:themeColor="text1"/>
                      <w:sz w:val="18"/>
                      <w:szCs w:val="18"/>
                      <w14:textFill>
                        <w14:solidFill>
                          <w14:schemeClr w14:val="tx1"/>
                        </w14:solidFill>
                      </w14:textFill>
                    </w:rPr>
                  </m:ctrlPr>
                </m:e>
              </m:rad>
              <m:r>
                <m:rPr>
                  <m:sty m:val="p"/>
                </m:rPr>
                <w:rPr>
                  <w:rFonts w:hint="eastAsia" w:ascii="Cambria Math" w:hAnsi="Cambria Math" w:eastAsia="仿宋"/>
                  <w:color w:val="000000" w:themeColor="text1"/>
                  <w:sz w:val="18"/>
                  <w:szCs w:val="18"/>
                  <w14:textFill>
                    <w14:solidFill>
                      <w14:schemeClr w14:val="tx1"/>
                    </w14:solidFill>
                  </w14:textFill>
                </w:rPr>
                <m:t>×8.57×0.8</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=52.4≥4，满足要求。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&lt;2&gt; P2</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保护照明综保的熔体额定电流：</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1.2～1.4</m:t>
              </m:r>
              <m:ctrlPr>
                <w:rPr>
                  <w:rFonts w:hint="eastAsia" w:ascii="Cambria Math" w:hAnsi="Cambria Math" w:eastAsia="仿宋"/>
                  <w:color w:val="000000" w:themeColor="text1"/>
                  <w:sz w:val="18"/>
                  <w:szCs w:val="18"/>
                  <w14:textFill>
                    <w14:solidFill>
                      <w14:schemeClr w14:val="tx1"/>
                    </w14:solidFill>
                  </w14:textFill>
                </w:rPr>
              </m:ctrlPr>
            </m:num>
            <m:den>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b</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1.3</m:t>
              </m:r>
              <m:ctrlPr>
                <w:rPr>
                  <w:rFonts w:hint="eastAsia" w:ascii="Cambria Math" w:hAnsi="Cambria Math" w:eastAsia="仿宋"/>
                  <w:color w:val="000000" w:themeColor="text1"/>
                  <w:sz w:val="18"/>
                  <w:szCs w:val="18"/>
                  <w14:textFill>
                    <w14:solidFill>
                      <w14:schemeClr w14:val="tx1"/>
                    </w14:solidFill>
                  </w14:textFill>
                </w:rPr>
              </m:ctrlPr>
            </m:num>
            <m:den>
              <m:r>
                <m:rPr>
                  <m:sty m:val="p"/>
                </m:rPr>
                <w:rPr>
                  <w:rFonts w:hint="eastAsia" w:ascii="Cambria Math" w:hAnsi="Cambria Math" w:eastAsia="仿宋"/>
                  <w:color w:val="000000" w:themeColor="text1"/>
                  <w:sz w:val="18"/>
                  <w:szCs w:val="18"/>
                  <w14:textFill>
                    <w14:solidFill>
                      <w14:schemeClr w14:val="tx1"/>
                    </w14:solidFill>
                  </w14:textFill>
                </w:rPr>
                <m:t>8.57</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×21.14=3.21 A</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Para>
        <m:oMathParaPr>
          <m:jc m:val="left"/>
        </m:oMathParaPr>
        <m:oMath>
          <m:r>
            <m:rPr>
              <m:sty m:val="p"/>
            </m:rPr>
            <w:rPr>
              <w:rFonts w:hint="eastAsia" w:ascii="Cambria Math" w:hAnsi="Cambria Math" w:eastAsia="仿宋"/>
              <w:color w:val="000000" w:themeColor="text1"/>
              <w:sz w:val="18"/>
              <w:szCs w:val="18"/>
              <w14:textFill>
                <w14:solidFill>
                  <w14:schemeClr w14:val="tx1"/>
                </w14:solidFill>
              </w14:textFill>
            </w:rPr>
            <m:t>灵敏系数：</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sen</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ctrlPr>
                <w:rPr>
                  <w:rFonts w:hint="eastAsia" w:ascii="Cambria Math" w:hAnsi="Cambria Math" w:eastAsia="仿宋"/>
                  <w:color w:val="000000" w:themeColor="text1"/>
                  <w:sz w:val="18"/>
                  <w:szCs w:val="18"/>
                  <w14:textFill>
                    <w14:solidFill>
                      <w14:schemeClr w14:val="tx1"/>
                    </w14:solidFill>
                  </w14:textFill>
                </w:rPr>
              </m:ctrlPr>
            </m:num>
            <m:den>
              <m:rad>
                <m:radPr>
                  <m:degHide m:val="1"/>
                  <m:ctrlPr>
                    <w:rPr>
                      <w:rFonts w:hint="eastAsia" w:ascii="Cambria Math" w:hAnsi="Cambria Math" w:eastAsia="仿宋"/>
                      <w:color w:val="000000" w:themeColor="text1"/>
                      <w:sz w:val="18"/>
                      <w:szCs w:val="18"/>
                      <w14:textFill>
                        <w14:solidFill>
                          <w14:schemeClr w14:val="tx1"/>
                        </w14:solidFill>
                      </w14:textFill>
                    </w:rPr>
                  </m:ctrlPr>
                </m:radPr>
                <m:deg>
                  <m:ctrlPr>
                    <w:rPr>
                      <w:rFonts w:hint="eastAsia" w:ascii="Cambria Math" w:hAnsi="Cambria Math" w:eastAsia="仿宋"/>
                      <w:color w:val="000000" w:themeColor="text1"/>
                      <w:sz w:val="18"/>
                      <w:szCs w:val="18"/>
                      <w14:textFill>
                        <w14:solidFill>
                          <w14:schemeClr w14:val="tx1"/>
                        </w14:solidFill>
                      </w14:textFill>
                    </w:rPr>
                  </m:ctrlPr>
                </m:deg>
                <m:e>
                  <m:r>
                    <m:rPr>
                      <m:sty m:val="p"/>
                    </m:rPr>
                    <w:rPr>
                      <w:rFonts w:hint="eastAsia" w:ascii="Cambria Math" w:hAnsi="Cambria Math" w:eastAsia="仿宋"/>
                      <w:color w:val="000000" w:themeColor="text1"/>
                      <w:sz w:val="18"/>
                      <w:szCs w:val="18"/>
                      <w14:textFill>
                        <w14:solidFill>
                          <w14:schemeClr w14:val="tx1"/>
                        </w14:solidFill>
                      </w14:textFill>
                    </w:rPr>
                    <m:t>3</m:t>
                  </m:r>
                  <m:ctrlPr>
                    <w:rPr>
                      <w:rFonts w:hint="eastAsia" w:ascii="Cambria Math" w:hAnsi="Cambria Math" w:eastAsia="仿宋"/>
                      <w:color w:val="000000" w:themeColor="text1"/>
                      <w:sz w:val="18"/>
                      <w:szCs w:val="18"/>
                      <w14:textFill>
                        <w14:solidFill>
                          <w14:schemeClr w14:val="tx1"/>
                        </w14:solidFill>
                      </w14:textFill>
                    </w:rPr>
                  </m:ctrlPr>
                </m:e>
              </m:rad>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b</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R</m:t>
                  </m:r>
                  <m:ctrlPr>
                    <w:rPr>
                      <w:rFonts w:hint="eastAsia" w:ascii="Cambria Math" w:hAnsi="Cambria Math" w:eastAsia="仿宋"/>
                      <w:color w:val="000000" w:themeColor="text1"/>
                      <w:sz w:val="18"/>
                      <w:szCs w:val="18"/>
                      <w14:textFill>
                        <w14:solidFill>
                          <w14:schemeClr w14:val="tx1"/>
                        </w14:solidFill>
                      </w14:textFill>
                    </w:rPr>
                  </m:ctrlPr>
                </m:sub>
              </m:sSub>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m:t>
          </m:r>
          <m:f>
            <m:fPr>
              <m:ctrlPr>
                <w:rPr>
                  <w:rFonts w:hint="eastAsia" w:ascii="Cambria Math" w:hAnsi="Cambria Math" w:eastAsia="仿宋"/>
                  <w:color w:val="000000" w:themeColor="text1"/>
                  <w:sz w:val="18"/>
                  <w:szCs w:val="18"/>
                  <w14:textFill>
                    <w14:solidFill>
                      <w14:schemeClr w14:val="tx1"/>
                    </w14:solidFill>
                  </w14:textFill>
                </w:rPr>
              </m:ctrlPr>
            </m:fPr>
            <m:num>
              <m:r>
                <m:rPr>
                  <m:sty m:val="p"/>
                </m:rPr>
                <w:rPr>
                  <w:rFonts w:hint="eastAsia" w:ascii="Cambria Math" w:hAnsi="Cambria Math" w:eastAsia="仿宋"/>
                  <w:color w:val="000000" w:themeColor="text1"/>
                  <w:sz w:val="18"/>
                  <w:szCs w:val="18"/>
                  <w14:textFill>
                    <w14:solidFill>
                      <w14:schemeClr w14:val="tx1"/>
                    </w14:solidFill>
                  </w14:textFill>
                </w:rPr>
                <m:t>289</m:t>
              </m:r>
              <m:ctrlPr>
                <w:rPr>
                  <w:rFonts w:hint="eastAsia" w:ascii="Cambria Math" w:hAnsi="Cambria Math" w:eastAsia="仿宋"/>
                  <w:color w:val="000000" w:themeColor="text1"/>
                  <w:sz w:val="18"/>
                  <w:szCs w:val="18"/>
                  <w14:textFill>
                    <w14:solidFill>
                      <w14:schemeClr w14:val="tx1"/>
                    </w14:solidFill>
                  </w14:textFill>
                </w:rPr>
              </m:ctrlPr>
            </m:num>
            <m:den>
              <m:rad>
                <m:radPr>
                  <m:degHide m:val="1"/>
                  <m:ctrlPr>
                    <w:rPr>
                      <w:rFonts w:hint="eastAsia" w:ascii="Cambria Math" w:hAnsi="Cambria Math" w:eastAsia="仿宋"/>
                      <w:color w:val="000000" w:themeColor="text1"/>
                      <w:sz w:val="18"/>
                      <w:szCs w:val="18"/>
                      <w14:textFill>
                        <w14:solidFill>
                          <w14:schemeClr w14:val="tx1"/>
                        </w14:solidFill>
                      </w14:textFill>
                    </w:rPr>
                  </m:ctrlPr>
                </m:radPr>
                <m:deg>
                  <m:ctrlPr>
                    <w:rPr>
                      <w:rFonts w:hint="eastAsia" w:ascii="Cambria Math" w:hAnsi="Cambria Math" w:eastAsia="仿宋"/>
                      <w:color w:val="000000" w:themeColor="text1"/>
                      <w:sz w:val="18"/>
                      <w:szCs w:val="18"/>
                      <w14:textFill>
                        <w14:solidFill>
                          <w14:schemeClr w14:val="tx1"/>
                        </w14:solidFill>
                      </w14:textFill>
                    </w:rPr>
                  </m:ctrlPr>
                </m:deg>
                <m:e>
                  <m:r>
                    <m:rPr>
                      <m:sty m:val="p"/>
                    </m:rPr>
                    <w:rPr>
                      <w:rFonts w:hint="eastAsia" w:ascii="Cambria Math" w:hAnsi="Cambria Math" w:eastAsia="仿宋"/>
                      <w:color w:val="000000" w:themeColor="text1"/>
                      <w:sz w:val="18"/>
                      <w:szCs w:val="18"/>
                      <w14:textFill>
                        <w14:solidFill>
                          <w14:schemeClr w14:val="tx1"/>
                        </w14:solidFill>
                      </w14:textFill>
                    </w:rPr>
                    <m:t>3</m:t>
                  </m:r>
                  <m:ctrlPr>
                    <w:rPr>
                      <w:rFonts w:hint="eastAsia" w:ascii="Cambria Math" w:hAnsi="Cambria Math" w:eastAsia="仿宋"/>
                      <w:color w:val="000000" w:themeColor="text1"/>
                      <w:sz w:val="18"/>
                      <w:szCs w:val="18"/>
                      <w14:textFill>
                        <w14:solidFill>
                          <w14:schemeClr w14:val="tx1"/>
                        </w14:solidFill>
                      </w14:textFill>
                    </w:rPr>
                  </m:ctrlPr>
                </m:e>
              </m:rad>
              <m:r>
                <m:rPr>
                  <m:sty m:val="p"/>
                </m:rPr>
                <w:rPr>
                  <w:rFonts w:hint="eastAsia" w:ascii="Cambria Math" w:hAnsi="Cambria Math" w:eastAsia="仿宋"/>
                  <w:color w:val="000000" w:themeColor="text1"/>
                  <w:sz w:val="18"/>
                  <w:szCs w:val="18"/>
                  <w14:textFill>
                    <w14:solidFill>
                      <w14:schemeClr w14:val="tx1"/>
                    </w14:solidFill>
                  </w14:textFill>
                </w:rPr>
                <m:t>×8.57×3.2</m:t>
              </m:r>
              <m:ctrlPr>
                <w:rPr>
                  <w:rFonts w:hint="eastAsia" w:ascii="Cambria Math" w:hAnsi="Cambria Math" w:eastAsia="仿宋"/>
                  <w:color w:val="000000" w:themeColor="text1"/>
                  <w:sz w:val="18"/>
                  <w:szCs w:val="18"/>
                  <w14:textFill>
                    <w14:solidFill>
                      <w14:schemeClr w14:val="tx1"/>
                    </w14:solidFill>
                  </w14:textFill>
                </w:rPr>
              </m:ctrlPr>
            </m:den>
          </m:f>
          <m:r>
            <m:rPr>
              <m:sty m:val="p"/>
            </m:rPr>
            <w:rPr>
              <w:rFonts w:hint="eastAsia" w:ascii="Cambria Math" w:hAnsi="Cambria Math" w:eastAsia="仿宋"/>
              <w:color w:val="000000" w:themeColor="text1"/>
              <w:sz w:val="18"/>
              <w:szCs w:val="18"/>
              <w14:textFill>
                <w14:solidFill>
                  <w14:schemeClr w14:val="tx1"/>
                </w14:solidFill>
              </w14:textFill>
            </w:rPr>
            <m:t>=6.1≥4，满足要求。</m:t>
          </m:r>
        </m:oMath>
      </m:oMathPara>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公式参数意义说明</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 xml:space="preserve"> 1.2～1.4 —— 可靠系数； </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w:r>
        <w:rPr>
          <w:rFonts w:hint="eastAsia" w:ascii="Cambria Math" w:hAnsi="Cambria Math" w:eastAsia="仿宋"/>
          <w:color w:val="000000" w:themeColor="text1"/>
          <w:sz w:val="18"/>
          <w:szCs w:val="18"/>
          <w14:textFill>
            <w14:solidFill>
              <w14:schemeClr w14:val="tx1"/>
            </w14:solidFill>
          </w14:textFill>
        </w:rPr>
        <w:t xml:space="preserve"> 1.8～2.5 —— 熔体不熔化系数；</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K</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b</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变压比；</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
          <m:sSubPr>
            <m:ctrlPr>
              <w:rPr>
                <w:rFonts w:hint="eastAsia" w:ascii="Cambria Math" w:hAnsi="Cambria Math" w:eastAsia="仿宋"/>
                <w:color w:val="000000" w:themeColor="text1"/>
                <w:sz w:val="18"/>
                <w:szCs w:val="18"/>
                <w14:textFill>
                  <w14:solidFill>
                    <w14:schemeClr w14:val="tx1"/>
                  </w14:solidFill>
                </w14:textFill>
              </w:rPr>
            </m:ctrlPr>
          </m:sSub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e</m:t>
            </m:r>
            <m:ctrlPr>
              <w:rPr>
                <w:rFonts w:hint="eastAsia" w:ascii="Cambria Math" w:hAnsi="Cambria Math" w:eastAsia="仿宋"/>
                <w:color w:val="000000" w:themeColor="text1"/>
                <w:sz w:val="18"/>
                <w:szCs w:val="18"/>
                <w14:textFill>
                  <w14:solidFill>
                    <w14:schemeClr w14:val="tx1"/>
                  </w14:solidFill>
                </w14:textFill>
              </w:rPr>
            </m:ctrlPr>
          </m:sub>
        </m:sSub>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照明负荷的额定电流，A；</w:t>
      </w:r>
    </w:p>
    <w:p>
      <w:pPr>
        <w:snapToGrid w:val="0"/>
        <w:spacing w:line="240" w:lineRule="atLeast"/>
        <w:ind w:firstLine="0" w:firstLineChars="0"/>
        <w:rPr>
          <w:rFonts w:ascii="Cambria Math" w:hAnsi="Cambria Math" w:eastAsia="仿宋"/>
          <w:color w:val="000000" w:themeColor="text1"/>
          <w:sz w:val="18"/>
          <w:szCs w:val="18"/>
          <w14:textFill>
            <w14:solidFill>
              <w14:schemeClr w14:val="tx1"/>
            </w14:solidFill>
          </w14:textFill>
        </w:rPr>
      </w:pPr>
      <m:oMath>
        <m:sSubSup>
          <m:sSubSupPr>
            <m:ctrlPr>
              <w:rPr>
                <w:rFonts w:hint="eastAsia" w:ascii="Cambria Math" w:hAnsi="Cambria Math" w:eastAsia="仿宋"/>
                <w:color w:val="000000" w:themeColor="text1"/>
                <w:sz w:val="18"/>
                <w:szCs w:val="18"/>
                <w14:textFill>
                  <w14:solidFill>
                    <w14:schemeClr w14:val="tx1"/>
                  </w14:solidFill>
                </w14:textFill>
              </w:rPr>
            </m:ctrlPr>
          </m:sSubSupPr>
          <m:e>
            <m:r>
              <m:rPr>
                <m:sty m:val="p"/>
              </m:rPr>
              <w:rPr>
                <w:rFonts w:hint="eastAsia" w:ascii="Cambria Math" w:hAnsi="Cambria Math" w:eastAsia="仿宋"/>
                <w:color w:val="000000" w:themeColor="text1"/>
                <w:sz w:val="18"/>
                <w:szCs w:val="18"/>
                <w14:textFill>
                  <w14:solidFill>
                    <w14:schemeClr w14:val="tx1"/>
                  </w14:solidFill>
                </w14:textFill>
              </w:rPr>
              <m:t>I</m:t>
            </m:r>
            <m:ctrlPr>
              <w:rPr>
                <w:rFonts w:hint="eastAsia" w:ascii="Cambria Math" w:hAnsi="Cambria Math" w:eastAsia="仿宋"/>
                <w:color w:val="000000" w:themeColor="text1"/>
                <w:sz w:val="18"/>
                <w:szCs w:val="18"/>
                <w14:textFill>
                  <w14:solidFill>
                    <w14:schemeClr w14:val="tx1"/>
                  </w14:solidFill>
                </w14:textFill>
              </w:rPr>
            </m:ctrlPr>
          </m:e>
          <m:sub>
            <m:r>
              <m:rPr>
                <m:sty m:val="p"/>
              </m:rPr>
              <w:rPr>
                <w:rFonts w:hint="eastAsia" w:ascii="Cambria Math" w:hAnsi="Cambria Math" w:eastAsia="仿宋"/>
                <w:color w:val="000000" w:themeColor="text1"/>
                <w:sz w:val="18"/>
                <w:szCs w:val="18"/>
                <w14:textFill>
                  <w14:solidFill>
                    <w14:schemeClr w14:val="tx1"/>
                  </w14:solidFill>
                </w14:textFill>
              </w:rPr>
              <m:t>d.min</m:t>
            </m:r>
            <m:ctrlPr>
              <w:rPr>
                <w:rFonts w:hint="eastAsia" w:ascii="Cambria Math" w:hAnsi="Cambria Math" w:eastAsia="仿宋"/>
                <w:color w:val="000000" w:themeColor="text1"/>
                <w:sz w:val="18"/>
                <w:szCs w:val="18"/>
                <w14:textFill>
                  <w14:solidFill>
                    <w14:schemeClr w14:val="tx1"/>
                  </w14:solidFill>
                </w14:textFill>
              </w:rPr>
            </m:ctrlPr>
          </m:sub>
          <m:sup>
            <m:r>
              <m:rPr>
                <m:sty m:val="p"/>
              </m:rPr>
              <w:rPr>
                <w:rFonts w:hint="eastAsia" w:ascii="Cambria Math" w:hAnsi="Cambria Math" w:eastAsia="仿宋"/>
                <w:color w:val="000000" w:themeColor="text1"/>
                <w:sz w:val="18"/>
                <w:szCs w:val="18"/>
                <w14:textFill>
                  <w14:solidFill>
                    <w14:schemeClr w14:val="tx1"/>
                  </w14:solidFill>
                </w14:textFill>
              </w:rPr>
              <m:t>(2)</m:t>
            </m:r>
            <m:ctrlPr>
              <w:rPr>
                <w:rFonts w:hint="eastAsia" w:ascii="Cambria Math" w:hAnsi="Cambria Math" w:eastAsia="仿宋"/>
                <w:color w:val="000000" w:themeColor="text1"/>
                <w:sz w:val="18"/>
                <w:szCs w:val="18"/>
                <w14:textFill>
                  <w14:solidFill>
                    <w14:schemeClr w14:val="tx1"/>
                  </w14:solidFill>
                </w14:textFill>
              </w:rPr>
            </m:ctrlPr>
          </m:sup>
        </m:sSubSup>
        <m:r>
          <m:rPr>
            <m:sty m:val="p"/>
          </m:rPr>
          <w:rPr>
            <w:rFonts w:hint="eastAsia" w:ascii="Cambria Math" w:hAnsi="Cambria Math" w:eastAsia="仿宋"/>
            <w:color w:val="000000" w:themeColor="text1"/>
            <w:sz w:val="18"/>
            <w:szCs w:val="18"/>
            <w14:textFill>
              <w14:solidFill>
                <w14:schemeClr w14:val="tx1"/>
              </w14:solidFill>
            </w14:textFill>
          </w:rPr>
          <m:t>—</m:t>
        </m:r>
      </m:oMath>
      <w:r>
        <w:rPr>
          <w:rFonts w:hint="eastAsia" w:ascii="Cambria Math" w:hAnsi="Cambria Math" w:eastAsia="仿宋"/>
          <w:color w:val="000000" w:themeColor="text1"/>
          <w:sz w:val="18"/>
          <w:szCs w:val="18"/>
          <w14:textFill>
            <w14:solidFill>
              <w14:schemeClr w14:val="tx1"/>
            </w14:solidFill>
          </w14:textFill>
        </w:rPr>
        <w:t>变压器(综保)低压侧二相短路电流，A。</w:t>
      </w:r>
    </w:p>
    <w:p>
      <w:pPr>
        <w:snapToGrid w:val="0"/>
        <w:spacing w:line="240" w:lineRule="atLeast"/>
        <w:ind w:firstLine="0" w:firstLineChars="0"/>
        <w:rPr>
          <w:rFonts w:ascii="Cambria Math" w:hAnsi="Cambria Math" w:eastAsia="仿宋"/>
          <w:color w:val="000000" w:themeColor="text1"/>
          <w:szCs w:val="21"/>
          <w14:textFill>
            <w14:solidFill>
              <w14:schemeClr w14:val="tx1"/>
            </w14:solidFill>
          </w14:textFill>
        </w:rPr>
      </w:pPr>
      <w:r>
        <w:rPr>
          <w:rFonts w:hint="eastAsia" w:ascii="Cambria Math" w:hAnsi="Cambria Math" w:eastAsia="仿宋"/>
          <w:color w:val="000000" w:themeColor="text1"/>
          <w:szCs w:val="21"/>
          <w14:textFill>
            <w14:solidFill>
              <w14:schemeClr w14:val="tx1"/>
            </w14:solidFill>
          </w14:textFill>
        </w:rPr>
        <w:t>其余具体内容详见《1303综采工作面供电设计》。</w:t>
      </w:r>
    </w:p>
    <w:p>
      <w:pPr>
        <w:snapToGrid w:val="0"/>
        <w:spacing w:line="380" w:lineRule="exact"/>
        <w:ind w:firstLine="0" w:firstLineChars="0"/>
        <w:rPr>
          <w:rFonts w:eastAsia="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附图7：1303工作面供电系统图</w:t>
      </w:r>
    </w:p>
    <w:p>
      <w:pPr>
        <w:pStyle w:val="4"/>
        <w:keepNext w:val="0"/>
        <w:keepLines w:val="0"/>
        <w:snapToGrid w:val="0"/>
        <w:spacing w:before="0" w:after="0" w:line="400" w:lineRule="exact"/>
        <w:ind w:firstLine="0" w:firstLineChars="0"/>
        <w:rPr>
          <w:rFonts w:ascii="黑体" w:hAnsi="黑体" w:eastAsia="黑体" w:cs="仿宋_GB2312"/>
          <w:color w:val="FF0000"/>
          <w:sz w:val="28"/>
          <w:szCs w:val="28"/>
        </w:rPr>
      </w:pPr>
    </w:p>
    <w:p>
      <w:pPr>
        <w:pStyle w:val="4"/>
        <w:keepNext w:val="0"/>
        <w:keepLines w:val="0"/>
        <w:snapToGrid w:val="0"/>
        <w:spacing w:before="0" w:after="0"/>
        <w:ind w:firstLine="0" w:firstLineChars="0"/>
        <w:rPr>
          <w:rFonts w:ascii="黑体" w:hAnsi="黑体" w:eastAsia="黑体" w:cs="仿宋_GB2312"/>
          <w:color w:val="000000" w:themeColor="text1"/>
          <w:sz w:val="28"/>
          <w:szCs w:val="28"/>
          <w:lang w:eastAsia="zh-TW"/>
          <w14:textFill>
            <w14:solidFill>
              <w14:schemeClr w14:val="tx1"/>
            </w14:solidFill>
          </w14:textFill>
        </w:rPr>
      </w:pPr>
    </w:p>
    <w:p>
      <w:pPr>
        <w:pStyle w:val="4"/>
        <w:keepNext w:val="0"/>
        <w:keepLines w:val="0"/>
        <w:snapToGrid w:val="0"/>
        <w:spacing w:before="0" w:after="0"/>
        <w:ind w:firstLine="0" w:firstLineChars="0"/>
        <w:rPr>
          <w:rFonts w:ascii="仿宋" w:hAnsi="仿宋" w:eastAsia="仿宋" w:cs="仿宋_GB2312"/>
          <w:color w:val="000000" w:themeColor="text1"/>
          <w14:textFill>
            <w14:solidFill>
              <w14:schemeClr w14:val="tx1"/>
            </w14:solidFill>
          </w14:textFill>
        </w:rPr>
      </w:pPr>
      <w:r>
        <w:rPr>
          <w:rFonts w:hint="eastAsia" w:ascii="黑体" w:hAnsi="黑体" w:eastAsia="黑体" w:cs="仿宋_GB2312"/>
          <w:color w:val="000000" w:themeColor="text1"/>
          <w:sz w:val="28"/>
          <w:szCs w:val="28"/>
          <w:lang w:eastAsia="zh-TW"/>
          <w14:textFill>
            <w14:solidFill>
              <w14:schemeClr w14:val="tx1"/>
            </w14:solidFill>
          </w14:textFill>
        </w:rPr>
        <w:t>第</w:t>
      </w:r>
      <w:r>
        <w:rPr>
          <w:rFonts w:hint="eastAsia" w:ascii="黑体" w:hAnsi="黑体" w:eastAsia="黑体" w:cs="仿宋_GB2312"/>
          <w:color w:val="000000" w:themeColor="text1"/>
          <w:sz w:val="28"/>
          <w:szCs w:val="28"/>
          <w14:textFill>
            <w14:solidFill>
              <w14:schemeClr w14:val="tx1"/>
            </w14:solidFill>
          </w14:textFill>
        </w:rPr>
        <w:t>六</w:t>
      </w:r>
      <w:r>
        <w:rPr>
          <w:rFonts w:hint="eastAsia" w:ascii="黑体" w:hAnsi="黑体" w:eastAsia="黑体" w:cs="仿宋_GB2312"/>
          <w:color w:val="000000" w:themeColor="text1"/>
          <w:sz w:val="28"/>
          <w:szCs w:val="28"/>
          <w:lang w:eastAsia="zh-TW"/>
          <w14:textFill>
            <w14:solidFill>
              <w14:schemeClr w14:val="tx1"/>
            </w14:solidFill>
          </w14:textFill>
        </w:rPr>
        <w:t>节</w:t>
      </w:r>
      <w:r>
        <w:rPr>
          <w:rFonts w:hint="eastAsia" w:ascii="黑体" w:hAnsi="黑体" w:eastAsia="黑体" w:cs="仿宋_GB2312"/>
          <w:color w:val="000000" w:themeColor="text1"/>
          <w:sz w:val="28"/>
          <w:szCs w:val="28"/>
          <w14:textFill>
            <w14:solidFill>
              <w14:schemeClr w14:val="tx1"/>
            </w14:solidFill>
          </w14:textFill>
        </w:rPr>
        <w:t xml:space="preserve">  </w:t>
      </w:r>
      <w:r>
        <w:rPr>
          <w:rFonts w:hint="eastAsia" w:ascii="黑体" w:hAnsi="黑体" w:eastAsia="黑体" w:cs="仿宋_GB2312"/>
          <w:color w:val="000000" w:themeColor="text1"/>
          <w:sz w:val="28"/>
          <w:szCs w:val="28"/>
          <w:lang w:eastAsia="zh-TW"/>
          <w14:textFill>
            <w14:solidFill>
              <w14:schemeClr w14:val="tx1"/>
            </w14:solidFill>
          </w14:textFill>
        </w:rPr>
        <w:t>通</w:t>
      </w:r>
      <w:r>
        <w:rPr>
          <w:rFonts w:hint="eastAsia" w:ascii="黑体" w:hAnsi="黑体" w:eastAsia="黑体" w:cs="仿宋_GB2312"/>
          <w:color w:val="000000" w:themeColor="text1"/>
          <w:sz w:val="28"/>
          <w:szCs w:val="28"/>
          <w14:textFill>
            <w14:solidFill>
              <w14:schemeClr w14:val="tx1"/>
            </w14:solidFill>
          </w14:textFill>
        </w:rPr>
        <w:t>信照明</w:t>
      </w:r>
      <w:r>
        <w:rPr>
          <w:rFonts w:hint="eastAsia" w:ascii="黑体" w:hAnsi="黑体" w:eastAsia="黑体" w:cs="仿宋_GB2312"/>
          <w:color w:val="000000" w:themeColor="text1"/>
          <w:sz w:val="28"/>
          <w:szCs w:val="28"/>
          <w:lang w:eastAsia="zh-TW"/>
          <w14:textFill>
            <w14:solidFill>
              <w14:schemeClr w14:val="tx1"/>
            </w14:solidFill>
          </w14:textFill>
        </w:rPr>
        <w:t>系统</w:t>
      </w:r>
      <w:bookmarkEnd w:id="204"/>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0" w:firstLineChars="0"/>
        <w:textAlignment w:val="auto"/>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一、通信系统</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1、集控仓、乳化泵站、1303机巷皮带机头、1303机巷无极绳机头处、1303机巷超前支护外口、1303风巷里口各安设电话机进行通信联络，保证能够与矿调度指挥中心、单位值班室及相关部门直接联系。</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2、集控仓、皮带机尾、转载机头及工作面前部运输机机头机尾、后部运输机机头处各安设一台KTC</w:t>
      </w:r>
      <w:r>
        <w:rPr>
          <w:rFonts w:hint="eastAsia" w:ascii="仿宋" w:hAnsi="仿宋" w:eastAsia="仿宋" w:cs="仿宋_GB2312"/>
          <w:color w:val="000000" w:themeColor="text1"/>
          <w:sz w:val="24"/>
          <w:lang w:val="en-US" w:eastAsia="zh-CN"/>
          <w14:textFill>
            <w14:solidFill>
              <w14:schemeClr w14:val="tx1"/>
            </w14:solidFill>
          </w14:textFill>
        </w:rPr>
        <w:t>101</w:t>
      </w:r>
      <w:r>
        <w:rPr>
          <w:rFonts w:hint="eastAsia" w:ascii="仿宋" w:hAnsi="仿宋" w:eastAsia="仿宋" w:cs="仿宋_GB2312"/>
          <w:color w:val="000000" w:themeColor="text1"/>
          <w:sz w:val="24"/>
          <w14:textFill>
            <w14:solidFill>
              <w14:schemeClr w14:val="tx1"/>
            </w14:solidFill>
          </w14:textFill>
        </w:rPr>
        <w:t>型闭锁式扩音电话、</w:t>
      </w:r>
      <w:r>
        <w:rPr>
          <w:rFonts w:ascii="仿宋" w:hAnsi="仿宋" w:eastAsia="仿宋" w:cs="仿宋_GB2312"/>
          <w:color w:val="000000" w:themeColor="text1"/>
          <w:sz w:val="24"/>
          <w14:textFill>
            <w14:solidFill>
              <w14:schemeClr w14:val="tx1"/>
            </w14:solidFill>
          </w14:textFill>
        </w:rPr>
        <w:t>工作面</w:t>
      </w:r>
      <w:r>
        <w:rPr>
          <w:rFonts w:hint="eastAsia" w:ascii="仿宋" w:hAnsi="仿宋" w:eastAsia="仿宋" w:cs="仿宋_GB2312"/>
          <w:color w:val="000000" w:themeColor="text1"/>
          <w:sz w:val="24"/>
          <w14:textFill>
            <w14:solidFill>
              <w14:schemeClr w14:val="tx1"/>
            </w14:solidFill>
          </w14:textFill>
        </w:rPr>
        <w:t>内间距不超过</w:t>
      </w:r>
      <w:r>
        <w:rPr>
          <w:rFonts w:ascii="仿宋" w:hAnsi="仿宋" w:eastAsia="仿宋" w:cs="仿宋_GB2312"/>
          <w:color w:val="000000" w:themeColor="text1"/>
          <w:sz w:val="24"/>
          <w14:textFill>
            <w14:solidFill>
              <w14:schemeClr w14:val="tx1"/>
            </w14:solidFill>
          </w14:textFill>
        </w:rPr>
        <w:t>15m安设一台，用于</w:t>
      </w:r>
      <w:r>
        <w:rPr>
          <w:rFonts w:hint="eastAsia" w:ascii="仿宋" w:hAnsi="仿宋" w:eastAsia="仿宋" w:cs="仿宋_GB2312"/>
          <w:color w:val="000000" w:themeColor="text1"/>
          <w:sz w:val="24"/>
          <w14:textFill>
            <w14:solidFill>
              <w14:schemeClr w14:val="tx1"/>
            </w14:solidFill>
          </w14:textFill>
        </w:rPr>
        <w:t>工作面内部通信联络及三机控制。</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3、通信装置</w:t>
      </w:r>
      <w:r>
        <w:rPr>
          <w:rFonts w:ascii="仿宋" w:hAnsi="仿宋" w:eastAsia="仿宋" w:cs="仿宋_GB2312"/>
          <w:color w:val="000000" w:themeColor="text1"/>
          <w:sz w:val="24"/>
          <w14:textFill>
            <w14:solidFill>
              <w14:schemeClr w14:val="tx1"/>
            </w14:solidFill>
          </w14:textFill>
        </w:rPr>
        <w:t>及线路</w:t>
      </w:r>
      <w:r>
        <w:rPr>
          <w:rFonts w:hint="eastAsia" w:ascii="仿宋" w:hAnsi="仿宋" w:eastAsia="仿宋" w:cs="仿宋_GB2312"/>
          <w:color w:val="000000" w:themeColor="text1"/>
          <w:sz w:val="24"/>
          <w14:textFill>
            <w14:solidFill>
              <w14:schemeClr w14:val="tx1"/>
            </w14:solidFill>
          </w14:textFill>
        </w:rPr>
        <w:t>应</w:t>
      </w:r>
      <w:r>
        <w:rPr>
          <w:rFonts w:ascii="仿宋" w:hAnsi="仿宋" w:eastAsia="仿宋" w:cs="仿宋_GB2312"/>
          <w:color w:val="000000" w:themeColor="text1"/>
          <w:sz w:val="24"/>
          <w14:textFill>
            <w14:solidFill>
              <w14:schemeClr w14:val="tx1"/>
            </w14:solidFill>
          </w14:textFill>
        </w:rPr>
        <w:t>保持完好，</w:t>
      </w:r>
      <w:r>
        <w:rPr>
          <w:rFonts w:hint="eastAsia" w:ascii="仿宋" w:hAnsi="仿宋" w:eastAsia="仿宋" w:cs="仿宋_GB2312"/>
          <w:color w:val="000000" w:themeColor="text1"/>
          <w:sz w:val="24"/>
          <w14:textFill>
            <w14:solidFill>
              <w14:schemeClr w14:val="tx1"/>
            </w14:solidFill>
          </w14:textFill>
        </w:rPr>
        <w:t>严禁损坏。</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4、严禁私自改动通讯线路，确需要对通讯线路改动，必须经调度指挥中心同意。</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5、不得私自改变或影响通讯系统补偿电源的正常供电，当拆除或检修线路而影响通讯系统正常供电时，必须提前申请，不得私自进行。</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6、加强对责任范围内通讯装置的监护和管理，施工期间注意保护，出现通讯中断、信号故障时，要及时汇报矿调度指挥中心，及时处理。</w:t>
      </w:r>
    </w:p>
    <w:p>
      <w:pPr>
        <w:keepNext w:val="0"/>
        <w:keepLines w:val="0"/>
        <w:pageBreakBefore w:val="0"/>
        <w:widowControl w:val="0"/>
        <w:tabs>
          <w:tab w:val="left" w:pos="523"/>
        </w:tabs>
        <w:kinsoku/>
        <w:wordWrap/>
        <w:overflowPunct/>
        <w:topLinePunct w:val="0"/>
        <w:autoSpaceDE w:val="0"/>
        <w:autoSpaceDN w:val="0"/>
        <w:bidi w:val="0"/>
        <w:adjustRightInd w:val="0"/>
        <w:snapToGrid w:val="0"/>
        <w:spacing w:line="420" w:lineRule="exact"/>
        <w:ind w:firstLine="0" w:firstLineChars="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二、照明系统</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1、机巷照明灯间距均匀不大于30m,工作面内照明灯间距不大于15m；</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2、转载机头、皮带机头、皮带机尾等各转载点及人员休息处安设照明灯；</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3、移动变电站、乳化泵站、控制台、无极绳张紧装置及尾轮处安装照明灯，要求照明充足。</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20" w:lineRule="exact"/>
        <w:ind w:firstLine="480"/>
        <w:textAlignment w:val="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4、共采用</w:t>
      </w:r>
      <w:r>
        <w:rPr>
          <w:rFonts w:hint="eastAsia" w:ascii="仿宋" w:hAnsi="仿宋" w:eastAsia="仿宋" w:cs="仿宋_GB2312"/>
          <w:color w:val="000000" w:themeColor="text1"/>
          <w:sz w:val="24"/>
          <w:lang w:val="en-US" w:eastAsia="zh-CN"/>
          <w14:textFill>
            <w14:solidFill>
              <w14:schemeClr w14:val="tx1"/>
            </w14:solidFill>
          </w14:textFill>
        </w:rPr>
        <w:t>五</w:t>
      </w:r>
      <w:r>
        <w:rPr>
          <w:rFonts w:hint="eastAsia" w:ascii="仿宋" w:hAnsi="仿宋" w:eastAsia="仿宋" w:cs="仿宋_GB2312"/>
          <w:color w:val="000000" w:themeColor="text1"/>
          <w:sz w:val="24"/>
          <w14:textFill>
            <w14:solidFill>
              <w14:schemeClr w14:val="tx1"/>
            </w14:solidFill>
          </w14:textFill>
        </w:rPr>
        <w:t>台照明综保供电，位于机巷无极绳机头</w:t>
      </w:r>
      <w:r>
        <w:rPr>
          <w:rFonts w:hint="eastAsia" w:ascii="仿宋" w:hAnsi="仿宋" w:eastAsia="仿宋" w:cs="仿宋_GB2312"/>
          <w:color w:val="000000" w:themeColor="text1"/>
          <w:sz w:val="24"/>
          <w:lang w:eastAsia="zh-CN"/>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机巷</w:t>
      </w:r>
      <w:r>
        <w:rPr>
          <w:rFonts w:hint="eastAsia" w:ascii="仿宋" w:hAnsi="仿宋" w:eastAsia="仿宋" w:cs="仿宋_GB2312"/>
          <w:color w:val="000000" w:themeColor="text1"/>
          <w:sz w:val="24"/>
          <w:lang w:val="en-US" w:eastAsia="zh-CN"/>
          <w14:textFill>
            <w14:solidFill>
              <w14:schemeClr w14:val="tx1"/>
            </w14:solidFill>
          </w14:textFill>
        </w:rPr>
        <w:t>外口集控仓</w:t>
      </w:r>
      <w:r>
        <w:rPr>
          <w:rFonts w:hint="eastAsia" w:ascii="仿宋" w:hAnsi="仿宋" w:eastAsia="仿宋" w:cs="仿宋_GB2312"/>
          <w:color w:val="000000" w:themeColor="text1"/>
          <w:sz w:val="24"/>
          <w14:textFill>
            <w14:solidFill>
              <w14:schemeClr w14:val="tx1"/>
            </w14:solidFill>
          </w14:textFill>
        </w:rPr>
        <w:t>处</w:t>
      </w:r>
      <w:r>
        <w:rPr>
          <w:rFonts w:hint="eastAsia" w:ascii="仿宋" w:hAnsi="仿宋" w:eastAsia="仿宋" w:cs="仿宋_GB2312"/>
          <w:color w:val="000000" w:themeColor="text1"/>
          <w:sz w:val="24"/>
          <w:lang w:val="en-US" w:eastAsia="zh-CN"/>
          <w14:textFill>
            <w14:solidFill>
              <w14:schemeClr w14:val="tx1"/>
            </w14:solidFill>
          </w14:textFill>
        </w:rPr>
        <w:t>及机联巷移变处为</w:t>
      </w:r>
      <w:r>
        <w:rPr>
          <w:rFonts w:hint="eastAsia" w:ascii="仿宋" w:hAnsi="仿宋" w:eastAsia="仿宋" w:cs="仿宋_GB2312"/>
          <w:color w:val="000000" w:themeColor="text1"/>
          <w:sz w:val="24"/>
          <w14:textFill>
            <w14:solidFill>
              <w14:schemeClr w14:val="tx1"/>
            </w14:solidFill>
          </w14:textFill>
        </w:rPr>
        <w:t>机巷照明提供电源</w:t>
      </w:r>
      <w:r>
        <w:rPr>
          <w:rFonts w:hint="eastAsia" w:ascii="仿宋" w:hAnsi="仿宋" w:eastAsia="仿宋" w:cs="仿宋_GB2312"/>
          <w:color w:val="000000" w:themeColor="text1"/>
          <w:sz w:val="24"/>
          <w:lang w:eastAsia="zh-CN"/>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位于</w:t>
      </w:r>
      <w:r>
        <w:rPr>
          <w:rFonts w:hint="eastAsia" w:ascii="仿宋" w:hAnsi="仿宋" w:eastAsia="仿宋" w:cs="仿宋_GB2312"/>
          <w:color w:val="000000" w:themeColor="text1"/>
          <w:sz w:val="24"/>
          <w:lang w:val="en-US" w:eastAsia="zh-CN"/>
          <w14:textFill>
            <w14:solidFill>
              <w14:schemeClr w14:val="tx1"/>
            </w14:solidFill>
          </w14:textFill>
        </w:rPr>
        <w:t>机巷至切眼向外70m范围内1处2台</w:t>
      </w:r>
      <w:r>
        <w:rPr>
          <w:rFonts w:hint="eastAsia" w:ascii="仿宋" w:hAnsi="仿宋" w:eastAsia="仿宋" w:cs="仿宋_GB2312"/>
          <w:color w:val="000000" w:themeColor="text1"/>
          <w:sz w:val="24"/>
          <w14:textFill>
            <w14:solidFill>
              <w14:schemeClr w14:val="tx1"/>
            </w14:solidFill>
          </w14:textFill>
        </w:rPr>
        <w:t>，为工作面照明提供电源。</w:t>
      </w:r>
    </w:p>
    <w:p>
      <w:pPr>
        <w:pStyle w:val="4"/>
        <w:keepNext w:val="0"/>
        <w:keepLines w:val="0"/>
        <w:pageBreakBefore w:val="0"/>
        <w:widowControl w:val="0"/>
        <w:kinsoku/>
        <w:wordWrap/>
        <w:overflowPunct/>
        <w:topLinePunct w:val="0"/>
        <w:bidi w:val="0"/>
        <w:snapToGrid w:val="0"/>
        <w:spacing w:before="0" w:after="0" w:line="420" w:lineRule="exact"/>
        <w:ind w:firstLine="0" w:firstLineChars="0"/>
        <w:textAlignment w:val="auto"/>
        <w:rPr>
          <w:rFonts w:ascii="黑体" w:hAnsi="黑体" w:eastAsia="黑体" w:cs="仿宋_GB2312"/>
          <w:color w:val="FF0000"/>
          <w:sz w:val="28"/>
          <w:szCs w:val="28"/>
          <w:lang w:eastAsia="zh-TW"/>
        </w:rPr>
      </w:pPr>
      <w:bookmarkStart w:id="217" w:name="_Toc496212765"/>
      <w:bookmarkStart w:id="218" w:name="_Toc496212766"/>
    </w:p>
    <w:p>
      <w:pPr>
        <w:pStyle w:val="4"/>
        <w:keepNext w:val="0"/>
        <w:keepLines w:val="0"/>
        <w:pageBreakBefore w:val="0"/>
        <w:widowControl w:val="0"/>
        <w:kinsoku/>
        <w:wordWrap/>
        <w:overflowPunct/>
        <w:topLinePunct w:val="0"/>
        <w:bidi w:val="0"/>
        <w:snapToGrid w:val="0"/>
        <w:spacing w:before="0" w:after="0" w:line="420" w:lineRule="exact"/>
        <w:ind w:firstLine="0" w:firstLineChars="0"/>
        <w:textAlignment w:val="auto"/>
        <w:rPr>
          <w:rFonts w:ascii="仿宋" w:hAnsi="仿宋" w:eastAsia="仿宋"/>
          <w:color w:val="000000" w:themeColor="text1"/>
          <w14:textFill>
            <w14:solidFill>
              <w14:schemeClr w14:val="tx1"/>
            </w14:solidFill>
          </w14:textFill>
        </w:rPr>
      </w:pPr>
      <w:r>
        <w:rPr>
          <w:rFonts w:hint="eastAsia" w:ascii="黑体" w:hAnsi="黑体" w:eastAsia="黑体" w:cs="仿宋_GB2312"/>
          <w:color w:val="000000" w:themeColor="text1"/>
          <w:sz w:val="28"/>
          <w:szCs w:val="28"/>
          <w:lang w:eastAsia="zh-TW"/>
          <w14:textFill>
            <w14:solidFill>
              <w14:schemeClr w14:val="tx1"/>
            </w14:solidFill>
          </w14:textFill>
        </w:rPr>
        <w:t>第</w:t>
      </w:r>
      <w:r>
        <w:rPr>
          <w:rFonts w:hint="eastAsia" w:ascii="黑体" w:hAnsi="黑体" w:eastAsia="黑体" w:cs="仿宋_GB2312"/>
          <w:color w:val="000000" w:themeColor="text1"/>
          <w:sz w:val="28"/>
          <w:szCs w:val="28"/>
          <w14:textFill>
            <w14:solidFill>
              <w14:schemeClr w14:val="tx1"/>
            </w14:solidFill>
          </w14:textFill>
        </w:rPr>
        <w:t>七</w:t>
      </w:r>
      <w:r>
        <w:rPr>
          <w:rFonts w:hint="eastAsia" w:ascii="黑体" w:hAnsi="黑体" w:eastAsia="黑体" w:cs="仿宋_GB2312"/>
          <w:color w:val="000000" w:themeColor="text1"/>
          <w:sz w:val="28"/>
          <w:szCs w:val="28"/>
          <w:lang w:eastAsia="zh-TW"/>
          <w14:textFill>
            <w14:solidFill>
              <w14:schemeClr w14:val="tx1"/>
            </w14:solidFill>
          </w14:textFill>
        </w:rPr>
        <w:t>节</w:t>
      </w:r>
      <w:r>
        <w:rPr>
          <w:rFonts w:hint="eastAsia" w:ascii="黑体" w:hAnsi="黑体" w:eastAsia="黑体" w:cs="仿宋_GB2312"/>
          <w:color w:val="000000" w:themeColor="text1"/>
          <w:sz w:val="28"/>
          <w:szCs w:val="28"/>
          <w14:textFill>
            <w14:solidFill>
              <w14:schemeClr w14:val="tx1"/>
            </w14:solidFill>
          </w14:textFill>
        </w:rPr>
        <w:t xml:space="preserve">  安全监控</w:t>
      </w:r>
      <w:r>
        <w:rPr>
          <w:rFonts w:hint="eastAsia" w:ascii="黑体" w:hAnsi="黑体" w:eastAsia="黑体" w:cs="仿宋_GB2312"/>
          <w:color w:val="000000" w:themeColor="text1"/>
          <w:sz w:val="28"/>
          <w:szCs w:val="28"/>
          <w:lang w:eastAsia="zh-TW"/>
          <w14:textFill>
            <w14:solidFill>
              <w14:schemeClr w14:val="tx1"/>
            </w14:solidFill>
          </w14:textFill>
        </w:rPr>
        <w:t>系统</w:t>
      </w:r>
      <w:bookmarkEnd w:id="217"/>
    </w:p>
    <w:bookmarkEnd w:id="218"/>
    <w:p>
      <w:pPr>
        <w:keepNext w:val="0"/>
        <w:keepLines w:val="0"/>
        <w:pageBreakBefore w:val="0"/>
        <w:widowControl w:val="0"/>
        <w:kinsoku/>
        <w:wordWrap/>
        <w:overflowPunct/>
        <w:topLinePunct w:val="0"/>
        <w:bidi w:val="0"/>
        <w:adjustRightInd w:val="0"/>
        <w:snapToGrid w:val="0"/>
        <w:spacing w:line="420" w:lineRule="exact"/>
        <w:ind w:firstLine="0" w:firstLineChars="0"/>
        <w:textAlignment w:val="auto"/>
        <w:rPr>
          <w:rFonts w:ascii="仿宋" w:hAnsi="仿宋" w:eastAsia="仿宋" w:cs="仿宋"/>
          <w:b/>
          <w:bCs/>
          <w:color w:val="000000" w:themeColor="text1"/>
          <w:sz w:val="24"/>
          <w14:textFill>
            <w14:solidFill>
              <w14:schemeClr w14:val="tx1"/>
            </w14:solidFill>
          </w14:textFill>
        </w:rPr>
      </w:pPr>
      <w:bookmarkStart w:id="219" w:name="_Toc496212767"/>
      <w:r>
        <w:rPr>
          <w:rFonts w:hint="eastAsia" w:ascii="仿宋" w:hAnsi="仿宋" w:eastAsia="仿宋" w:cs="仿宋"/>
          <w:b/>
          <w:bCs/>
          <w:color w:val="000000" w:themeColor="text1"/>
          <w:sz w:val="24"/>
          <w14:textFill>
            <w14:solidFill>
              <w14:schemeClr w14:val="tx1"/>
            </w14:solidFill>
          </w14:textFill>
        </w:rPr>
        <w:t>一、安全监控设备的种类数量：</w:t>
      </w:r>
    </w:p>
    <w:p>
      <w:pPr>
        <w:keepNext w:val="0"/>
        <w:keepLines w:val="0"/>
        <w:pageBreakBefore w:val="0"/>
        <w:widowControl w:val="0"/>
        <w:kinsoku/>
        <w:wordWrap/>
        <w:overflowPunct/>
        <w:topLinePunct w:val="0"/>
        <w:bidi w:val="0"/>
        <w:adjustRightInd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实现1303采煤工作面甲烷超限声光报警、断电闭锁功能、故障闭锁功能，本安全监控系统为KJ73X型，工作面需安设监控分站KJ306-F(16)H型3台，馈电断电器KDG24(C)型2台，激光甲烷传感器GJG100J（B）型5台，粉尘传感器GCG1000A型1台、一氧化碳传感器GTH1000型2台,温度传感器GW200型2台，氧气传感器GYH25型1台、烟雾传感器GQQ5型1台。随着工作面回采，根据现场实际生产作业活动，按照《煤矿安全规程》要求进行安装、拆除传感器。</w:t>
      </w:r>
    </w:p>
    <w:p>
      <w:pPr>
        <w:keepNext w:val="0"/>
        <w:keepLines w:val="0"/>
        <w:pageBreakBefore w:val="0"/>
        <w:widowControl w:val="0"/>
        <w:kinsoku/>
        <w:wordWrap/>
        <w:overflowPunct/>
        <w:topLinePunct w:val="0"/>
        <w:bidi w:val="0"/>
        <w:adjustRightInd w:val="0"/>
        <w:snapToGrid w:val="0"/>
        <w:spacing w:line="420" w:lineRule="exact"/>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二、安全监控设备的安设位置：</w:t>
      </w:r>
    </w:p>
    <w:p>
      <w:pPr>
        <w:keepNext w:val="0"/>
        <w:keepLines w:val="0"/>
        <w:pageBreakBefore w:val="0"/>
        <w:widowControl w:val="0"/>
        <w:kinsoku/>
        <w:wordWrap/>
        <w:overflowPunct/>
        <w:topLinePunct w:val="0"/>
        <w:bidi w:val="0"/>
        <w:adjustRightInd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进风T：安设在采煤工作面进风巷，距工作面不大于10米范围内；</w:t>
      </w:r>
    </w:p>
    <w:p>
      <w:pPr>
        <w:keepNext w:val="0"/>
        <w:keepLines w:val="0"/>
        <w:pageBreakBefore w:val="0"/>
        <w:widowControl w:val="0"/>
        <w:kinsoku/>
        <w:wordWrap/>
        <w:overflowPunct/>
        <w:topLinePunct w:val="0"/>
        <w:bidi w:val="0"/>
        <w:adjustRightInd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T0：安设在回风隅角，距老塘和风巷巷帮均不大于800mm；</w:t>
      </w:r>
    </w:p>
    <w:p>
      <w:pPr>
        <w:keepNext w:val="0"/>
        <w:keepLines w:val="0"/>
        <w:pageBreakBefore w:val="0"/>
        <w:widowControl w:val="0"/>
        <w:kinsoku/>
        <w:wordWrap/>
        <w:overflowPunct/>
        <w:topLinePunct w:val="0"/>
        <w:bidi w:val="0"/>
        <w:adjustRightInd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T1：安设在回风流，距工作面煤壁10m范围内；</w:t>
      </w:r>
    </w:p>
    <w:p>
      <w:pPr>
        <w:keepNext w:val="0"/>
        <w:keepLines w:val="0"/>
        <w:pageBreakBefore w:val="0"/>
        <w:widowControl w:val="0"/>
        <w:kinsoku/>
        <w:wordWrap/>
        <w:overflowPunct/>
        <w:topLinePunct w:val="0"/>
        <w:bidi w:val="0"/>
        <w:adjustRightInd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T2：安设在距离1303工作面风巷出风口以里10～15m范围内；</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7#分站安装1303机巷车场，13#和17#分站安装在北翼皮带机大巷配电点。在工作面回风T2位置安设CO和温度传感器各1台，T0位置安设氧气传感器 1台，T1位置安设温度传感器1台。1303机巷带式输送机滚筒下风侧10～15m范围内安装烟雾传感器和一氧化碳传感器各1台。粉尘传感器安设在采煤工作面回风巷距切眼10～15m范围内，高度为1.5-2.0m人员呼吸位置。2台馈电传感器</w:t>
      </w:r>
      <w:r>
        <w:rPr>
          <w:rFonts w:hint="eastAsia" w:ascii="仿宋" w:hAnsi="仿宋" w:eastAsia="仿宋" w:cs="仿宋"/>
          <w:color w:val="000000" w:themeColor="text1"/>
          <w:sz w:val="24"/>
          <w:lang w:val="en-US" w:eastAsia="zh-CN"/>
          <w14:textFill>
            <w14:solidFill>
              <w14:schemeClr w14:val="tx1"/>
            </w14:solidFill>
          </w14:textFill>
        </w:rPr>
        <w:t>1303机联巷配电点</w:t>
      </w:r>
      <w:r>
        <w:rPr>
          <w:rFonts w:hint="eastAsia" w:ascii="仿宋" w:hAnsi="仿宋" w:eastAsia="仿宋" w:cs="仿宋"/>
          <w:color w:val="000000" w:themeColor="text1"/>
          <w:sz w:val="24"/>
          <w14:textFill>
            <w14:solidFill>
              <w14:schemeClr w14:val="tx1"/>
            </w14:solidFill>
          </w14:textFill>
        </w:rPr>
        <w:t>A-</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和B-</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高爆开关负荷侧。</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感器应安设在顶帮良好，无片帮、冒顶，无淋水的安全地点，并垂直悬挂在巷道上方风流稳定的位置，距顶板（顶梁）不得大于300mm，距巷道侧壁不得小于200mm，安装维护方便，不影响行人和行车，并挂牌管理。</w:t>
      </w:r>
    </w:p>
    <w:p>
      <w:pPr>
        <w:adjustRightInd w:val="0"/>
        <w:snapToGrid w:val="0"/>
        <w:spacing w:line="440" w:lineRule="exac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三、安全监控设备的报警浓度、断电浓度、复电浓度和断电范围如下表（表20）：</w:t>
      </w:r>
    </w:p>
    <w:tbl>
      <w:tblPr>
        <w:tblStyle w:val="36"/>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1276"/>
        <w:gridCol w:w="1276"/>
        <w:gridCol w:w="1134"/>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76"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甲烷传感器编号</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报警浓度</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断电浓度</w:t>
            </w:r>
          </w:p>
        </w:tc>
        <w:tc>
          <w:tcPr>
            <w:tcW w:w="1134"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复电浓度</w:t>
            </w:r>
          </w:p>
        </w:tc>
        <w:tc>
          <w:tcPr>
            <w:tcW w:w="3543"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断电范围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进风T</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≥0.5%CH4</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≥0.5%CH4</w:t>
            </w:r>
          </w:p>
        </w:tc>
        <w:tc>
          <w:tcPr>
            <w:tcW w:w="1134"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&lt;0.5%CH4</w:t>
            </w:r>
          </w:p>
        </w:tc>
        <w:tc>
          <w:tcPr>
            <w:tcW w:w="3543"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工作面及其进回风巷内全部非本质安全型电气设备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7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T0</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≥1.0%CH4</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≥1.5%CH4</w:t>
            </w:r>
          </w:p>
        </w:tc>
        <w:tc>
          <w:tcPr>
            <w:tcW w:w="1134"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&lt;1.0%CH4</w:t>
            </w:r>
          </w:p>
        </w:tc>
        <w:tc>
          <w:tcPr>
            <w:tcW w:w="3543"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工作面及其回风巷内全部非本质安全型电气设备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T1</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≥1.0%CH4</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≥1.5%CH4</w:t>
            </w:r>
          </w:p>
        </w:tc>
        <w:tc>
          <w:tcPr>
            <w:tcW w:w="1134"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&lt;1.0%CH4</w:t>
            </w:r>
          </w:p>
        </w:tc>
        <w:tc>
          <w:tcPr>
            <w:tcW w:w="3543"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工作面及其回风巷内全部非本质安全型电气设备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T2</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w:t>
            </w:r>
            <w:r>
              <w:rPr>
                <w:rFonts w:hint="eastAsia" w:ascii="仿宋" w:hAnsi="仿宋" w:eastAsia="仿宋" w:cs="仿宋"/>
                <w:color w:val="000000" w:themeColor="text1"/>
                <w:sz w:val="20"/>
                <w:szCs w:val="20"/>
                <w:lang w:val="en-US" w:eastAsia="zh-CN"/>
                <w14:textFill>
                  <w14:solidFill>
                    <w14:schemeClr w14:val="tx1"/>
                  </w14:solidFill>
                </w14:textFill>
              </w:rPr>
              <w:t>0.8</w:t>
            </w:r>
            <w:r>
              <w:rPr>
                <w:rFonts w:hint="eastAsia" w:ascii="仿宋" w:hAnsi="仿宋" w:eastAsia="仿宋" w:cs="仿宋"/>
                <w:color w:val="000000" w:themeColor="text1"/>
                <w:sz w:val="20"/>
                <w:szCs w:val="20"/>
                <w14:textFill>
                  <w14:solidFill>
                    <w14:schemeClr w14:val="tx1"/>
                  </w14:solidFill>
                </w14:textFill>
              </w:rPr>
              <w:t>%CH4</w:t>
            </w:r>
          </w:p>
        </w:tc>
        <w:tc>
          <w:tcPr>
            <w:tcW w:w="1276"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w:t>
            </w:r>
            <w:r>
              <w:rPr>
                <w:rFonts w:hint="eastAsia" w:ascii="仿宋" w:hAnsi="仿宋" w:eastAsia="仿宋" w:cs="仿宋"/>
                <w:color w:val="000000" w:themeColor="text1"/>
                <w:sz w:val="20"/>
                <w:szCs w:val="20"/>
                <w:lang w:val="en-US" w:eastAsia="zh-CN"/>
                <w14:textFill>
                  <w14:solidFill>
                    <w14:schemeClr w14:val="tx1"/>
                  </w14:solidFill>
                </w14:textFill>
              </w:rPr>
              <w:t>0.8</w:t>
            </w:r>
            <w:r>
              <w:rPr>
                <w:rFonts w:hint="eastAsia" w:ascii="仿宋" w:hAnsi="仿宋" w:eastAsia="仿宋" w:cs="仿宋"/>
                <w:color w:val="000000" w:themeColor="text1"/>
                <w:sz w:val="20"/>
                <w:szCs w:val="20"/>
                <w14:textFill>
                  <w14:solidFill>
                    <w14:schemeClr w14:val="tx1"/>
                  </w14:solidFill>
                </w14:textFill>
              </w:rPr>
              <w:t>%CH4</w:t>
            </w:r>
          </w:p>
        </w:tc>
        <w:tc>
          <w:tcPr>
            <w:tcW w:w="1134"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&lt;</w:t>
            </w:r>
            <w:r>
              <w:rPr>
                <w:rFonts w:hint="eastAsia" w:ascii="仿宋" w:hAnsi="仿宋" w:eastAsia="仿宋" w:cs="仿宋"/>
                <w:color w:val="000000" w:themeColor="text1"/>
                <w:sz w:val="20"/>
                <w:szCs w:val="20"/>
                <w:lang w:val="en-US" w:eastAsia="zh-CN"/>
                <w14:textFill>
                  <w14:solidFill>
                    <w14:schemeClr w14:val="tx1"/>
                  </w14:solidFill>
                </w14:textFill>
              </w:rPr>
              <w:t>0.8</w:t>
            </w:r>
            <w:r>
              <w:rPr>
                <w:rFonts w:hint="eastAsia" w:ascii="仿宋" w:hAnsi="仿宋" w:eastAsia="仿宋" w:cs="仿宋"/>
                <w:color w:val="000000" w:themeColor="text1"/>
                <w:sz w:val="20"/>
                <w:szCs w:val="20"/>
                <w14:textFill>
                  <w14:solidFill>
                    <w14:schemeClr w14:val="tx1"/>
                  </w14:solidFill>
                </w14:textFill>
              </w:rPr>
              <w:t>%CH4</w:t>
            </w:r>
          </w:p>
        </w:tc>
        <w:tc>
          <w:tcPr>
            <w:tcW w:w="3543" w:type="dxa"/>
            <w:vAlign w:val="center"/>
          </w:tcPr>
          <w:p>
            <w:pPr>
              <w:adjustRightInd w:val="0"/>
              <w:snapToGrid w:val="0"/>
              <w:spacing w:line="240" w:lineRule="atLeast"/>
              <w:ind w:firstLine="0" w:firstLineChars="0"/>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工作面及其回风巷内全部非本质安全型电气设备</w:t>
            </w:r>
          </w:p>
        </w:tc>
      </w:tr>
    </w:tbl>
    <w:p>
      <w:pPr>
        <w:pStyle w:val="64"/>
        <w:keepNext w:val="0"/>
        <w:keepLines w:val="0"/>
        <w:pageBreakBefore w:val="0"/>
        <w:widowControl/>
        <w:kinsoku/>
        <w:wordWrap/>
        <w:overflowPunct/>
        <w:topLinePunct w:val="0"/>
        <w:autoSpaceDE/>
        <w:autoSpaceDN/>
        <w:bidi w:val="0"/>
        <w:adjustRightInd/>
        <w:snapToGrid w:val="0"/>
        <w:spacing w:beforeLines="0" w:afterLines="0" w:line="400" w:lineRule="exact"/>
        <w:ind w:firstLine="480"/>
        <w:textAlignment w:val="baseline"/>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当甲烷传感器报警时，工作面必须撤出人员及时进行处理。</w:t>
      </w:r>
    </w:p>
    <w:p>
      <w:pPr>
        <w:pStyle w:val="64"/>
        <w:keepNext w:val="0"/>
        <w:keepLines w:val="0"/>
        <w:pageBreakBefore w:val="0"/>
        <w:widowControl/>
        <w:kinsoku/>
        <w:wordWrap/>
        <w:overflowPunct/>
        <w:topLinePunct w:val="0"/>
        <w:autoSpaceDE/>
        <w:autoSpaceDN/>
        <w:bidi w:val="0"/>
        <w:adjustRightInd/>
        <w:snapToGrid w:val="0"/>
        <w:spacing w:beforeLines="0" w:afterLines="0" w:line="400" w:lineRule="exact"/>
        <w:ind w:firstLine="480"/>
        <w:textAlignment w:val="baseline"/>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温度传感器报警值≥30℃，CO传感器报警值≥24ppm，O</w:t>
      </w:r>
      <w:r>
        <w:rPr>
          <w:rFonts w:hint="eastAsia" w:ascii="仿宋" w:hAnsi="仿宋" w:eastAsia="仿宋" w:cs="仿宋"/>
          <w:color w:val="000000" w:themeColor="text1"/>
          <w:vertAlign w:val="subscript"/>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传感器报警浓度</w:t>
      </w:r>
      <w:r>
        <w:rPr>
          <w:rFonts w:hint="eastAsia" w:ascii="仿宋" w:hAnsi="仿宋" w:eastAsia="仿宋" w:cs="仿宋"/>
          <w:color w:val="000000" w:themeColor="text1"/>
          <w:lang w:val="en-US"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18.5%。</w:t>
      </w:r>
    </w:p>
    <w:p>
      <w:pPr>
        <w:pStyle w:val="64"/>
        <w:keepNext w:val="0"/>
        <w:keepLines w:val="0"/>
        <w:pageBreakBefore w:val="0"/>
        <w:widowControl/>
        <w:kinsoku/>
        <w:wordWrap/>
        <w:overflowPunct/>
        <w:topLinePunct w:val="0"/>
        <w:autoSpaceDE/>
        <w:autoSpaceDN/>
        <w:bidi w:val="0"/>
        <w:adjustRightInd/>
        <w:snapToGrid w:val="0"/>
        <w:spacing w:beforeLines="0" w:afterLines="0" w:line="400" w:lineRule="exact"/>
        <w:ind w:firstLine="0" w:firstLineChars="0"/>
        <w:textAlignment w:val="baseline"/>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四、工作面采煤机、</w:t>
      </w:r>
      <w:r>
        <w:rPr>
          <w:rFonts w:hint="eastAsia" w:ascii="仿宋" w:hAnsi="仿宋" w:eastAsia="仿宋" w:cs="仿宋"/>
          <w:b/>
          <w:bCs/>
          <w:color w:val="000000" w:themeColor="text1"/>
          <w:lang w:val="en-US" w:eastAsia="zh-CN"/>
          <w14:textFill>
            <w14:solidFill>
              <w14:schemeClr w14:val="tx1"/>
            </w14:solidFill>
          </w14:textFill>
        </w:rPr>
        <w:t>无轨胶轮车</w:t>
      </w:r>
      <w:r>
        <w:rPr>
          <w:rFonts w:hint="eastAsia" w:ascii="仿宋" w:hAnsi="仿宋" w:eastAsia="仿宋" w:cs="仿宋"/>
          <w:b/>
          <w:bCs/>
          <w:color w:val="000000" w:themeColor="text1"/>
          <w14:textFill>
            <w14:solidFill>
              <w14:schemeClr w14:val="tx1"/>
            </w14:solidFill>
          </w14:textFill>
        </w:rPr>
        <w:t>、钻机必须设置机载式甲烷断电仪或便携式甲烷检测报警仪，其报警浓度、断电浓度、复电浓度和断电范围如下表（表21）</w:t>
      </w:r>
      <w:r>
        <w:rPr>
          <w:rFonts w:hint="eastAsia" w:ascii="仿宋" w:hAnsi="仿宋" w:eastAsia="仿宋" w:cs="仿宋"/>
          <w:color w:val="000000" w:themeColor="text1"/>
          <w14:textFill>
            <w14:solidFill>
              <w14:schemeClr w14:val="tx1"/>
            </w14:solidFill>
          </w14:textFill>
        </w:rPr>
        <w:t>：</w:t>
      </w:r>
    </w:p>
    <w:tbl>
      <w:tblPr>
        <w:tblStyle w:val="36"/>
        <w:tblW w:w="9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439"/>
        <w:gridCol w:w="1441"/>
        <w:gridCol w:w="1800"/>
        <w:gridCol w:w="2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1"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甲烷传感器编号</w:t>
            </w:r>
          </w:p>
        </w:tc>
        <w:tc>
          <w:tcPr>
            <w:tcW w:w="1439"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报警浓度</w:t>
            </w:r>
          </w:p>
        </w:tc>
        <w:tc>
          <w:tcPr>
            <w:tcW w:w="1441"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断电浓度</w:t>
            </w:r>
          </w:p>
        </w:tc>
        <w:tc>
          <w:tcPr>
            <w:tcW w:w="1800"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复电浓度</w:t>
            </w:r>
          </w:p>
        </w:tc>
        <w:tc>
          <w:tcPr>
            <w:tcW w:w="2566"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断电范围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1"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采煤机T</w:t>
            </w:r>
          </w:p>
        </w:tc>
        <w:tc>
          <w:tcPr>
            <w:tcW w:w="1439"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≥1.0%CH4</w:t>
            </w:r>
          </w:p>
        </w:tc>
        <w:tc>
          <w:tcPr>
            <w:tcW w:w="1441"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≥1.5%CH4</w:t>
            </w:r>
          </w:p>
        </w:tc>
        <w:tc>
          <w:tcPr>
            <w:tcW w:w="1800"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&lt;1.0%CH4</w:t>
            </w:r>
          </w:p>
        </w:tc>
        <w:tc>
          <w:tcPr>
            <w:tcW w:w="2566"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采煤机及刮板输送机电源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981"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无轨胶轮车</w:t>
            </w:r>
            <w:r>
              <w:rPr>
                <w:rFonts w:hint="eastAsia" w:ascii="仿宋" w:hAnsi="仿宋" w:eastAsia="仿宋" w:cs="仿宋"/>
                <w:color w:val="000000" w:themeColor="text1"/>
                <w:szCs w:val="21"/>
                <w14:textFill>
                  <w14:solidFill>
                    <w14:schemeClr w14:val="tx1"/>
                  </w14:solidFill>
                </w14:textFill>
              </w:rPr>
              <w:t>T</w:t>
            </w:r>
          </w:p>
        </w:tc>
        <w:tc>
          <w:tcPr>
            <w:tcW w:w="1439"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≥0.5%CH4</w:t>
            </w:r>
          </w:p>
        </w:tc>
        <w:tc>
          <w:tcPr>
            <w:tcW w:w="1441"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≥0.5%CH4</w:t>
            </w:r>
          </w:p>
        </w:tc>
        <w:tc>
          <w:tcPr>
            <w:tcW w:w="1800"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&lt;0.5%CH4</w:t>
            </w:r>
          </w:p>
        </w:tc>
        <w:tc>
          <w:tcPr>
            <w:tcW w:w="2566"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无轨胶轮车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981"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钻机T</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风巷</w:t>
            </w:r>
            <w:r>
              <w:rPr>
                <w:rFonts w:hint="eastAsia" w:ascii="仿宋" w:hAnsi="仿宋" w:eastAsia="仿宋" w:cs="仿宋"/>
                <w:color w:val="000000" w:themeColor="text1"/>
                <w:szCs w:val="21"/>
                <w:lang w:eastAsia="zh-CN"/>
                <w14:textFill>
                  <w14:solidFill>
                    <w14:schemeClr w14:val="tx1"/>
                  </w14:solidFill>
                </w14:textFill>
              </w:rPr>
              <w:t>）</w:t>
            </w:r>
          </w:p>
        </w:tc>
        <w:tc>
          <w:tcPr>
            <w:tcW w:w="1439"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≥1.0%CH4</w:t>
            </w:r>
          </w:p>
        </w:tc>
        <w:tc>
          <w:tcPr>
            <w:tcW w:w="1441"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≥1.0%CH4</w:t>
            </w:r>
          </w:p>
        </w:tc>
        <w:tc>
          <w:tcPr>
            <w:tcW w:w="1800"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&lt;1.0%CH4</w:t>
            </w:r>
          </w:p>
        </w:tc>
        <w:tc>
          <w:tcPr>
            <w:tcW w:w="2566" w:type="dxa"/>
            <w:vAlign w:val="center"/>
          </w:tcPr>
          <w:p>
            <w:pPr>
              <w:adjustRightInd w:val="0"/>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钻机电源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81"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钻机T</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机巷</w:t>
            </w:r>
            <w:r>
              <w:rPr>
                <w:rFonts w:hint="eastAsia" w:ascii="仿宋" w:hAnsi="仿宋" w:eastAsia="仿宋" w:cs="仿宋"/>
                <w:color w:val="000000" w:themeColor="text1"/>
                <w:szCs w:val="21"/>
                <w:lang w:eastAsia="zh-CN"/>
                <w14:textFill>
                  <w14:solidFill>
                    <w14:schemeClr w14:val="tx1"/>
                  </w14:solidFill>
                </w14:textFill>
              </w:rPr>
              <w:t>）</w:t>
            </w:r>
          </w:p>
        </w:tc>
        <w:tc>
          <w:tcPr>
            <w:tcW w:w="1439"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0.5</w:t>
            </w:r>
            <w:r>
              <w:rPr>
                <w:rFonts w:hint="eastAsia" w:ascii="仿宋" w:hAnsi="仿宋" w:eastAsia="仿宋" w:cs="仿宋"/>
                <w:color w:val="000000" w:themeColor="text1"/>
                <w:szCs w:val="21"/>
                <w14:textFill>
                  <w14:solidFill>
                    <w14:schemeClr w14:val="tx1"/>
                  </w14:solidFill>
                </w14:textFill>
              </w:rPr>
              <w:t>%CH4</w:t>
            </w:r>
          </w:p>
        </w:tc>
        <w:tc>
          <w:tcPr>
            <w:tcW w:w="1441"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0.5</w:t>
            </w:r>
            <w:r>
              <w:rPr>
                <w:rFonts w:hint="eastAsia" w:ascii="仿宋" w:hAnsi="仿宋" w:eastAsia="仿宋" w:cs="仿宋"/>
                <w:color w:val="000000" w:themeColor="text1"/>
                <w:szCs w:val="21"/>
                <w14:textFill>
                  <w14:solidFill>
                    <w14:schemeClr w14:val="tx1"/>
                  </w14:solidFill>
                </w14:textFill>
              </w:rPr>
              <w:t>%CH4</w:t>
            </w:r>
          </w:p>
        </w:tc>
        <w:tc>
          <w:tcPr>
            <w:tcW w:w="1800"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&lt;</w:t>
            </w:r>
            <w:r>
              <w:rPr>
                <w:rFonts w:hint="eastAsia" w:ascii="仿宋" w:hAnsi="仿宋" w:eastAsia="仿宋" w:cs="仿宋"/>
                <w:color w:val="000000" w:themeColor="text1"/>
                <w:szCs w:val="21"/>
                <w:lang w:val="en-US" w:eastAsia="zh-CN"/>
                <w14:textFill>
                  <w14:solidFill>
                    <w14:schemeClr w14:val="tx1"/>
                  </w14:solidFill>
                </w14:textFill>
              </w:rPr>
              <w:t>0.5</w:t>
            </w:r>
            <w:r>
              <w:rPr>
                <w:rFonts w:hint="eastAsia" w:ascii="仿宋" w:hAnsi="仿宋" w:eastAsia="仿宋" w:cs="仿宋"/>
                <w:color w:val="000000" w:themeColor="text1"/>
                <w:szCs w:val="21"/>
                <w14:textFill>
                  <w14:solidFill>
                    <w14:schemeClr w14:val="tx1"/>
                  </w14:solidFill>
                </w14:textFill>
              </w:rPr>
              <w:t>%CH4</w:t>
            </w:r>
          </w:p>
        </w:tc>
        <w:tc>
          <w:tcPr>
            <w:tcW w:w="2566" w:type="dxa"/>
            <w:vAlign w:val="center"/>
          </w:tcPr>
          <w:p>
            <w:pPr>
              <w:adjustRightInd w:val="0"/>
              <w:snapToGrid w:val="0"/>
              <w:spacing w:line="240" w:lineRule="atLeast"/>
              <w:ind w:firstLine="0" w:firstLineChars="0"/>
              <w:jc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钻机电源</w:t>
            </w:r>
          </w:p>
        </w:tc>
      </w:tr>
    </w:tbl>
    <w:p>
      <w:pPr>
        <w:pStyle w:val="64"/>
        <w:keepNext w:val="0"/>
        <w:keepLines w:val="0"/>
        <w:pageBreakBefore w:val="0"/>
        <w:kinsoku/>
        <w:wordWrap/>
        <w:overflowPunct/>
        <w:topLinePunct w:val="0"/>
        <w:autoSpaceDE/>
        <w:autoSpaceDN/>
        <w:bidi w:val="0"/>
        <w:snapToGrid w:val="0"/>
        <w:spacing w:beforeLines="0" w:afterLines="0" w:line="360" w:lineRule="auto"/>
        <w:ind w:firstLine="0" w:firstLineChars="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五、安全监控设备闭锁功能规定</w:t>
      </w:r>
    </w:p>
    <w:p>
      <w:pPr>
        <w:pStyle w:val="64"/>
        <w:keepNext w:val="0"/>
        <w:keepLines w:val="0"/>
        <w:pageBreakBefore w:val="0"/>
        <w:kinsoku/>
        <w:wordWrap/>
        <w:overflowPunct/>
        <w:topLinePunct w:val="0"/>
        <w:autoSpaceDE/>
        <w:autoSpaceDN/>
        <w:bidi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（一）瓦斯电闭锁</w:t>
      </w:r>
    </w:p>
    <w:p>
      <w:pPr>
        <w:pStyle w:val="64"/>
        <w:keepNext w:val="0"/>
        <w:keepLines w:val="0"/>
        <w:pageBreakBefore w:val="0"/>
        <w:kinsoku/>
        <w:wordWrap/>
        <w:overflowPunct/>
        <w:topLinePunct w:val="0"/>
        <w:autoSpaceDE/>
        <w:autoSpaceDN/>
        <w:bidi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当采煤工作面或回风流中瓦斯超限，达到断电浓度时，工作面及回风巷内所有非本质安全型电气设备立即断电，撤出工作面所有人员，待工作面回风流中瓦斯浓度断电浓度时，方可人工复电，恢复正常生产。监测队负责至少每15天测试一次甲烷电闭锁功能。</w:t>
      </w:r>
    </w:p>
    <w:p>
      <w:pPr>
        <w:pStyle w:val="64"/>
        <w:keepNext w:val="0"/>
        <w:keepLines w:val="0"/>
        <w:pageBreakBefore w:val="0"/>
        <w:kinsoku/>
        <w:wordWrap/>
        <w:overflowPunct/>
        <w:topLinePunct w:val="0"/>
        <w:autoSpaceDE/>
        <w:autoSpaceDN/>
        <w:bidi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（二）故障闭锁</w:t>
      </w:r>
    </w:p>
    <w:p>
      <w:pPr>
        <w:pStyle w:val="64"/>
        <w:keepNext w:val="0"/>
        <w:keepLines w:val="0"/>
        <w:pageBreakBefore w:val="0"/>
        <w:kinsoku/>
        <w:wordWrap/>
        <w:overflowPunct/>
        <w:topLinePunct w:val="0"/>
        <w:autoSpaceDE/>
        <w:autoSpaceDN/>
        <w:bidi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当采煤工作面监控设备出现故障时，立即切断监控设备控制范围内的全部非本质安全型电气设备，待工作面甲烷传感器恢复正常后，方可人工复电，恢复正常作业生产。与闭锁控制有关的设备(含分站、甲烷传感器、电源、断电控制器、电缆、接线盒等)故障或断电时，声光报警、切断该设备所监控区域的全部非本质安全型电气设备的电源并闭锁；与闭锁控制有关的设备接通电源1min内，继续闭锁该设备所监控区域的全部非本质安全型电气设备的电源；当与闭锁控制有关的设备工作正常并稳定运行后，自动解锁。</w:t>
      </w:r>
    </w:p>
    <w:p>
      <w:pPr>
        <w:pStyle w:val="64"/>
        <w:keepNext w:val="0"/>
        <w:keepLines w:val="0"/>
        <w:pageBreakBefore w:val="0"/>
        <w:kinsoku/>
        <w:wordWrap/>
        <w:overflowPunct/>
        <w:topLinePunct w:val="0"/>
        <w:autoSpaceDE/>
        <w:autoSpaceDN/>
        <w:bidi w:val="0"/>
        <w:snapToGrid w:val="0"/>
        <w:spacing w:beforeLines="0" w:afterLines="0" w:line="400" w:lineRule="exact"/>
        <w:ind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六、安装监控的相关规定</w:t>
      </w:r>
    </w:p>
    <w:p>
      <w:pPr>
        <w:pStyle w:val="64"/>
        <w:keepNext w:val="0"/>
        <w:keepLines w:val="0"/>
        <w:pageBreakBefore w:val="0"/>
        <w:kinsoku/>
        <w:wordWrap/>
        <w:overflowPunct/>
        <w:topLinePunct w:val="0"/>
        <w:autoSpaceDE/>
        <w:autoSpaceDN/>
        <w:bidi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安装断电控制系统时，施工单位根据断电范围的要求，必须提供断电条件（在闭锁回路中必须提供该断电电气设备的无压释放的常闭接点，以供实现瓦斯电闭锁）并接通井下电源及控制线，安全监控设备的供电电源必须取自被控开关的电源侧，严禁接在被控开关负荷侧。</w:t>
      </w:r>
    </w:p>
    <w:p>
      <w:pPr>
        <w:pStyle w:val="64"/>
        <w:keepNext w:val="0"/>
        <w:keepLines w:val="0"/>
        <w:pageBreakBefore w:val="0"/>
        <w:kinsoku/>
        <w:wordWrap/>
        <w:overflowPunct/>
        <w:topLinePunct w:val="0"/>
        <w:autoSpaceDE/>
        <w:autoSpaceDN/>
        <w:bidi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监控设备要加强检修，确保其灵敏、可靠，当瓦斯浓度超限时，能自动报警、断电。监测数据应能够及时反应到地面中心站，监控中心站值班人员必须随时掌握该巷道回风流的瓦斯情况，发现问题及时向通防部值班人员及矿调度所汇报。</w:t>
      </w:r>
    </w:p>
    <w:p>
      <w:pPr>
        <w:pStyle w:val="64"/>
        <w:keepNext w:val="0"/>
        <w:keepLines w:val="0"/>
        <w:pageBreakBefore w:val="0"/>
        <w:kinsoku/>
        <w:wordWrap/>
        <w:overflowPunct/>
        <w:topLinePunct w:val="0"/>
        <w:autoSpaceDE/>
        <w:autoSpaceDN/>
        <w:bidi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三）拆除或改变与安全监控设备关联的电气设备的电源线及控制线，检修与安全监控设备关联的电气设备，需要安全监控设备停止运转时，须提前与通防部联系，制定安全措施经总工程师签字后，报告矿调度所，方可执行。</w:t>
      </w:r>
    </w:p>
    <w:p>
      <w:pPr>
        <w:pStyle w:val="64"/>
        <w:keepNext w:val="0"/>
        <w:keepLines w:val="0"/>
        <w:pageBreakBefore w:val="0"/>
        <w:kinsoku/>
        <w:wordWrap/>
        <w:overflowPunct/>
        <w:topLinePunct w:val="0"/>
        <w:autoSpaceDE/>
        <w:autoSpaceDN/>
        <w:bidi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（四）监控设备安装后，由所在施工单位负责保管使用，如有损坏或发生故障应及时与通防部联系，以便及时处理，严禁私自拆卸挪移。</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（五）甲烷传感器由通防部监测工负责调校，每60天调校一次，调校时应使用空气样和浓度2.0％的甲烷标准气样。调校的同时应测试甲烷断电闭锁功能，测试记录必须存档备查。</w:t>
      </w:r>
    </w:p>
    <w:p>
      <w:pPr>
        <w:pStyle w:val="64"/>
        <w:keepNext w:val="0"/>
        <w:keepLines w:val="0"/>
        <w:pageBreakBefore w:val="0"/>
        <w:kinsoku/>
        <w:wordWrap/>
        <w:overflowPunct/>
        <w:topLinePunct w:val="0"/>
        <w:autoSpaceDE/>
        <w:autoSpaceDN/>
        <w:bidi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（六）</w:t>
      </w:r>
      <w:r>
        <w:rPr>
          <w:rFonts w:hint="eastAsia" w:ascii="仿宋" w:hAnsi="仿宋" w:eastAsia="仿宋" w:cs="仿宋"/>
          <w:color w:val="000000" w:themeColor="text1"/>
          <w:spacing w:val="-4"/>
          <w14:textFill>
            <w14:solidFill>
              <w14:schemeClr w14:val="tx1"/>
            </w14:solidFill>
          </w14:textFill>
        </w:rPr>
        <w:t>每班进入工作地点，现场瓦检员必须对工作区域内探头及监控线路进行完好确认方准工作面施工；</w:t>
      </w:r>
      <w:r>
        <w:rPr>
          <w:rFonts w:hint="eastAsia" w:ascii="仿宋" w:hAnsi="仿宋" w:eastAsia="仿宋" w:cs="仿宋"/>
          <w:color w:val="000000" w:themeColor="text1"/>
          <w14:textFill>
            <w14:solidFill>
              <w14:schemeClr w14:val="tx1"/>
            </w14:solidFill>
          </w14:textFill>
        </w:rPr>
        <w:t>工作面需要移动甲烷传感器时，必须由采煤班队长按规定移动到安全位置，工作结束后及时恢复到规定的吊挂位置。</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（七）瓦检员每班使用便携仪甲烷检测报警仪或光学甲烷检测仪与甲烷传感器进行对照，并将记录和检查结果报监控中心站人员。</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八）甲烷传感器必须按规定安装、设置、使用及调试传感器经过调校检测误差仍超过规定值时，必须立即更换；安全监控设备发生故障时，必须及时处理，在更换和故障处理期间必须采用人工监测等安全措施，并填写故障记录。</w:t>
      </w:r>
    </w:p>
    <w:p>
      <w:pPr>
        <w:pStyle w:val="12"/>
        <w:keepNext w:val="0"/>
        <w:keepLines w:val="0"/>
        <w:pageBreakBefore w:val="0"/>
        <w:kinsoku/>
        <w:wordWrap/>
        <w:overflowPunct/>
        <w:topLinePunct w:val="0"/>
        <w:autoSpaceDE/>
        <w:autoSpaceDN/>
        <w:bidi w:val="0"/>
        <w:adjustRightInd w:val="0"/>
        <w:snapToGrid w:val="0"/>
        <w:spacing w:after="0" w:line="400" w:lineRule="exact"/>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九）监控值班人员接到报警、断电信息后，应立即向矿值班领导汇报，矿值班领导按规定指挥现场人员停止工作，断电时撤出人员。处理过程应记录备案。当系统显示井下某一区域瓦斯超限并有可能波及其他区域时，矿井有关人员应按瓦斯事故应急预案手动遥控切断瓦斯可能波及区域的电源。</w:t>
      </w:r>
    </w:p>
    <w:p>
      <w:pPr>
        <w:pStyle w:val="64"/>
        <w:keepNext w:val="0"/>
        <w:keepLines w:val="0"/>
        <w:pageBreakBefore w:val="0"/>
        <w:kinsoku/>
        <w:wordWrap/>
        <w:overflowPunct/>
        <w:topLinePunct w:val="0"/>
        <w:autoSpaceDE/>
        <w:autoSpaceDN/>
        <w:bidi w:val="0"/>
        <w:adjustRightInd w:val="0"/>
        <w:snapToGrid w:val="0"/>
        <w:spacing w:beforeLines="0" w:afterLines="0" w:line="400" w:lineRule="exact"/>
        <w:ind w:firstLine="0" w:firstLineChars="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七、信号电缆及电源电缆的敷设</w:t>
      </w:r>
    </w:p>
    <w:p>
      <w:pPr>
        <w:pStyle w:val="64"/>
        <w:keepNext w:val="0"/>
        <w:keepLines w:val="0"/>
        <w:pageBreakBefore w:val="0"/>
        <w:kinsoku/>
        <w:wordWrap/>
        <w:overflowPunct/>
        <w:topLinePunct w:val="0"/>
        <w:autoSpaceDE/>
        <w:autoSpaceDN/>
        <w:bidi w:val="0"/>
        <w:adjustRightInd w:val="0"/>
        <w:snapToGrid w:val="0"/>
        <w:spacing w:beforeLines="0" w:afterLines="0"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监控设备之间必须使用阻燃电缆，电缆不应悬挂在风水管路上，不得遭受淋水，电缆上严禁悬挂任何物品。电缆与压风管、供水管在同一侧敷设时，必须敷设在管架上方，并保持300mm以上距离。信号电缆与高压电缆敷设在巷道同一侧时，距离不得小于100mm。信号电缆与其它低压电缆之间的距离应不低于50mm。</w:t>
      </w:r>
    </w:p>
    <w:p>
      <w:pPr>
        <w:pStyle w:val="64"/>
        <w:keepNext w:val="0"/>
        <w:keepLines w:val="0"/>
        <w:pageBreakBefore w:val="0"/>
        <w:kinsoku/>
        <w:wordWrap/>
        <w:overflowPunct/>
        <w:topLinePunct w:val="0"/>
        <w:autoSpaceDE/>
        <w:autoSpaceDN/>
        <w:bidi w:val="0"/>
        <w:snapToGrid w:val="0"/>
        <w:spacing w:beforeLines="0" w:afterLines="0" w:line="400" w:lineRule="exact"/>
        <w:ind w:firstLine="0" w:firstLineChars="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八、便携式甲烷报警仪的配备和使用</w:t>
      </w:r>
    </w:p>
    <w:p>
      <w:pPr>
        <w:keepNext w:val="0"/>
        <w:keepLines w:val="0"/>
        <w:pageBreakBefore w:val="0"/>
        <w:kinsoku/>
        <w:wordWrap/>
        <w:overflowPunct/>
        <w:topLinePunct w:val="0"/>
        <w:autoSpaceDE/>
        <w:autoSpaceDN/>
        <w:bidi w:val="0"/>
        <w:snapToGrid w:val="0"/>
        <w:spacing w:line="40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（一）矿长、矿技术负责人、爆破工、采掘区队长、通风区队长、工程技术人员、班长、流动电钳工、安全监测工下井时，必须携带便携式甲烷检测报警仪。</w:t>
      </w:r>
    </w:p>
    <w:p>
      <w:pPr>
        <w:keepNext w:val="0"/>
        <w:keepLines w:val="0"/>
        <w:pageBreakBefore w:val="0"/>
        <w:kinsoku/>
        <w:wordWrap/>
        <w:overflowPunct/>
        <w:topLinePunct w:val="0"/>
        <w:autoSpaceDE/>
        <w:autoSpaceDN/>
        <w:bidi w:val="0"/>
        <w:snapToGrid w:val="0"/>
        <w:spacing w:line="40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（二）流动电钳工下井担负机电维修工作时，必须使用便携式甲烷报警仪在检修工作地点20m范围内检查甲烷气体浓度，有报警现象时不得通电或检修。</w:t>
      </w:r>
    </w:p>
    <w:p>
      <w:pPr>
        <w:pStyle w:val="64"/>
        <w:keepNext w:val="0"/>
        <w:keepLines w:val="0"/>
        <w:pageBreakBefore w:val="0"/>
        <w:kinsoku/>
        <w:wordWrap/>
        <w:overflowPunct/>
        <w:topLinePunct w:val="0"/>
        <w:autoSpaceDE/>
        <w:autoSpaceDN/>
        <w:bidi w:val="0"/>
        <w:snapToGrid w:val="0"/>
        <w:spacing w:beforeLines="0" w:afterLines="0" w:line="400" w:lineRule="exact"/>
        <w:ind w:firstLine="0" w:firstLineChars="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九、通风安全仪器仪表使用管理制度</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（一）通风仪器仪表要确保完好、无“三证一标志”即安全合格证、防爆合格证、检验证、MA标志的，一律不准入井。</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（二）任何人不得随意毁坏仪器仪表，对无故破坏的，必须追查出责任者，给予严肃处理。</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（三）通风仪器仪表必须经常维修，定期校正。</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（四）便携式瓦斯报警仪、光学瓦斯机、自救器和发爆器等安全仪器必须设专人负责发放和维护工作，并定期检查和测试其性能，检查和测试结果要有记录，以保证仪器的正常使用。</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（五）便携仪及光学瓦斯机每年送市计量站检定1次，便携仪每15天对仪器的零点、精度和报警值进行一次调校，并认真按规定格式填写便携仪和光学瓦斯机的调校记录。</w:t>
      </w:r>
    </w:p>
    <w:p>
      <w:pPr>
        <w:keepNext w:val="0"/>
        <w:keepLines w:val="0"/>
        <w:pageBreakBefore w:val="0"/>
        <w:kinsoku/>
        <w:wordWrap/>
        <w:overflowPunct/>
        <w:topLinePunct w:val="0"/>
        <w:autoSpaceDE/>
        <w:autoSpaceDN/>
        <w:bidi w:val="0"/>
        <w:adjustRightInd w:val="0"/>
        <w:snapToGrid w:val="0"/>
        <w:spacing w:line="400" w:lineRule="exact"/>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十、便携式瓦斯报警仪及自救器</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（一）便携仪使用人员要严格按说明书操作，严禁旋动电位器或拆开仪器。携带便携仪入井时要打开开关，使便携仪保持工作状态。</w:t>
      </w:r>
    </w:p>
    <w:p>
      <w:pPr>
        <w:keepNext w:val="0"/>
        <w:keepLines w:val="0"/>
        <w:pageBreakBefore w:val="0"/>
        <w:kinsoku/>
        <w:wordWrap/>
        <w:overflowPunct/>
        <w:topLinePunct w:val="0"/>
        <w:autoSpaceDE/>
        <w:autoSpaceDN/>
        <w:bidi w:val="0"/>
        <w:snapToGrid w:val="0"/>
        <w:spacing w:line="40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（二）便携仪在使用前按规定对其充电，确保足够的充电时间，充电前要放电以延长电池使用寿命。</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（三）便携仪下井前必须由使用人员检查仪器零点、电池电压及报警点是否符合要求，不合格的严禁入井使用。</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（四）当工作地点的瓦斯浓度达到便携仪报警值时，便携仪便发出警报，施工地点必须立即停止工作，并严格按有关规定处理。</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（五）便携仪的充电、发放、维修、校验应由专人负责，并建立台帐，故障登记册，调校记录，发放记录。</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（六）自救器每季进行一次气密性检查，每旬对自救器的完好状况进行全面检查，过期或检定不合格的自救器严禁使用。</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（七）每一个入井人员都必须熟悉自救器的使用方法，下井时随身携带自救器。</w:t>
      </w:r>
    </w:p>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十一、光学瓦斯机</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光学瓦斯机的维修人员，要定期对各组件进行仔细检查和维护，做到气球、胶管、气室不漏气、不串气，开关接触良好，各组镜片清洁，灯泡、电池、硅胶、光谱正常。每月必须用压力校准仪对光学瓦斯进行校正，发现误差及时维修，校正要有记录。</w:t>
      </w:r>
    </w:p>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十二、发爆器</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（一）发爆器维修人员要每日检查测试所有发爆器的冲能、峰值电压、充电供电时间，各项技术指标全部符合规定后，方可下井使用。</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黑体"/>
          <w:color w:val="000000" w:themeColor="text1"/>
          <w:sz w:val="24"/>
          <w:lang w:eastAsia="zh-T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（二）爆破员领用发爆器时，要对发爆器的性能进行检查，以确保应用安全。使用过程中，要避免摔碰和淋水。</w:t>
      </w:r>
    </w:p>
    <w:p>
      <w:pPr>
        <w:keepNext w:val="0"/>
        <w:keepLines w:val="0"/>
        <w:pageBreakBefore w:val="0"/>
        <w:widowControl w:val="0"/>
        <w:kinsoku/>
        <w:wordWrap/>
        <w:overflowPunct/>
        <w:topLinePunct w:val="0"/>
        <w:autoSpaceDE/>
        <w:autoSpaceDN/>
        <w:bidi w:val="0"/>
        <w:snapToGrid w:val="0"/>
        <w:spacing w:line="400" w:lineRule="exact"/>
        <w:ind w:firstLine="482"/>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附图8：1303工作面监控系统图</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FF0000"/>
          <w:sz w:val="24"/>
          <w:lang w:eastAsia="zh-TW"/>
        </w:rPr>
      </w:pPr>
    </w:p>
    <w:p>
      <w:pPr>
        <w:pStyle w:val="4"/>
        <w:keepNext w:val="0"/>
        <w:keepLines w:val="0"/>
        <w:pageBreakBefore w:val="0"/>
        <w:widowControl w:val="0"/>
        <w:kinsoku/>
        <w:wordWrap/>
        <w:overflowPunct/>
        <w:topLinePunct w:val="0"/>
        <w:autoSpaceDE/>
        <w:autoSpaceDN/>
        <w:bidi w:val="0"/>
        <w:snapToGrid w:val="0"/>
        <w:spacing w:before="0" w:after="0" w:line="400" w:lineRule="exact"/>
        <w:ind w:firstLine="0" w:firstLineChars="0"/>
        <w:textAlignment w:val="auto"/>
        <w:rPr>
          <w:rFonts w:ascii="黑体" w:hAnsi="黑体" w:eastAsia="黑体" w:cs="仿宋_GB2312"/>
          <w:color w:val="000000" w:themeColor="text1"/>
          <w:sz w:val="28"/>
          <w:szCs w:val="28"/>
          <w14:textFill>
            <w14:solidFill>
              <w14:schemeClr w14:val="tx1"/>
            </w14:solidFill>
          </w14:textFill>
        </w:rPr>
      </w:pPr>
      <w:r>
        <w:rPr>
          <w:rFonts w:hint="eastAsia" w:ascii="黑体" w:hAnsi="黑体" w:eastAsia="黑体" w:cs="仿宋_GB2312"/>
          <w:color w:val="000000" w:themeColor="text1"/>
          <w:sz w:val="28"/>
          <w:szCs w:val="28"/>
          <w:lang w:eastAsia="zh-TW"/>
          <w14:textFill>
            <w14:solidFill>
              <w14:schemeClr w14:val="tx1"/>
            </w14:solidFill>
          </w14:textFill>
        </w:rPr>
        <w:t>第</w:t>
      </w:r>
      <w:r>
        <w:rPr>
          <w:rFonts w:hint="eastAsia" w:ascii="黑体" w:hAnsi="黑体" w:eastAsia="黑体" w:cs="仿宋_GB2312"/>
          <w:color w:val="000000" w:themeColor="text1"/>
          <w:sz w:val="28"/>
          <w:szCs w:val="28"/>
          <w14:textFill>
            <w14:solidFill>
              <w14:schemeClr w14:val="tx1"/>
            </w14:solidFill>
          </w14:textFill>
        </w:rPr>
        <w:t>八</w:t>
      </w:r>
      <w:r>
        <w:rPr>
          <w:rFonts w:hint="eastAsia" w:ascii="黑体" w:hAnsi="黑体" w:eastAsia="黑体" w:cs="仿宋_GB2312"/>
          <w:color w:val="000000" w:themeColor="text1"/>
          <w:sz w:val="28"/>
          <w:szCs w:val="28"/>
          <w:lang w:eastAsia="zh-TW"/>
          <w14:textFill>
            <w14:solidFill>
              <w14:schemeClr w14:val="tx1"/>
            </w14:solidFill>
          </w14:textFill>
        </w:rPr>
        <w:t>节</w:t>
      </w:r>
      <w:r>
        <w:rPr>
          <w:rFonts w:hint="eastAsia" w:ascii="黑体" w:hAnsi="黑体" w:eastAsia="黑体" w:cs="仿宋_GB2312"/>
          <w:color w:val="000000" w:themeColor="text1"/>
          <w:sz w:val="28"/>
          <w:szCs w:val="28"/>
          <w14:textFill>
            <w14:solidFill>
              <w14:schemeClr w14:val="tx1"/>
            </w14:solidFill>
          </w14:textFill>
        </w:rPr>
        <w:t xml:space="preserve">  人员定位</w:t>
      </w:r>
      <w:r>
        <w:rPr>
          <w:rFonts w:hint="eastAsia" w:ascii="黑体" w:hAnsi="黑体" w:eastAsia="黑体" w:cs="仿宋_GB2312"/>
          <w:color w:val="000000" w:themeColor="text1"/>
          <w:sz w:val="28"/>
          <w:szCs w:val="28"/>
          <w:lang w:eastAsia="zh-TW"/>
          <w14:textFill>
            <w14:solidFill>
              <w14:schemeClr w14:val="tx1"/>
            </w14:solidFill>
          </w14:textFill>
        </w:rPr>
        <w:t>系统</w:t>
      </w:r>
    </w:p>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一、设计原则及依据</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本方案在设计过程中始终遵循可靠性、实用性、可扩展性原则，以满足矿井人员管理系统整体的需要。其依据为： </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（1）《煤矿井下作业人员管理系统通用技术条件》 AQ6210-2007 </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（2）《煤矿井下作业人员管理系统使用与管理规范》 AQ1048-2007 </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（3）《煤矿安全规程》 </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（4）《爆炸性环境用防爆电气设备通用要求》 </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（5）《煤矿通信、检测、控制用电工电子产品通用技术条件》 </w:t>
      </w:r>
    </w:p>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二、人员定位系统的作用和目的</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人员定位系统可实现井下人员定位、下井人员考勤、设备管理、定位调度、人员实时监控、应急救护和事故调查，形成网络信息化监管体系，为安全生产提供良好的技术保障。</w:t>
      </w:r>
    </w:p>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三、人员定位设备及安装技术要求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1、矿井装备KJ69J（A）型人员定位系统。需安装KJ28</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D</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F</w:t>
      </w:r>
      <w:r>
        <w:rPr>
          <w:rFonts w:hint="eastAsia" w:ascii="仿宋" w:hAnsi="仿宋" w:eastAsia="仿宋" w:cs="仿宋"/>
          <w:color w:val="000000" w:themeColor="text1"/>
          <w:sz w:val="24"/>
          <w14:textFill>
            <w14:solidFill>
              <w14:schemeClr w14:val="tx1"/>
            </w14:solidFill>
          </w14:textFill>
        </w:rPr>
        <w:t>型人员定位分站8台。通过分站传输到地面中心站。</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2、人员定位系统设置尽量做到人员监测无盲区，在工作面机巷、风巷每300米安装1台分站。</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3、人员定位分站应安设在便于人员观察、调试、检修，周围支护良好，无滴水的巷道或硐室中并上架，其距巷道底板不小于1000mm。</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4、信号电缆应使用不易燃电缆，信号电缆不得与风水管路、动力电缆同侧，如与风、水管路同侧敷设时，必须在其上方300mm以上距离。与动力电缆同侧敷设时，应在其上方100mm以上距离。</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按《煤矿井下作业人员管理系统使用与管理规范》（AQ1048-2007）和产品说明书的要求对人员定位装置在地面进行全面检查其完好性，即设备隔爆面处理，零部件是否齐全，指示灯、显示窗口、电源接线口、保护盖等是否完好无损，不用的接线口用挡板堵死。不完好的设备严禁入井。</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6、根据现场电气设备情况备好合适的电源电缆、密封圈，信号传输电缆（导线截面应≥1mm</w:t>
      </w:r>
      <w:r>
        <w:rPr>
          <w:rFonts w:hint="eastAsia" w:ascii="仿宋" w:hAnsi="仿宋" w:eastAsia="仿宋" w:cs="仿宋"/>
          <w:color w:val="000000" w:themeColor="text1"/>
          <w:sz w:val="24"/>
          <w:vertAlign w:val="superscript"/>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）、本安接线盒等。</w:t>
      </w:r>
    </w:p>
    <w:p>
      <w:pPr>
        <w:keepNext w:val="0"/>
        <w:keepLines w:val="0"/>
        <w:pageBreakBefore w:val="0"/>
        <w:widowControl w:val="0"/>
        <w:kinsoku/>
        <w:wordWrap/>
        <w:overflowPunct/>
        <w:topLinePunct w:val="0"/>
        <w:autoSpaceDE/>
        <w:autoSpaceDN/>
        <w:bidi w:val="0"/>
        <w:adjustRightInd w:val="0"/>
        <w:snapToGrid w:val="0"/>
        <w:spacing w:line="40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人员定位系统设备必须具有“MA”标志证书。设备使用前，对分站进行地面调试、校正，并联接主机试运行24～48小时以上，设备能稳定、可靠的正常运行，各项技术指标能达到产品说明书及《煤矿井下作业人员管理系统使用与管理规范》（AQ1048-2007）的要求后，方可入井安装。</w:t>
      </w:r>
    </w:p>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四、人员定位系统使用维修管理制度</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1、在安装分站电源时，要杜绝电气失爆，并保证电气设备的完好，定期对电气设备的完好情况进行检查，保证台台完好。</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2、通防部专业维修人员每天必须对井下的设备进行维护和保养，确保井下系统不间断运行，发现故障及时处理，确保设备的正常运转及系统的安全可靠。</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3、信号电缆敷设在动力电缆上方，距离不小于0.1米，平行吊挂。</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4、分站电源要上架，并安设接地线，实行挂牌管理。</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5、在进行洒水降尘工作时，严禁将水洒向人员定位设施，造成设施故障。</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6、在进行巷道修护时，必须对人员定位设施和电缆采取保护措施。</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7、各单位或监测人员发现井下人员或监测装置有异常情况要及时向有关单位汇报并核实。</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8、入井人员的工作单位（岗位）如有变动 ，所在单位及时通防部系统及时调整人员卡信息，并将变更人员的信息录入管理系统。</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9、各有关区队要负责管辖区域内所安设的系统分站或读卡器的看护管理，派专人对设备线路进行巡查，发现问题及时汇报。如有丢失损毁由责任单位负责或赔偿。</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10、维护人员要及时维修更换有问题的读卡器和人员卡，不得因人员卡问题影响监测数据的准确性。</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11、各分站电源由供电所在区队负责、停电必须有申请单，因停电检修影响人员定位系统运行的，必须经维护部门及分管领导签字认可同意后方可施工，严禁长时间（超过2小时）停电，如有开关跳闸，应及时恢复送电。</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12、分站和读卡器严禁随意移动、搬迁、淋水，影响巷道施工时，必须经系统维护部门同意，并得到调度所同意后方可作业。</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13、所有下井人员必须携带与本人信息一致的人员卡，严禁一人携带多卡入井。</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14、携带人员卡下井人员通过井口专用检卡设备时要检查卡是否正常，如发现电量不足，卡号错误，信息不全时及时与系统维护人员联系，并能在换卡的同时进行信息关联。</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15、井下人员严禁随意拆卸人员卡，若有问题，及时与系统维护部门联系更换人员卡。</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16、井口检身人员，必须对下井人员是否携带人员卡进行检查。</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sz w:val="24"/>
        </w:rPr>
      </w:pPr>
      <w:r>
        <w:rPr>
          <w:rFonts w:hint="eastAsia" w:ascii="仿宋" w:hAnsi="仿宋" w:eastAsia="仿宋" w:cs="仿宋"/>
          <w:sz w:val="24"/>
        </w:rPr>
        <w:t>17、任何人未经人员卡管理部门同意，不得拆卸或修改。</w:t>
      </w:r>
    </w:p>
    <w:p>
      <w:pPr>
        <w:keepNext w:val="0"/>
        <w:keepLines w:val="0"/>
        <w:pageBreakBefore w:val="0"/>
        <w:widowControl w:val="0"/>
        <w:kinsoku/>
        <w:wordWrap/>
        <w:overflowPunct/>
        <w:topLinePunct w:val="0"/>
        <w:autoSpaceDE/>
        <w:autoSpaceDN/>
        <w:bidi w:val="0"/>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18、地面调度或系统中心站值班人员实时监测数据变化情况，核实和汇总人员跟踪监测信息，对信息出现异常或设备报警时，立即通知维护人员，并做好中</w:t>
      </w:r>
      <w:r>
        <w:rPr>
          <w:rFonts w:hint="eastAsia" w:ascii="仿宋" w:hAnsi="仿宋" w:eastAsia="仿宋" w:cs="仿宋"/>
          <w:color w:val="000000" w:themeColor="text1"/>
          <w:sz w:val="24"/>
          <w14:textFill>
            <w14:solidFill>
              <w14:schemeClr w14:val="tx1"/>
            </w14:solidFill>
          </w14:textFill>
        </w:rPr>
        <w:t>心站运行日志，相关人员查明原因后向有关负责人汇报。</w:t>
      </w:r>
    </w:p>
    <w:p>
      <w:pPr>
        <w:keepNext w:val="0"/>
        <w:keepLines w:val="0"/>
        <w:pageBreakBefore w:val="0"/>
        <w:widowControl w:val="0"/>
        <w:kinsoku/>
        <w:wordWrap/>
        <w:overflowPunct/>
        <w:topLinePunct w:val="0"/>
        <w:autoSpaceDE/>
        <w:autoSpaceDN/>
        <w:bidi w:val="0"/>
        <w:snapToGrid w:val="0"/>
        <w:spacing w:line="400" w:lineRule="exact"/>
        <w:ind w:firstLine="482"/>
        <w:textAlignment w:val="auto"/>
        <w:rPr>
          <w:rFonts w:hint="eastAsia" w:ascii="黑体" w:hAnsi="黑体" w:eastAsia="黑体" w:cs="仿宋_GB2312"/>
          <w:color w:val="000000" w:themeColor="text1"/>
          <w:sz w:val="28"/>
          <w:szCs w:val="28"/>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附图9：1303工作面人员定位及通信系统图</w:t>
      </w:r>
    </w:p>
    <w:p>
      <w:pPr>
        <w:pStyle w:val="4"/>
        <w:keepNext w:val="0"/>
        <w:keepLines w:val="0"/>
        <w:snapToGrid w:val="0"/>
        <w:spacing w:before="0" w:after="0"/>
        <w:ind w:firstLine="0" w:firstLineChars="0"/>
        <w:rPr>
          <w:rFonts w:hint="eastAsia" w:ascii="黑体" w:hAnsi="黑体" w:eastAsia="黑体" w:cs="仿宋_GB2312"/>
          <w:color w:val="000000" w:themeColor="text1"/>
          <w:sz w:val="28"/>
          <w:szCs w:val="28"/>
          <w14:textFill>
            <w14:solidFill>
              <w14:schemeClr w14:val="tx1"/>
            </w14:solidFill>
          </w14:textFill>
        </w:rPr>
      </w:pPr>
    </w:p>
    <w:p>
      <w:pPr>
        <w:pStyle w:val="4"/>
        <w:keepNext w:val="0"/>
        <w:keepLines w:val="0"/>
        <w:snapToGrid w:val="0"/>
        <w:spacing w:before="0" w:after="0"/>
        <w:ind w:firstLine="0" w:firstLineChars="0"/>
        <w:rPr>
          <w:rFonts w:ascii="黑体" w:hAnsi="黑体" w:eastAsia="黑体" w:cs="仿宋_GB2312"/>
          <w:color w:val="000000" w:themeColor="text1"/>
          <w:sz w:val="28"/>
          <w:szCs w:val="28"/>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第九节  视频监控使用管理安全措施</w:t>
      </w:r>
    </w:p>
    <w:p>
      <w:pPr>
        <w:pStyle w:val="60"/>
        <w:snapToGrid w:val="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一、工作面视频监控装置安装地点及监控范围</w:t>
      </w:r>
    </w:p>
    <w:p>
      <w:pPr>
        <w:snapToGrid w:val="0"/>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本次设计包含在矿井安全生产视频整体设计方案内，1303工作面共计3</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台（其中面内支架每6架安装1台</w:t>
      </w:r>
      <w:r>
        <w:rPr>
          <w:rFonts w:hint="eastAsia" w:ascii="仿宋" w:hAnsi="仿宋" w:eastAsia="仿宋"/>
          <w:color w:val="000000" w:themeColor="text1"/>
          <w:sz w:val="24"/>
          <w14:textFill>
            <w14:solidFill>
              <w14:schemeClr w14:val="tx1"/>
            </w14:solidFill>
          </w14:textFill>
        </w:rPr>
        <w:t>云台摄像仪，共17台</w:t>
      </w:r>
      <w:r>
        <w:rPr>
          <w:rFonts w:hint="eastAsia" w:ascii="仿宋" w:hAnsi="仿宋" w:eastAsia="仿宋" w:cs="仿宋"/>
          <w:color w:val="000000" w:themeColor="text1"/>
          <w:sz w:val="24"/>
          <w14:textFill>
            <w14:solidFill>
              <w14:schemeClr w14:val="tx1"/>
            </w14:solidFill>
          </w14:textFill>
        </w:rPr>
        <w:t>），广播终端2台，广播分机4台，安装设备布置情况如下：</w:t>
      </w:r>
    </w:p>
    <w:p>
      <w:pPr>
        <w:snapToGrid w:val="0"/>
        <w:ind w:firstLine="0" w:firstLineChars="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1、设备安装地点清单</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690"/>
        <w:gridCol w:w="3476"/>
        <w:gridCol w:w="1701"/>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187"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类别</w:t>
            </w: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序号</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安装地点</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安装数量</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187" w:type="dxa"/>
            <w:vMerge w:val="restart"/>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工</w:t>
            </w:r>
          </w:p>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业</w:t>
            </w:r>
          </w:p>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视</w:t>
            </w:r>
          </w:p>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频</w:t>
            </w: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w:t>
            </w:r>
            <w:r>
              <w:rPr>
                <w:rFonts w:hint="eastAsia" w:ascii="仿宋" w:hAnsi="仿宋" w:eastAsia="仿宋" w:cs="宋体"/>
                <w:color w:val="000000" w:themeColor="text1"/>
                <w:kern w:val="0"/>
                <w:szCs w:val="21"/>
                <w14:textFill>
                  <w14:solidFill>
                    <w14:schemeClr w14:val="tx1"/>
                  </w14:solidFill>
                </w14:textFill>
              </w:rPr>
              <w:t>机巷小眼上口</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w:t>
            </w:r>
            <w:r>
              <w:rPr>
                <w:rFonts w:hint="eastAsia" w:ascii="仿宋" w:hAnsi="仿宋" w:eastAsia="仿宋" w:cs="宋体"/>
                <w:color w:val="000000" w:themeColor="text1"/>
                <w:kern w:val="0"/>
                <w:szCs w:val="21"/>
                <w14:textFill>
                  <w14:solidFill>
                    <w14:schemeClr w14:val="tx1"/>
                  </w14:solidFill>
                </w14:textFill>
              </w:rPr>
              <w:t>机巷移变高爆</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w:t>
            </w:r>
            <w:r>
              <w:rPr>
                <w:rFonts w:hint="eastAsia" w:ascii="仿宋" w:hAnsi="仿宋" w:eastAsia="仿宋" w:cs="宋体"/>
                <w:color w:val="000000" w:themeColor="text1"/>
                <w:kern w:val="0"/>
                <w:szCs w:val="21"/>
                <w14:textFill>
                  <w14:solidFill>
                    <w14:schemeClr w14:val="tx1"/>
                  </w14:solidFill>
                </w14:textFill>
              </w:rPr>
              <w:t>机巷转载机</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w:t>
            </w:r>
            <w:r>
              <w:rPr>
                <w:rFonts w:hint="eastAsia" w:ascii="仿宋" w:hAnsi="仿宋" w:eastAsia="仿宋" w:cs="宋体"/>
                <w:color w:val="000000" w:themeColor="text1"/>
                <w:kern w:val="0"/>
                <w:szCs w:val="21"/>
                <w14:textFill>
                  <w14:solidFill>
                    <w14:schemeClr w14:val="tx1"/>
                  </w14:solidFill>
                </w14:textFill>
              </w:rPr>
              <w:t>机巷小眼下口</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3476" w:type="dxa"/>
            <w:vAlign w:val="center"/>
          </w:tcPr>
          <w:p>
            <w:pPr>
              <w:snapToGrid w:val="0"/>
              <w:spacing w:line="240" w:lineRule="atLeast"/>
              <w:ind w:firstLine="0" w:firstLineChars="0"/>
              <w:jc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1303风巷</w:t>
            </w:r>
            <w:r>
              <w:rPr>
                <w:rFonts w:hint="eastAsia" w:ascii="仿宋" w:hAnsi="仿宋" w:eastAsia="仿宋" w:cs="仿宋"/>
                <w:color w:val="000000" w:themeColor="text1"/>
                <w:szCs w:val="21"/>
                <w:lang w:val="en-US" w:eastAsia="zh-CN"/>
                <w14:textFill>
                  <w14:solidFill>
                    <w14:schemeClr w14:val="tx1"/>
                  </w14:solidFill>
                </w14:textFill>
              </w:rPr>
              <w:t>出口</w:t>
            </w:r>
            <w:r>
              <w:rPr>
                <w:rFonts w:hint="eastAsia" w:ascii="仿宋" w:hAnsi="仿宋" w:eastAsia="仿宋" w:cs="仿宋"/>
                <w:color w:val="000000" w:themeColor="text1"/>
                <w:szCs w:val="21"/>
                <w14:textFill>
                  <w14:solidFill>
                    <w14:schemeClr w14:val="tx1"/>
                  </w14:solidFill>
                </w14:textFill>
              </w:rPr>
              <w:t>向外</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机巷</w:t>
            </w:r>
            <w:r>
              <w:rPr>
                <w:rFonts w:hint="eastAsia" w:ascii="仿宋" w:hAnsi="仿宋" w:eastAsia="仿宋" w:cs="仿宋"/>
                <w:color w:val="000000" w:themeColor="text1"/>
                <w:szCs w:val="21"/>
                <w14:textFill>
                  <w14:solidFill>
                    <w14:schemeClr w14:val="tx1"/>
                  </w14:solidFill>
                </w14:textFill>
              </w:rPr>
              <w:t>第二车场</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3476" w:type="dxa"/>
            <w:vAlign w:val="center"/>
          </w:tcPr>
          <w:p>
            <w:pPr>
              <w:snapToGrid w:val="0"/>
              <w:spacing w:line="240" w:lineRule="atLeast"/>
              <w:ind w:firstLine="0" w:firstLineChars="0"/>
              <w:jc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w:t>
            </w:r>
            <w:r>
              <w:rPr>
                <w:rFonts w:hint="eastAsia" w:ascii="仿宋" w:hAnsi="仿宋" w:eastAsia="仿宋" w:cs="宋体"/>
                <w:color w:val="000000" w:themeColor="text1"/>
                <w:kern w:val="0"/>
                <w:szCs w:val="21"/>
                <w14:textFill>
                  <w14:solidFill>
                    <w14:schemeClr w14:val="tx1"/>
                  </w14:solidFill>
                </w14:textFill>
              </w:rPr>
              <w:t>风联巷</w:t>
            </w:r>
            <w:r>
              <w:rPr>
                <w:rFonts w:hint="eastAsia" w:ascii="仿宋" w:hAnsi="仿宋" w:eastAsia="仿宋" w:cs="宋体"/>
                <w:color w:val="000000" w:themeColor="text1"/>
                <w:kern w:val="0"/>
                <w:szCs w:val="21"/>
                <w:lang w:val="en-US" w:eastAsia="zh-CN"/>
                <w14:textFill>
                  <w14:solidFill>
                    <w14:schemeClr w14:val="tx1"/>
                  </w14:solidFill>
                </w14:textFill>
              </w:rPr>
              <w:t>上口</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w:t>
            </w:r>
          </w:p>
        </w:tc>
        <w:tc>
          <w:tcPr>
            <w:tcW w:w="3476" w:type="dxa"/>
            <w:vAlign w:val="center"/>
          </w:tcPr>
          <w:p>
            <w:pPr>
              <w:snapToGrid w:val="0"/>
              <w:spacing w:line="240" w:lineRule="atLeast"/>
              <w:ind w:firstLine="0" w:firstLineChars="0"/>
              <w:jc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1303风联巷下口</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1303风巷</w:t>
            </w:r>
            <w:r>
              <w:rPr>
                <w:rFonts w:hint="eastAsia" w:ascii="仿宋" w:hAnsi="仿宋" w:eastAsia="仿宋" w:cs="仿宋"/>
                <w:color w:val="000000" w:themeColor="text1"/>
                <w:szCs w:val="21"/>
                <w:lang w:val="en-US" w:eastAsia="zh-CN"/>
                <w14:textFill>
                  <w14:solidFill>
                    <w14:schemeClr w14:val="tx1"/>
                  </w14:solidFill>
                </w14:textFill>
              </w:rPr>
              <w:t>出口</w:t>
            </w:r>
            <w:r>
              <w:rPr>
                <w:rFonts w:hint="eastAsia" w:ascii="仿宋" w:hAnsi="仿宋" w:eastAsia="仿宋" w:cs="仿宋"/>
                <w:color w:val="000000" w:themeColor="text1"/>
                <w:szCs w:val="21"/>
                <w14:textFill>
                  <w14:solidFill>
                    <w14:schemeClr w14:val="tx1"/>
                  </w14:solidFill>
                </w14:textFill>
              </w:rPr>
              <w:t>向里</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w:t>
            </w:r>
          </w:p>
        </w:tc>
        <w:tc>
          <w:tcPr>
            <w:tcW w:w="3476" w:type="dxa"/>
            <w:vAlign w:val="center"/>
          </w:tcPr>
          <w:p>
            <w:pPr>
              <w:snapToGrid w:val="0"/>
              <w:spacing w:line="240" w:lineRule="atLeast"/>
              <w:ind w:firstLine="0" w:firstLineChars="0"/>
              <w:jc w:val="center"/>
              <w:rPr>
                <w:rFonts w:hint="default"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1303</w:t>
            </w:r>
            <w:r>
              <w:rPr>
                <w:rFonts w:hint="eastAsia" w:ascii="仿宋" w:hAnsi="仿宋" w:eastAsia="仿宋" w:cs="宋体"/>
                <w:color w:val="000000" w:themeColor="text1"/>
                <w:kern w:val="0"/>
                <w:szCs w:val="21"/>
                <w:lang w:val="en-US" w:eastAsia="zh-CN"/>
                <w14:textFill>
                  <w14:solidFill>
                    <w14:schemeClr w14:val="tx1"/>
                  </w14:solidFill>
                </w14:textFill>
              </w:rPr>
              <w:t>风巷限员站</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c>
          <w:tcPr>
            <w:tcW w:w="3476" w:type="dxa"/>
            <w:vAlign w:val="center"/>
          </w:tcPr>
          <w:p>
            <w:pPr>
              <w:snapToGrid w:val="0"/>
              <w:spacing w:line="240" w:lineRule="atLeast"/>
              <w:ind w:firstLine="0" w:firstLineChars="0"/>
              <w:jc w:val="center"/>
              <w:rPr>
                <w:rFonts w:hint="default"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1303机巷</w:t>
            </w:r>
            <w:r>
              <w:rPr>
                <w:rFonts w:hint="eastAsia" w:ascii="仿宋" w:hAnsi="仿宋" w:eastAsia="仿宋" w:cs="宋体"/>
                <w:color w:val="000000" w:themeColor="text1"/>
                <w:kern w:val="0"/>
                <w:szCs w:val="21"/>
                <w:lang w:val="en-US" w:eastAsia="zh-CN"/>
                <w14:textFill>
                  <w14:solidFill>
                    <w14:schemeClr w14:val="tx1"/>
                  </w14:solidFill>
                </w14:textFill>
              </w:rPr>
              <w:t>限员站</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w:t>
            </w:r>
          </w:p>
        </w:tc>
        <w:tc>
          <w:tcPr>
            <w:tcW w:w="3476" w:type="dxa"/>
            <w:vAlign w:val="center"/>
          </w:tcPr>
          <w:p>
            <w:pPr>
              <w:snapToGrid w:val="0"/>
              <w:spacing w:line="240" w:lineRule="atLeast"/>
              <w:ind w:firstLine="0" w:firstLineChars="0"/>
              <w:jc w:val="center"/>
              <w:rPr>
                <w:rFonts w:hint="default" w:ascii="仿宋" w:hAnsi="仿宋" w:eastAsia="仿宋" w:cs="宋体"/>
                <w:color w:val="000000" w:themeColor="text1"/>
                <w:kern w:val="0"/>
                <w:sz w:val="21"/>
                <w:szCs w:val="21"/>
                <w:lang w:val="en-US" w:eastAsia="zh-CN" w:bidi="ar-SA"/>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1303机巷</w:t>
            </w:r>
            <w:r>
              <w:rPr>
                <w:rFonts w:hint="eastAsia" w:ascii="仿宋" w:hAnsi="仿宋" w:eastAsia="仿宋" w:cs="宋体"/>
                <w:color w:val="000000" w:themeColor="text1"/>
                <w:kern w:val="0"/>
                <w:szCs w:val="21"/>
                <w:lang w:val="en-US" w:eastAsia="zh-CN"/>
                <w14:textFill>
                  <w14:solidFill>
                    <w14:schemeClr w14:val="tx1"/>
                  </w14:solidFill>
                </w14:textFill>
              </w:rPr>
              <w:t>泵站</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w:t>
            </w:r>
          </w:p>
        </w:tc>
        <w:tc>
          <w:tcPr>
            <w:tcW w:w="3476" w:type="dxa"/>
            <w:vAlign w:val="center"/>
          </w:tcPr>
          <w:p>
            <w:pPr>
              <w:snapToGrid w:val="0"/>
              <w:spacing w:line="240" w:lineRule="atLeast"/>
              <w:ind w:firstLine="0" w:firstLineChars="0"/>
              <w:jc w:val="center"/>
              <w:rPr>
                <w:rFonts w:ascii="仿宋" w:hAnsi="仿宋" w:eastAsia="仿宋" w:cs="宋体"/>
                <w:color w:val="000000" w:themeColor="text1"/>
                <w:kern w:val="0"/>
                <w:sz w:val="21"/>
                <w:szCs w:val="21"/>
                <w:lang w:val="en-US" w:eastAsia="zh-CN" w:bidi="ar-SA"/>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1303机巷出口向外</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14</w:t>
            </w:r>
          </w:p>
        </w:tc>
        <w:tc>
          <w:tcPr>
            <w:tcW w:w="3476" w:type="dxa"/>
            <w:vAlign w:val="center"/>
          </w:tcPr>
          <w:p>
            <w:pPr>
              <w:snapToGrid w:val="0"/>
              <w:spacing w:line="240" w:lineRule="atLeast"/>
              <w:ind w:firstLine="0" w:firstLineChars="0"/>
              <w:jc w:val="center"/>
              <w:rPr>
                <w:rFonts w:ascii="仿宋" w:hAnsi="仿宋" w:eastAsia="仿宋" w:cs="宋体"/>
                <w:color w:val="000000" w:themeColor="text1"/>
                <w:kern w:val="0"/>
                <w:sz w:val="21"/>
                <w:szCs w:val="21"/>
                <w:lang w:val="en-US" w:eastAsia="zh-CN" w:bidi="ar-SA"/>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1303工作面集控仓</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15</w:t>
            </w:r>
          </w:p>
        </w:tc>
        <w:tc>
          <w:tcPr>
            <w:tcW w:w="3476" w:type="dxa"/>
            <w:vAlign w:val="center"/>
          </w:tcPr>
          <w:p>
            <w:pPr>
              <w:snapToGrid w:val="0"/>
              <w:spacing w:line="240" w:lineRule="atLeast"/>
              <w:ind w:firstLine="0" w:firstLineChars="0"/>
              <w:jc w:val="center"/>
              <w:rPr>
                <w:rFonts w:ascii="仿宋" w:hAnsi="仿宋" w:eastAsia="仿宋" w:cs="宋体"/>
                <w:color w:val="000000" w:themeColor="text1"/>
                <w:kern w:val="0"/>
                <w:sz w:val="21"/>
                <w:szCs w:val="21"/>
                <w:lang w:val="en-US" w:eastAsia="zh-CN" w:bidi="ar-SA"/>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1303机巷出口向里</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16</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1303工作面集控仓外</w:t>
            </w:r>
          </w:p>
        </w:tc>
        <w:tc>
          <w:tcPr>
            <w:tcW w:w="1701" w:type="dxa"/>
            <w:vAlign w:val="center"/>
          </w:tcPr>
          <w:p>
            <w:pPr>
              <w:snapToGrid w:val="0"/>
              <w:spacing w:line="240" w:lineRule="atLeast"/>
              <w:ind w:firstLine="0" w:firstLineChars="0"/>
              <w:jc w:val="center"/>
              <w:rPr>
                <w:rFonts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1303工作面第2#架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1303工作面第9#架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1303工作面第15#架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1303工作面第21#架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5</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1303工作面第27#架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1303工作面第33#架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7</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1303工作面第39#架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8</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1303工作面第45#架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9</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1303工作面第51#架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10</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1303工作面第57#架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11</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1303工作面第63#架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12</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1303工作面第69#架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1303工作面第75#架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14</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1303工作面第81#架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15</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1303工作面第87#架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16</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1303工作面第93#架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17</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1303工作面第98#架</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restart"/>
            <w:vAlign w:val="center"/>
          </w:tcPr>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w:t>
            </w:r>
          </w:p>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急</w:t>
            </w:r>
          </w:p>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广</w:t>
            </w:r>
          </w:p>
          <w:p>
            <w:pPr>
              <w:snapToGrid w:val="0"/>
              <w:spacing w:line="240" w:lineRule="atLeast"/>
              <w:ind w:firstLine="42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播</w:t>
            </w: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1303机巷机头处</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广播终端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0" w:firstLineChars="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1303机巷600米处</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0" w:firstLineChars="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1303机巷里口</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87" w:type="dxa"/>
            <w:vMerge w:val="continue"/>
            <w:vAlign w:val="center"/>
          </w:tcPr>
          <w:p>
            <w:pPr>
              <w:snapToGrid w:val="0"/>
              <w:spacing w:line="240" w:lineRule="atLeast"/>
              <w:ind w:firstLine="0" w:firstLineChars="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1303风巷口</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广播终端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0" w:firstLineChars="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1303风巷600米处</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vAlign w:val="center"/>
          </w:tcPr>
          <w:p>
            <w:pPr>
              <w:snapToGrid w:val="0"/>
              <w:spacing w:line="240" w:lineRule="atLeast"/>
              <w:ind w:firstLine="0" w:firstLineChars="0"/>
              <w:jc w:val="left"/>
              <w:rPr>
                <w:rFonts w:ascii="仿宋" w:hAnsi="仿宋" w:eastAsia="仿宋" w:cs="仿宋"/>
                <w:color w:val="000000" w:themeColor="text1"/>
                <w:szCs w:val="21"/>
                <w14:textFill>
                  <w14:solidFill>
                    <w14:schemeClr w14:val="tx1"/>
                  </w14:solidFill>
                </w14:textFill>
              </w:rPr>
            </w:pPr>
          </w:p>
        </w:tc>
        <w:tc>
          <w:tcPr>
            <w:tcW w:w="690"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3476" w:type="dxa"/>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1303风巷里口</w:t>
            </w:r>
          </w:p>
        </w:tc>
        <w:tc>
          <w:tcPr>
            <w:tcW w:w="1701"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1台</w:t>
            </w:r>
          </w:p>
        </w:tc>
        <w:tc>
          <w:tcPr>
            <w:tcW w:w="1397" w:type="dxa"/>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分机</w:t>
            </w:r>
          </w:p>
        </w:tc>
      </w:tr>
    </w:tbl>
    <w:p>
      <w:pPr>
        <w:pStyle w:val="60"/>
        <w:keepNext w:val="0"/>
        <w:keepLines w:val="0"/>
        <w:pageBreakBefore w:val="0"/>
        <w:widowControl w:val="0"/>
        <w:kinsoku/>
        <w:wordWrap/>
        <w:overflowPunct/>
        <w:topLinePunct w:val="0"/>
        <w:autoSpaceDE/>
        <w:autoSpaceDN/>
        <w:bidi w:val="0"/>
        <w:snapToGrid w:val="0"/>
        <w:spacing w:line="39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二、视频监控管理措施</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1、视频监控装置安装完成后，严禁施工人员随意挪动监控位置；</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2、工作面洒水降尘作业时，严禁使用水冲洒监控摄像头；</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3、严禁任何人员遮挡工作面内所有监控摄像头；</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4、工作面放炮作业时必须采取措施保护监控安装，防止损坏；</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5、监控装置安装地点的作业人员应负责巡查监控装置完好情况，若发现监控异常或者线路出现破损时及时汇报调度指挥中心，有负责监控管理单位就你行及时维修处理。</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6、工作面当班回采结束后，清理视频监控装置，保持卫生整洁；</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7、岗位工在操作本岗位附近支架等设备时，注意保护设备，防止移架造成监控线路挤断；</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8、视频监控管理单位必须做好监控值班管理，做到有人员看守，发现监控系统异常时，及时安排人员处理；</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9、工作面所有的视频监控装置必须完好可靠，严禁出现失爆现象；</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10、工作面所有视频监控线路必须捋直吊挂整齐，不得随意放置；</w:t>
      </w:r>
    </w:p>
    <w:p>
      <w:pPr>
        <w:pStyle w:val="12"/>
        <w:keepNext w:val="0"/>
        <w:keepLines w:val="0"/>
        <w:pageBreakBefore w:val="0"/>
        <w:widowControl w:val="0"/>
        <w:kinsoku/>
        <w:wordWrap/>
        <w:overflowPunct/>
        <w:topLinePunct w:val="0"/>
        <w:autoSpaceDE/>
        <w:autoSpaceDN/>
        <w:bidi w:val="0"/>
        <w:spacing w:after="0" w:line="39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11、工作面所有视频监控设备传输线缆必须具备阻燃和抗静电性能；</w:t>
      </w:r>
    </w:p>
    <w:p>
      <w:pPr>
        <w:pStyle w:val="12"/>
        <w:keepNext w:val="0"/>
        <w:keepLines w:val="0"/>
        <w:pageBreakBefore w:val="0"/>
        <w:widowControl w:val="0"/>
        <w:kinsoku/>
        <w:wordWrap/>
        <w:overflowPunct/>
        <w:topLinePunct w:val="0"/>
        <w:autoSpaceDE/>
        <w:autoSpaceDN/>
        <w:bidi w:val="0"/>
        <w:spacing w:after="0" w:line="39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12、严禁对视频监控设备电源未经允许随意停电作业，需停电作业的，必须履行停送电管理规定。</w:t>
      </w:r>
    </w:p>
    <w:p>
      <w:pPr>
        <w:pStyle w:val="4"/>
        <w:keepNext w:val="0"/>
        <w:keepLines w:val="0"/>
        <w:pageBreakBefore w:val="0"/>
        <w:widowControl w:val="0"/>
        <w:kinsoku/>
        <w:wordWrap/>
        <w:overflowPunct/>
        <w:topLinePunct w:val="0"/>
        <w:autoSpaceDE/>
        <w:autoSpaceDN/>
        <w:bidi w:val="0"/>
        <w:snapToGrid w:val="0"/>
        <w:spacing w:before="0" w:after="0" w:line="390" w:lineRule="exact"/>
        <w:ind w:firstLine="0" w:firstLineChars="0"/>
        <w:rPr>
          <w:rFonts w:hint="default" w:ascii="黑体" w:hAnsi="黑体" w:eastAsia="黑体" w:cs="仿宋_GB2312"/>
          <w:color w:val="000000" w:themeColor="text1"/>
          <w:sz w:val="28"/>
          <w:szCs w:val="28"/>
          <w:lang w:val="en-US" w:eastAsia="zh-CN"/>
          <w14:textFill>
            <w14:solidFill>
              <w14:schemeClr w14:val="tx1"/>
            </w14:solidFill>
          </w14:textFill>
        </w:rPr>
      </w:pPr>
      <w:r>
        <w:rPr>
          <w:rFonts w:hint="eastAsia" w:ascii="黑体" w:hAnsi="黑体" w:eastAsia="黑体" w:cs="仿宋_GB2312"/>
          <w:color w:val="000000" w:themeColor="text1"/>
          <w:sz w:val="28"/>
          <w:szCs w:val="28"/>
          <w:lang w:val="en-US" w:eastAsia="zh-CN"/>
          <w14:textFill>
            <w14:solidFill>
              <w14:schemeClr w14:val="tx1"/>
            </w14:solidFill>
          </w14:textFill>
        </w:rPr>
        <w:t>第十节 供液系统</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一、工作面供液系统安装及使用：</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液压支架安装前，需对主进液管路按1.5倍最大工作压力逐根做耐压试验；其他胶管进行抽检。</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液压支架胶管安装时，单路胶管需与连接座进行辅助固定；两路及以上平行布置的，需用扎带进行捆扎，防止胶管脱扣、爆裂甩管伤人。</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主进、回液胶管及架间进、回液胶管安装时，均需安装橡胶或弹簧保护套，防止胶管外表面磨损。</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远距离供液管路需编号管理。</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液压胶管橡胶层脱落、裸露的钢丝层断丝或锈蚀严重、液压胶管接头处出现异常鼓包的需更换；超过液压胶管服务年限的一律更换。</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完善对液压胶管的抽检、送检工作，确保采购的液压胶管许用耐压强度符合设计要求。</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工作面复用的液压胶管及耐压强度标识不清的液压胶管需做耐压试验，耐压强度达不到使用压力要求的严禁复用。</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液压胶管更换时，其耐压强度要与压力需求相匹配。</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r>
        <w:rPr>
          <w:rFonts w:hint="eastAsia" w:ascii="仿宋" w:hAnsi="仿宋" w:eastAsia="仿宋" w:cs="仿宋"/>
          <w:color w:val="000000" w:themeColor="text1"/>
          <w:sz w:val="24"/>
          <w14:textFill>
            <w14:solidFill>
              <w14:schemeClr w14:val="tx1"/>
            </w14:solidFill>
          </w14:textFill>
        </w:rPr>
        <w:t>定期对在用液压胶管进行全面排查，发现问题及时更换。</w:t>
      </w:r>
    </w:p>
    <w:p>
      <w:pPr>
        <w:keepNext w:val="0"/>
        <w:keepLines w:val="0"/>
        <w:pageBreakBefore w:val="0"/>
        <w:widowControl w:val="0"/>
        <w:kinsoku/>
        <w:wordWrap/>
        <w:overflowPunct/>
        <w:topLinePunct w:val="0"/>
        <w:autoSpaceDE/>
        <w:autoSpaceDN/>
        <w:bidi w:val="0"/>
        <w:snapToGrid w:val="0"/>
        <w:spacing w:line="39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支架主进、回液胶管应布置在立柱后方，避免布置在人行道侧。</w:t>
      </w:r>
    </w:p>
    <w:p>
      <w:pPr>
        <w:pStyle w:val="13"/>
        <w:keepNext w:val="0"/>
        <w:keepLines w:val="0"/>
        <w:pageBreakBefore w:val="0"/>
        <w:widowControl w:val="0"/>
        <w:kinsoku/>
        <w:wordWrap/>
        <w:overflowPunct/>
        <w:topLinePunct w:val="0"/>
        <w:autoSpaceDE/>
        <w:autoSpaceDN/>
        <w:bidi w:val="0"/>
        <w:spacing w:line="39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11、创建标准化供液硐室。分别制定泵站系统及水处理装备管理制度、操作规程、供液方案等牌板；健全各类检修维护台账。</w:t>
      </w:r>
    </w:p>
    <w:p>
      <w:pPr>
        <w:pStyle w:val="13"/>
        <w:keepNext w:val="0"/>
        <w:keepLines w:val="0"/>
        <w:pageBreakBefore w:val="0"/>
        <w:widowControl w:val="0"/>
        <w:kinsoku/>
        <w:wordWrap/>
        <w:overflowPunct/>
        <w:topLinePunct w:val="0"/>
        <w:autoSpaceDE/>
        <w:autoSpaceDN/>
        <w:bidi w:val="0"/>
        <w:spacing w:line="39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12、乳化液泵站自动给液装置、自动配比装置、泵箱防吸空装置齐全，并保证完好，正常使用。新购及升井大修的水处理装备，应具备乳化液浓度显示功能，自动化工作面应同时具备乳化液浓度在线上传功能；配齐糖量仪及电导率测试仪等相关检测工具。乳化液泵站压力不低于30MPa，浓度符合3%～5%的要求；使用高浓缩液时，浓度符合1%～3%的要求，具体参照说明书执行。严禁使用清水代替乳化液。</w:t>
      </w:r>
    </w:p>
    <w:p>
      <w:pPr>
        <w:pStyle w:val="13"/>
        <w:keepNext w:val="0"/>
        <w:keepLines w:val="0"/>
        <w:pageBreakBefore w:val="0"/>
        <w:widowControl w:val="0"/>
        <w:kinsoku/>
        <w:wordWrap/>
        <w:overflowPunct/>
        <w:topLinePunct w:val="0"/>
        <w:autoSpaceDE/>
        <w:autoSpaceDN/>
        <w:bidi w:val="0"/>
        <w:spacing w:line="39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13、加强液压系统管理，杜绝跑冒滴漏，确保系统完好，供液安全。</w:t>
      </w:r>
    </w:p>
    <w:p>
      <w:pPr>
        <w:pStyle w:val="13"/>
        <w:keepNext w:val="0"/>
        <w:keepLines w:val="0"/>
        <w:pageBreakBefore w:val="0"/>
        <w:widowControl w:val="0"/>
        <w:kinsoku/>
        <w:wordWrap/>
        <w:overflowPunct/>
        <w:topLinePunct w:val="0"/>
        <w:autoSpaceDE/>
        <w:autoSpaceDN/>
        <w:bidi w:val="0"/>
        <w:spacing w:line="39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14、液压支架喷雾、采煤机喷雾以及采煤机、刮板输送机电机冷却水应取自喷雾泵站，根据冷却水压力及流量要求安装减压阀及流量计。</w:t>
      </w:r>
    </w:p>
    <w:p>
      <w:pPr>
        <w:pStyle w:val="13"/>
        <w:keepNext w:val="0"/>
        <w:keepLines w:val="0"/>
        <w:pageBreakBefore w:val="0"/>
        <w:widowControl w:val="0"/>
        <w:kinsoku/>
        <w:wordWrap/>
        <w:overflowPunct/>
        <w:topLinePunct w:val="0"/>
        <w:autoSpaceDE/>
        <w:autoSpaceDN/>
        <w:bidi w:val="0"/>
        <w:spacing w:line="39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15、自动化工作面乳化泵站流量和高压供、回液管路规格必须能满足液压支架拉移要求。</w:t>
      </w:r>
    </w:p>
    <w:p>
      <w:pPr>
        <w:pStyle w:val="3"/>
        <w:keepNext w:val="0"/>
        <w:keepLines w:val="0"/>
        <w:snapToGrid w:val="0"/>
        <w:spacing w:before="0" w:after="0" w:line="400" w:lineRule="exact"/>
        <w:ind w:firstLine="0" w:firstLineChars="0"/>
        <w:jc w:val="both"/>
        <w:rPr>
          <w:rFonts w:ascii="仿宋" w:hAnsi="仿宋" w:eastAsia="仿宋" w:cs="仿宋_GB2312"/>
          <w:color w:val="000000" w:themeColor="text1"/>
          <w:szCs w:val="24"/>
          <w14:textFill>
            <w14:solidFill>
              <w14:schemeClr w14:val="tx1"/>
            </w14:solidFill>
          </w14:textFill>
        </w:rPr>
      </w:pPr>
      <w:r>
        <w:rPr>
          <w:rFonts w:hint="eastAsia" w:ascii="黑体" w:hAnsi="黑体" w:eastAsia="黑体" w:cs="仿宋_GB2312"/>
          <w:color w:val="000000" w:themeColor="text1"/>
          <w:sz w:val="30"/>
          <w:szCs w:val="30"/>
          <w14:textFill>
            <w14:solidFill>
              <w14:schemeClr w14:val="tx1"/>
            </w14:solidFill>
          </w14:textFill>
        </w:rPr>
        <w:t>第五章    劳动组织和主要技术经济指标</w:t>
      </w:r>
      <w:bookmarkEnd w:id="219"/>
    </w:p>
    <w:p>
      <w:pPr>
        <w:pStyle w:val="4"/>
        <w:keepNext w:val="0"/>
        <w:keepLines w:val="0"/>
        <w:snapToGrid w:val="0"/>
        <w:spacing w:before="0" w:after="0" w:line="400" w:lineRule="exact"/>
        <w:ind w:firstLine="0" w:firstLineChars="0"/>
        <w:rPr>
          <w:rFonts w:ascii="仿宋" w:hAnsi="仿宋" w:eastAsia="仿宋"/>
          <w:color w:val="000000" w:themeColor="text1"/>
          <w14:textFill>
            <w14:solidFill>
              <w14:schemeClr w14:val="tx1"/>
            </w14:solidFill>
          </w14:textFill>
        </w:rPr>
      </w:pPr>
      <w:bookmarkStart w:id="220" w:name="_Toc496212768"/>
      <w:r>
        <w:rPr>
          <w:rFonts w:hint="eastAsia" w:ascii="黑体" w:hAnsi="黑体" w:eastAsia="黑体" w:cs="仿宋_GB2312"/>
          <w:color w:val="000000" w:themeColor="text1"/>
          <w:sz w:val="28"/>
          <w:szCs w:val="28"/>
          <w14:textFill>
            <w14:solidFill>
              <w14:schemeClr w14:val="tx1"/>
            </w14:solidFill>
          </w14:textFill>
        </w:rPr>
        <w:t>第一节  劳动组织</w:t>
      </w:r>
      <w:bookmarkEnd w:id="220"/>
    </w:p>
    <w:p>
      <w:pPr>
        <w:pStyle w:val="60"/>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1、作业形式</w:t>
      </w:r>
    </w:p>
    <w:p>
      <w:pPr>
        <w:tabs>
          <w:tab w:val="left" w:pos="532"/>
        </w:tabs>
        <w:autoSpaceDE w:val="0"/>
        <w:autoSpaceDN w:val="0"/>
        <w:adjustRightInd w:val="0"/>
        <w:snapToGrid w:val="0"/>
        <w:spacing w:line="400" w:lineRule="exact"/>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采取</w:t>
      </w:r>
      <w:r>
        <w:rPr>
          <w:rFonts w:ascii="仿宋" w:hAnsi="仿宋" w:eastAsia="仿宋" w:cs="仿宋_GB2312"/>
          <w:color w:val="000000" w:themeColor="text1"/>
          <w:sz w:val="24"/>
          <w14:textFill>
            <w14:solidFill>
              <w14:schemeClr w14:val="tx1"/>
            </w14:solidFill>
          </w14:textFill>
        </w:rPr>
        <w:t>分段综合作业与追机作业相结合，多工序平行作业</w:t>
      </w:r>
      <w:r>
        <w:rPr>
          <w:rFonts w:hint="eastAsia" w:ascii="仿宋" w:hAnsi="仿宋" w:eastAsia="仿宋" w:cs="仿宋_GB2312"/>
          <w:color w:val="000000" w:themeColor="text1"/>
          <w:sz w:val="24"/>
          <w14:textFill>
            <w14:solidFill>
              <w14:schemeClr w14:val="tx1"/>
            </w14:solidFill>
          </w14:textFill>
        </w:rPr>
        <w:t>的形式。</w:t>
      </w:r>
    </w:p>
    <w:p>
      <w:pPr>
        <w:pStyle w:val="60"/>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2、循环方式</w:t>
      </w:r>
    </w:p>
    <w:p>
      <w:pPr>
        <w:tabs>
          <w:tab w:val="left" w:pos="532"/>
        </w:tabs>
        <w:autoSpaceDE w:val="0"/>
        <w:autoSpaceDN w:val="0"/>
        <w:adjustRightInd w:val="0"/>
        <w:snapToGrid w:val="0"/>
        <w:spacing w:line="400" w:lineRule="exact"/>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采取三八制循环方式，正常情况下一班采煤两班检修和杂活，当工作面来压显现强烈或工作面出水量较大等特殊情况下，为保证工作面快速推进，检修班在确保设备正常运转的前提下，要实现三班生产。</w:t>
      </w:r>
    </w:p>
    <w:p>
      <w:pPr>
        <w:pStyle w:val="60"/>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3、正规循环</w:t>
      </w:r>
    </w:p>
    <w:p>
      <w:pPr>
        <w:tabs>
          <w:tab w:val="left" w:pos="532"/>
        </w:tabs>
        <w:autoSpaceDE w:val="0"/>
        <w:autoSpaceDN w:val="0"/>
        <w:adjustRightInd w:val="0"/>
        <w:snapToGrid w:val="0"/>
        <w:jc w:val="both"/>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早</w:t>
      </w:r>
      <w:r>
        <w:rPr>
          <w:rFonts w:ascii="仿宋" w:hAnsi="仿宋" w:eastAsia="仿宋" w:cs="仿宋_GB2312"/>
          <w:color w:val="000000" w:themeColor="text1"/>
          <w:sz w:val="24"/>
          <w14:textFill>
            <w14:solidFill>
              <w14:schemeClr w14:val="tx1"/>
            </w14:solidFill>
          </w14:textFill>
        </w:rPr>
        <w:t>班</w:t>
      </w:r>
      <w:r>
        <w:rPr>
          <w:rFonts w:hint="eastAsia" w:ascii="仿宋" w:hAnsi="仿宋" w:eastAsia="仿宋" w:cs="仿宋_GB2312"/>
          <w:color w:val="000000" w:themeColor="text1"/>
          <w:sz w:val="24"/>
          <w14:textFill>
            <w14:solidFill>
              <w14:schemeClr w14:val="tx1"/>
            </w14:solidFill>
          </w14:textFill>
        </w:rPr>
        <w:t>检修，中班割煤</w:t>
      </w:r>
      <w:r>
        <w:rPr>
          <w:rFonts w:hint="eastAsia" w:ascii="仿宋" w:hAnsi="仿宋" w:eastAsia="仿宋" w:cs="仿宋_GB2312"/>
          <w:color w:val="000000" w:themeColor="text1"/>
          <w:sz w:val="24"/>
          <w:lang w:val="en-US" w:eastAsia="zh-CN"/>
          <w14:textFill>
            <w14:solidFill>
              <w14:schemeClr w14:val="tx1"/>
            </w14:solidFill>
          </w14:textFill>
        </w:rPr>
        <w:t>不超过3</w:t>
      </w:r>
      <w:r>
        <w:rPr>
          <w:rFonts w:hint="eastAsia" w:ascii="仿宋" w:hAnsi="仿宋" w:eastAsia="仿宋" w:cs="仿宋_GB2312"/>
          <w:color w:val="000000" w:themeColor="text1"/>
          <w:sz w:val="24"/>
          <w14:textFill>
            <w14:solidFill>
              <w14:schemeClr w14:val="tx1"/>
            </w14:solidFill>
          </w14:textFill>
        </w:rPr>
        <w:t>刀、夜班</w:t>
      </w:r>
      <w:r>
        <w:rPr>
          <w:rFonts w:hint="eastAsia" w:ascii="仿宋" w:hAnsi="仿宋" w:eastAsia="仿宋" w:cs="仿宋_GB2312"/>
          <w:color w:val="000000" w:themeColor="text1"/>
          <w:sz w:val="24"/>
          <w:lang w:val="en-US" w:eastAsia="zh-CN"/>
          <w14:textFill>
            <w14:solidFill>
              <w14:schemeClr w14:val="tx1"/>
            </w14:solidFill>
          </w14:textFill>
        </w:rPr>
        <w:t>杂活</w:t>
      </w:r>
      <w:r>
        <w:rPr>
          <w:rFonts w:hint="eastAsia" w:ascii="仿宋" w:hAnsi="仿宋" w:eastAsia="仿宋" w:cs="仿宋_GB2312"/>
          <w:color w:val="000000" w:themeColor="text1"/>
          <w:sz w:val="24"/>
          <w14:textFill>
            <w14:solidFill>
              <w14:schemeClr w14:val="tx1"/>
            </w14:solidFill>
          </w14:textFill>
        </w:rPr>
        <w:t>，保证正规循环作业。</w:t>
      </w:r>
    </w:p>
    <w:p>
      <w:pPr>
        <w:tabs>
          <w:tab w:val="left" w:pos="532"/>
        </w:tabs>
        <w:autoSpaceDE w:val="0"/>
        <w:autoSpaceDN w:val="0"/>
        <w:adjustRightInd w:val="0"/>
        <w:snapToGrid w:val="0"/>
        <w:ind w:firstLine="480"/>
        <w:jc w:val="center"/>
        <w:rPr>
          <w:color w:val="000000" w:themeColor="text1"/>
          <w14:textFill>
            <w14:solidFill>
              <w14:schemeClr w14:val="tx1"/>
            </w14:solidFill>
          </w14:textFill>
        </w:rPr>
      </w:pPr>
      <w:r>
        <w:object>
          <v:shape id="_x0000_i1026" o:spt="75" type="#_x0000_t75" style="height:232.1pt;width:306.1pt;" o:ole="t" filled="f" o:preferrelative="t" stroked="f" coordsize="21600,21600">
            <v:path/>
            <v:fill on="f" focussize="0,0"/>
            <v:stroke on="f"/>
            <v:imagedata r:id="rId25" cropleft="30120f" croptop="23902f" cropright="23988f" cropbottom="21539f" o:title=""/>
            <o:lock v:ext="edit" aspectratio="t"/>
            <w10:wrap type="none"/>
            <w10:anchorlock/>
          </v:shape>
          <o:OLEObject Type="Embed" ProgID="AutoCAD.Drawing.17" ShapeID="_x0000_i1026" DrawAspect="Content" ObjectID="_1468075726" r:id="rId24">
            <o:LockedField>false</o:LockedField>
          </o:OLEObject>
        </w:object>
      </w:r>
    </w:p>
    <w:p>
      <w:pPr>
        <w:tabs>
          <w:tab w:val="left" w:pos="532"/>
        </w:tabs>
        <w:autoSpaceDE w:val="0"/>
        <w:autoSpaceDN w:val="0"/>
        <w:adjustRightInd w:val="0"/>
        <w:snapToGrid w:val="0"/>
        <w:spacing w:line="400" w:lineRule="exact"/>
        <w:ind w:firstLine="480"/>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图2  工作面正规循环作业图表</w:t>
      </w:r>
    </w:p>
    <w:p>
      <w:pPr>
        <w:tabs>
          <w:tab w:val="left" w:pos="532"/>
        </w:tabs>
        <w:autoSpaceDE w:val="0"/>
        <w:autoSpaceDN w:val="0"/>
        <w:adjustRightInd w:val="0"/>
        <w:snapToGrid w:val="0"/>
        <w:spacing w:line="400" w:lineRule="exact"/>
        <w:ind w:firstLine="0" w:firstLineChars="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4、工作面劳动组织</w:t>
      </w:r>
    </w:p>
    <w:p>
      <w:pPr>
        <w:tabs>
          <w:tab w:val="left" w:pos="0"/>
        </w:tabs>
        <w:snapToGrid w:val="0"/>
        <w:spacing w:line="400" w:lineRule="exact"/>
        <w:ind w:firstLine="420"/>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表22  工作面劳动组织图表（包括非限员管理区域）：</w:t>
      </w:r>
    </w:p>
    <w:tbl>
      <w:tblPr>
        <w:tblStyle w:val="36"/>
        <w:tblW w:w="8144" w:type="dxa"/>
        <w:jc w:val="center"/>
        <w:tblLayout w:type="fixed"/>
        <w:tblCellMar>
          <w:top w:w="0" w:type="dxa"/>
          <w:left w:w="108" w:type="dxa"/>
          <w:bottom w:w="0" w:type="dxa"/>
          <w:right w:w="108" w:type="dxa"/>
        </w:tblCellMar>
      </w:tblPr>
      <w:tblGrid>
        <w:gridCol w:w="671"/>
        <w:gridCol w:w="2694"/>
        <w:gridCol w:w="1417"/>
        <w:gridCol w:w="1418"/>
        <w:gridCol w:w="1134"/>
        <w:gridCol w:w="810"/>
      </w:tblGrid>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序号</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工 种</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生产一班</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生产二班</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检修班</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合 计</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跟班队长</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副队长</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4</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采煤机司机/采煤机检修工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5</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4</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三机司机/三机检修工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7</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5</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泵站司机/泵站检修工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6</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排水泵司机</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7</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支架工/支架检修工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7</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8</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皮带机司机/皮带机检修工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7</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9</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超前支护工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7</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10</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端头维护工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6</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11</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电工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6</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8</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12</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杂活工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5</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8</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18</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13</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放煤工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0</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14</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打眼工</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15</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安检员</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16</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瓦检员</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17</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default" w:ascii="仿宋" w:hAnsi="仿宋" w:eastAsia="仿宋" w:cs="仿宋"/>
                <w:color w:val="000000" w:themeColor="text1"/>
                <w:kern w:val="0"/>
                <w:szCs w:val="21"/>
                <w:lang w:val="en-US"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防冲员</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color w:val="000000" w:themeColor="text1"/>
                <w:kern w:val="0"/>
                <w:szCs w:val="21"/>
                <w:lang w:val="en-US"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color w:val="000000" w:themeColor="text1"/>
                <w:kern w:val="0"/>
                <w:szCs w:val="21"/>
                <w:lang w:val="en-US"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color w:val="000000" w:themeColor="text1"/>
                <w:kern w:val="0"/>
                <w:szCs w:val="21"/>
                <w:lang w:val="en-US"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1</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default" w:ascii="仿宋" w:hAnsi="仿宋" w:eastAsia="仿宋" w:cs="仿宋"/>
                <w:color w:val="000000" w:themeColor="text1"/>
                <w:kern w:val="0"/>
                <w:szCs w:val="21"/>
                <w:lang w:val="en-US" w:eastAsia="zh-CN"/>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18</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合计</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25</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default"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kern w:val="0"/>
                <w:szCs w:val="21"/>
                <w:lang w:val="en-US" w:eastAsia="zh-CN"/>
                <w14:textFill>
                  <w14:solidFill>
                    <w14:schemeClr w14:val="tx1"/>
                  </w14:solidFill>
                </w14:textFill>
              </w:rPr>
              <w:t>40</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hint="default"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90</w:t>
            </w:r>
          </w:p>
        </w:tc>
      </w:tr>
    </w:tbl>
    <w:p>
      <w:pPr>
        <w:snapToGrid w:val="0"/>
        <w:ind w:firstLine="420"/>
        <w:jc w:val="left"/>
      </w:pPr>
      <w:r>
        <w:rPr>
          <w:rFonts w:hint="eastAsia" w:ascii="仿宋" w:hAnsi="仿宋" w:eastAsia="仿宋" w:cs="仿宋_GB2312"/>
          <w:color w:val="000000" w:themeColor="text1"/>
          <w:szCs w:val="21"/>
          <w14:textFill>
            <w14:solidFill>
              <w14:schemeClr w14:val="tx1"/>
            </w14:solidFill>
          </w14:textFill>
        </w:rPr>
        <w:t>根据劳动组织图表，工作面日生产人数</w:t>
      </w:r>
      <w:r>
        <w:rPr>
          <w:rFonts w:hint="eastAsia" w:ascii="仿宋" w:hAnsi="仿宋" w:eastAsia="仿宋" w:cs="仿宋_GB2312"/>
          <w:color w:val="000000" w:themeColor="text1"/>
          <w:szCs w:val="21"/>
          <w:lang w:val="en-US" w:eastAsia="zh-CN"/>
          <w14:textFill>
            <w14:solidFill>
              <w14:schemeClr w14:val="tx1"/>
            </w14:solidFill>
          </w14:textFill>
        </w:rPr>
        <w:t>90</w:t>
      </w:r>
      <w:r>
        <w:rPr>
          <w:rFonts w:hint="eastAsia" w:ascii="仿宋" w:hAnsi="仿宋" w:eastAsia="仿宋" w:cs="仿宋_GB2312"/>
          <w:color w:val="000000" w:themeColor="text1"/>
          <w:szCs w:val="21"/>
          <w14:textFill>
            <w14:solidFill>
              <w14:schemeClr w14:val="tx1"/>
            </w14:solidFill>
          </w14:textFill>
        </w:rPr>
        <w:t>人，考虑到人员轮休及两巷杂活工作，本工作面实际需要的生产人员为137人。生产期间</w:t>
      </w:r>
      <w:r>
        <w:rPr>
          <w:rFonts w:ascii="仿宋" w:hAnsi="仿宋" w:eastAsia="仿宋" w:cs="仿宋"/>
          <w:color w:val="000000" w:themeColor="text1"/>
          <w:szCs w:val="21"/>
          <w14:textFill>
            <w14:solidFill>
              <w14:schemeClr w14:val="tx1"/>
            </w14:solidFill>
          </w14:textFill>
        </w:rPr>
        <w:t>限员管理区生产班进入人员班不得超过16人</w:t>
      </w:r>
      <w:r>
        <w:rPr>
          <w:rFonts w:hint="eastAsia" w:ascii="仿宋" w:hAnsi="仿宋" w:eastAsia="仿宋" w:cs="仿宋"/>
          <w:color w:val="000000" w:themeColor="text1"/>
          <w:szCs w:val="21"/>
          <w14:textFill>
            <w14:solidFill>
              <w14:schemeClr w14:val="tx1"/>
            </w14:solidFill>
          </w14:textFill>
        </w:rPr>
        <w:t>，如下表。</w:t>
      </w:r>
    </w:p>
    <w:tbl>
      <w:tblPr>
        <w:tblStyle w:val="36"/>
        <w:tblW w:w="5120" w:type="dxa"/>
        <w:jc w:val="center"/>
        <w:tblLayout w:type="fixed"/>
        <w:tblCellMar>
          <w:top w:w="0" w:type="dxa"/>
          <w:left w:w="108" w:type="dxa"/>
          <w:bottom w:w="0" w:type="dxa"/>
          <w:right w:w="108" w:type="dxa"/>
        </w:tblCellMar>
      </w:tblPr>
      <w:tblGrid>
        <w:gridCol w:w="671"/>
        <w:gridCol w:w="2694"/>
        <w:gridCol w:w="1755"/>
      </w:tblGrid>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序号</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工 种</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生产期间班人数</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跟班队长</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副队长</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采煤机司机</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4</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三机司机</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5</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支架工</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6</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超前支护工</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7</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端头维护工</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8</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放煤工</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w:t>
            </w:r>
          </w:p>
        </w:tc>
      </w:tr>
      <w:tr>
        <w:tblPrEx>
          <w:tblCellMar>
            <w:top w:w="0" w:type="dxa"/>
            <w:left w:w="108" w:type="dxa"/>
            <w:bottom w:w="0" w:type="dxa"/>
            <w:right w:w="108"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9</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合计</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13</w:t>
            </w:r>
          </w:p>
        </w:tc>
      </w:tr>
    </w:tbl>
    <w:p>
      <w:pPr>
        <w:pStyle w:val="13"/>
        <w:ind w:left="0" w:leftChars="0" w:firstLine="0" w:firstLineChars="0"/>
      </w:pPr>
    </w:p>
    <w:p>
      <w:pPr>
        <w:pStyle w:val="4"/>
        <w:keepNext w:val="0"/>
        <w:keepLines w:val="0"/>
        <w:snapToGrid w:val="0"/>
        <w:spacing w:before="0" w:after="0"/>
        <w:ind w:firstLine="562"/>
        <w:rPr>
          <w:rFonts w:ascii="黑体" w:hAnsi="黑体" w:eastAsia="黑体" w:cs="仿宋_GB2312"/>
          <w:color w:val="000000" w:themeColor="text1"/>
          <w:sz w:val="28"/>
          <w:szCs w:val="28"/>
          <w14:textFill>
            <w14:solidFill>
              <w14:schemeClr w14:val="tx1"/>
            </w14:solidFill>
          </w14:textFill>
        </w:rPr>
      </w:pPr>
      <w:bookmarkStart w:id="221" w:name="_Toc496212769"/>
      <w:r>
        <w:rPr>
          <w:rFonts w:hint="eastAsia" w:ascii="黑体" w:hAnsi="黑体" w:eastAsia="黑体" w:cs="仿宋_GB2312"/>
          <w:color w:val="000000" w:themeColor="text1"/>
          <w:sz w:val="28"/>
          <w:szCs w:val="28"/>
          <w14:textFill>
            <w14:solidFill>
              <w14:schemeClr w14:val="tx1"/>
            </w14:solidFill>
          </w14:textFill>
        </w:rPr>
        <w:t>第二节  技术经济指标</w:t>
      </w:r>
      <w:bookmarkEnd w:id="221"/>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表23  1303工作面技术经济指标表</w:t>
      </w:r>
    </w:p>
    <w:tbl>
      <w:tblPr>
        <w:tblStyle w:val="36"/>
        <w:tblW w:w="7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884"/>
        <w:gridCol w:w="1260"/>
        <w:gridCol w:w="180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序号</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项目</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指标</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工作面名称</w:t>
            </w:r>
          </w:p>
        </w:tc>
        <w:tc>
          <w:tcPr>
            <w:tcW w:w="486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1303工作面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工作面面长</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m</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180</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平距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走向长度</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m</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755</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平距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煤层可采厚度</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m</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平均12</w:t>
            </w:r>
            <w:r>
              <w:rPr>
                <w:rFonts w:hint="eastAsia" w:ascii="仿宋" w:hAnsi="仿宋" w:eastAsia="仿宋" w:cs="仿宋"/>
                <w:color w:val="000000" w:themeColor="text1"/>
                <w:szCs w:val="21"/>
                <w:lang w:val="en-US" w:eastAsia="zh-CN"/>
                <w14:textFill>
                  <w14:solidFill>
                    <w14:schemeClr w14:val="tx1"/>
                  </w14:solidFill>
                </w14:textFill>
              </w:rPr>
              <w:t>.3</w:t>
            </w:r>
            <w:r>
              <w:rPr>
                <w:rFonts w:hint="eastAsia" w:ascii="仿宋" w:hAnsi="仿宋" w:eastAsia="仿宋" w:cs="仿宋"/>
                <w:color w:val="000000" w:themeColor="text1"/>
                <w:szCs w:val="21"/>
                <w14:textFill>
                  <w14:solidFill>
                    <w14:schemeClr w14:val="tx1"/>
                  </w14:solidFill>
                </w14:textFill>
              </w:rPr>
              <w:t>m</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left="13" w:leftChars="-45" w:hanging="107" w:hangingChars="51"/>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煤层倾角</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度</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4°～11°</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煤体容重</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t/m</w:t>
            </w:r>
            <w:r>
              <w:rPr>
                <w:rFonts w:hint="eastAsia" w:ascii="宋体" w:hAnsi="宋体" w:eastAsia="宋体" w:cs="宋体"/>
                <w:color w:val="000000" w:themeColor="text1"/>
                <w:szCs w:val="21"/>
                <w14:textFill>
                  <w14:solidFill>
                    <w14:schemeClr w14:val="tx1"/>
                  </w14:solidFill>
                </w14:textFill>
              </w:rPr>
              <w:t>³</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1.40</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采高</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m</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3.5</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放煤高度</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m</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≯8.5</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采放比</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截深</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m</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0.8</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循环进度</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m</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0.8</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循环产量</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t</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2249</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日循环数</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个</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3</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w:t>
            </w:r>
          </w:p>
        </w:tc>
        <w:tc>
          <w:tcPr>
            <w:tcW w:w="1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日产量</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t</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6747</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420"/>
              <w:jc w:val="center"/>
              <w:textAlignment w:val="auto"/>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w:t>
            </w:r>
          </w:p>
        </w:tc>
        <w:tc>
          <w:tcPr>
            <w:tcW w:w="188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正规循环率</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95</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w:t>
            </w:r>
          </w:p>
        </w:tc>
        <w:tc>
          <w:tcPr>
            <w:tcW w:w="188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月产量</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t</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192289</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w:t>
            </w:r>
          </w:p>
        </w:tc>
        <w:tc>
          <w:tcPr>
            <w:tcW w:w="188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日出勤人数</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89</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w:t>
            </w:r>
          </w:p>
        </w:tc>
        <w:tc>
          <w:tcPr>
            <w:tcW w:w="188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回采工效</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t/工</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75.8</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19</w:t>
            </w:r>
          </w:p>
        </w:tc>
        <w:tc>
          <w:tcPr>
            <w:tcW w:w="188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服务年限</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月</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11.4</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仿宋" w:hAnsi="仿宋" w:eastAsia="仿宋" w:cs="仿宋"/>
                <w:color w:val="000000" w:themeColor="text1"/>
                <w:szCs w:val="21"/>
                <w14:textFill>
                  <w14:solidFill>
                    <w14:schemeClr w14:val="tx1"/>
                  </w14:solidFill>
                </w14:textFill>
              </w:rPr>
            </w:pPr>
          </w:p>
        </w:tc>
      </w:tr>
    </w:tbl>
    <w:p>
      <w:pPr>
        <w:pStyle w:val="3"/>
        <w:keepNext w:val="0"/>
        <w:keepLines w:val="0"/>
        <w:snapToGrid w:val="0"/>
        <w:spacing w:before="0" w:after="0"/>
        <w:ind w:firstLine="0" w:firstLineChars="0"/>
        <w:rPr>
          <w:rFonts w:ascii="黑体" w:hAnsi="黑体" w:eastAsia="黑体" w:cs="黑体"/>
          <w:color w:val="000000" w:themeColor="text1"/>
          <w:kern w:val="0"/>
          <w:sz w:val="30"/>
          <w:szCs w:val="30"/>
          <w14:textFill>
            <w14:solidFill>
              <w14:schemeClr w14:val="tx1"/>
            </w14:solidFill>
          </w14:textFill>
        </w:rPr>
      </w:pPr>
      <w:bookmarkStart w:id="222" w:name="_Toc496212771"/>
    </w:p>
    <w:p>
      <w:pPr>
        <w:snapToGrid w:val="0"/>
        <w:ind w:firstLine="0" w:firstLineChars="0"/>
        <w:jc w:val="center"/>
        <w:rPr>
          <w:rFonts w:ascii="仿宋" w:hAnsi="仿宋" w:eastAsia="仿宋" w:cs="仿宋_GB2312"/>
          <w:b/>
          <w:color w:val="000000" w:themeColor="text1"/>
          <w:sz w:val="24"/>
          <w14:textFill>
            <w14:solidFill>
              <w14:schemeClr w14:val="tx1"/>
            </w14:solidFill>
          </w14:textFill>
        </w:rPr>
      </w:pPr>
      <w:r>
        <w:rPr>
          <w:rFonts w:hint="eastAsia" w:ascii="黑体" w:hAnsi="黑体" w:eastAsia="黑体" w:cs="黑体"/>
          <w:b/>
          <w:bCs/>
          <w:color w:val="000000" w:themeColor="text1"/>
          <w:sz w:val="30"/>
          <w:szCs w:val="30"/>
          <w14:textFill>
            <w14:solidFill>
              <w14:schemeClr w14:val="tx1"/>
            </w14:solidFill>
          </w14:textFill>
        </w:rPr>
        <w:t>第六章  煤质管理</w:t>
      </w:r>
    </w:p>
    <w:p>
      <w:pPr>
        <w:pStyle w:val="12"/>
        <w:snapToGrid w:val="0"/>
        <w:spacing w:after="0"/>
        <w:ind w:firstLine="0" w:firstLineChars="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一、煤质管理措施</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1、认真贯彻落实公司和矿下达的煤质管理制度、文件，从严从细组织实施煤质管理办法，加强职工教育，增强煤质观念。</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2、严格控制机组冷却水和各转载点喷雾水、煤机内外喷雾水，各转载点人员必须严格贯彻执行“开机开水，停机停水”的原则，冷却水应尽量排至排水系统内。</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3、工作面过顶板破碎带时必须及时跟机拉架，必要时应采取超前拉架、带压移架或采取临时措施，防止矸石进入煤流系统。</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4、工作面发生片帮冒顶出现严重漏矸事故时，应及时拉超前架，及时处理冒落矸石，保证工作面安全顺利地通过，对工作面产生的大量矸石要采取分装分运办法进行处理，不得与原煤掺杂运输。</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5、工作面过断层时，降低采高，以煤机能通过为最低标准，尽量减少工作面回采期间破矸石量。</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6、放煤时必须严格执行多轮放煤措施，要注意观察放顶煤的情况，见矸后就及时关闭插板，严禁大量矸石流入煤流系统。 </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7、放煤结束后，工作面支架适当降低后尾梁高度，尾梁插板及时伸出，防止老塘矸石进入后部车；后部运输机及时拉移，防止老塘矸石流入。</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8、混入原煤中的大块矸石或杂物派专人要及时停车拣出，抛入上下隅角。</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9、检修时间，必须将各设备冷却水关闭（检查冷却系统时除外）。</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10、煤机割至上下端头时，应提前将煤壁上的网片、锚杆等处理掉，严禁进入运煤系统。</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11、使用的棉纱、废油、旧件、损坏件及工具等按指定点存放，严禁乱扔乱放。</w:t>
      </w:r>
    </w:p>
    <w:p>
      <w:pPr>
        <w:snapToGrid w:val="0"/>
        <w:ind w:firstLine="480"/>
        <w:rPr>
          <w:rFonts w:hint="eastAsia" w:ascii="仿宋" w:hAnsi="仿宋" w:eastAsia="仿宋" w:cs="仿宋_GB2312"/>
          <w:color w:val="000000" w:themeColor="text1"/>
          <w:sz w:val="24"/>
          <w14:textFill>
            <w14:solidFill>
              <w14:schemeClr w14:val="tx1"/>
            </w14:solidFill>
          </w14:textFill>
        </w:rPr>
      </w:pP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12、当班使用的饮料瓶、编织袋、包装纸、塑料袋必须清理干净，严禁进入煤流。</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13、加强设备检修，防止设备的零部件松动因松动、磨损、撞击等因素造成脱落，混入煤流中，尤其是对采煤机的截齿齿套应班班进行检查。</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14、运输机头司机和转载机司机在出煤过程中要仔细观察煤流中是否有大块矸石、铁器、木料等杂物，注意倾听煤流声音，发现异常后应立即闭锁停车，采取相应措施进行处理。</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15、机头、机尾支架工在拉架前务必先认真检查尾梁后和顶梁上是否有木料等杂物，如有木料等杂物混入煤流系统中，应及时通知运输机头司机密切观察，及时闭锁处理。</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16、用皮带打运物料时，必须指定专人到指定地点监视；下料人员必须将所有的物料搬下皮带，并由班队长清点清楚，确认无遗留后方可通知开启皮带。</w:t>
      </w:r>
    </w:p>
    <w:p>
      <w:pPr>
        <w:pStyle w:val="12"/>
        <w:snapToGrid w:val="0"/>
        <w:spacing w:after="0"/>
        <w:ind w:firstLine="0" w:firstLineChars="0"/>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二、保证煤炭回收率的措施</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1、放煤工应加强责任心，放煤时集中注意力，紧盯放煤口，同时两手协调操作插板和尾梁</w:t>
      </w:r>
      <w:r>
        <w:rPr>
          <w:rFonts w:hint="eastAsia" w:ascii="仿宋" w:hAnsi="仿宋" w:eastAsia="仿宋" w:cs="仿宋_GB2312"/>
          <w:color w:val="000000" w:themeColor="text1"/>
          <w:sz w:val="24"/>
          <w:lang w:val="en-US" w:eastAsia="zh-CN"/>
          <w14:textFill>
            <w14:solidFill>
              <w14:schemeClr w14:val="tx1"/>
            </w14:solidFill>
          </w14:textFill>
        </w:rPr>
        <w:t>电液控按钮</w:t>
      </w:r>
      <w:r>
        <w:rPr>
          <w:rFonts w:hint="eastAsia" w:ascii="仿宋" w:hAnsi="仿宋" w:eastAsia="仿宋" w:cs="仿宋_GB2312"/>
          <w:color w:val="000000" w:themeColor="text1"/>
          <w:sz w:val="24"/>
          <w14:textFill>
            <w14:solidFill>
              <w14:schemeClr w14:val="tx1"/>
            </w14:solidFill>
          </w14:textFill>
        </w:rPr>
        <w:t>，注意观察煤流情况，遇到矸石急剧增加时必须立即停止放煤。</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2、严禁漏架不放，顶煤要放干净，不得随意丢失顶煤，以加强顶煤的回收，提高回采率。</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3、顶煤放不下来时，可反复伸缩插板或上下摆动尾梁将大块煤挤碎将顶煤放下来；或者上下摆动支架立柱，小范围内反复升降几次，以破碎顶煤，然后按照放煤操作顺序进行放煤。</w:t>
      </w:r>
    </w:p>
    <w:p>
      <w:pPr>
        <w:snapToGrid w:val="0"/>
        <w:ind w:firstLine="480"/>
        <w:rPr>
          <w:rFonts w:ascii="黑体" w:hAnsi="黑体" w:eastAsia="黑体"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4、定期探查底煤厚度，确保工作面按设计的层位进行推进，严禁随意多留底煤，以提高回采率。</w:t>
      </w:r>
    </w:p>
    <w:p>
      <w:pPr>
        <w:pStyle w:val="3"/>
        <w:keepNext w:val="0"/>
        <w:keepLines w:val="0"/>
        <w:snapToGrid w:val="0"/>
        <w:spacing w:before="0" w:after="0"/>
        <w:ind w:firstLine="0" w:firstLineChars="0"/>
        <w:rPr>
          <w:rFonts w:ascii="黑体" w:hAnsi="黑体" w:eastAsia="黑体" w:cs="黑体"/>
          <w:color w:val="FF0000"/>
          <w:kern w:val="0"/>
          <w:sz w:val="30"/>
          <w:szCs w:val="30"/>
        </w:rPr>
      </w:pPr>
    </w:p>
    <w:p>
      <w:pPr>
        <w:snapToGrid w:val="0"/>
        <w:ind w:firstLine="420"/>
      </w:pPr>
    </w:p>
    <w:p>
      <w:pPr>
        <w:pStyle w:val="3"/>
        <w:keepNext w:val="0"/>
        <w:keepLines w:val="0"/>
        <w:snapToGrid w:val="0"/>
        <w:spacing w:before="0" w:after="0"/>
        <w:ind w:firstLine="0" w:firstLineChars="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第七章  自动化控制回采工艺</w:t>
      </w:r>
    </w:p>
    <w:p>
      <w:pPr>
        <w:pStyle w:val="4"/>
        <w:keepNext w:val="0"/>
        <w:keepLines w:val="0"/>
        <w:snapToGrid w:val="0"/>
        <w:spacing w:before="0" w:after="0"/>
        <w:ind w:firstLine="0" w:firstLineChars="0"/>
        <w:rPr>
          <w:rFonts w:ascii="黑体" w:hAnsi="黑体" w:eastAsia="黑体"/>
          <w:color w:val="000000" w:themeColor="text1"/>
          <w:sz w:val="28"/>
          <w:szCs w:val="28"/>
          <w14:textFill>
            <w14:solidFill>
              <w14:schemeClr w14:val="tx1"/>
            </w14:solidFill>
          </w14:textFill>
        </w:rPr>
      </w:pPr>
      <w:bookmarkStart w:id="223" w:name="_Toc28501"/>
      <w:bookmarkStart w:id="224" w:name="_Toc10151"/>
      <w:bookmarkStart w:id="225" w:name="_Toc24157"/>
      <w:bookmarkStart w:id="226" w:name="_Toc349651747"/>
      <w:bookmarkStart w:id="227" w:name="_Toc349651561"/>
      <w:bookmarkStart w:id="228" w:name="_Toc277836782"/>
      <w:bookmarkStart w:id="229" w:name="_Toc349651753"/>
      <w:bookmarkStart w:id="230" w:name="_Toc349651567"/>
      <w:r>
        <w:rPr>
          <w:rFonts w:hint="eastAsia" w:ascii="黑体" w:hAnsi="黑体" w:eastAsia="黑体"/>
          <w:color w:val="000000" w:themeColor="text1"/>
          <w:sz w:val="28"/>
          <w:szCs w:val="28"/>
          <w14:textFill>
            <w14:solidFill>
              <w14:schemeClr w14:val="tx1"/>
            </w14:solidFill>
          </w14:textFill>
        </w:rPr>
        <w:t>第一节  工作面自动化系统介绍</w:t>
      </w:r>
      <w:bookmarkEnd w:id="223"/>
      <w:bookmarkEnd w:id="224"/>
      <w:bookmarkEnd w:id="225"/>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本套综采自动化系统主要由液压支架电液控制系统、视频监控系统、泵站控制系统、采煤机电控系统、三机泵站集控系统、地面集控系统组成。使用该系统后综采工作面可实现正常采煤生产过程实现以采煤机记忆割煤为主，人工干预为辅；以液压支架自动跟机动作为主，人工干预为辅；以综采运输设备集中自动化控制为主，就地控制为辅；以综采设备数据监测为主，视频监控为辅；即“以工作面自动控制为主，人工干预控制为辅”的自动化生产模式；达到工作面少人安全高效开采。</w:t>
      </w:r>
    </w:p>
    <w:p>
      <w:pPr>
        <w:pStyle w:val="4"/>
        <w:keepNext w:val="0"/>
        <w:keepLines w:val="0"/>
        <w:snapToGrid w:val="0"/>
        <w:spacing w:before="0" w:after="0"/>
        <w:ind w:firstLine="0" w:firstLineChars="0"/>
        <w:rPr>
          <w:rFonts w:ascii="黑体" w:hAnsi="黑体" w:eastAsia="黑体"/>
          <w:color w:val="000000" w:themeColor="text1"/>
          <w:sz w:val="28"/>
          <w:szCs w:val="28"/>
          <w14:textFill>
            <w14:solidFill>
              <w14:schemeClr w14:val="tx1"/>
            </w14:solidFill>
          </w14:textFill>
        </w:rPr>
      </w:pPr>
      <w:bookmarkStart w:id="231" w:name="_Toc1451"/>
      <w:bookmarkStart w:id="232" w:name="_Toc31835"/>
      <w:bookmarkStart w:id="233" w:name="_Toc14657"/>
      <w:r>
        <w:rPr>
          <w:rFonts w:hint="eastAsia" w:ascii="黑体" w:hAnsi="黑体" w:eastAsia="黑体"/>
          <w:color w:val="000000" w:themeColor="text1"/>
          <w:sz w:val="28"/>
          <w:szCs w:val="28"/>
          <w14:textFill>
            <w14:solidFill>
              <w14:schemeClr w14:val="tx1"/>
            </w14:solidFill>
          </w14:textFill>
        </w:rPr>
        <w:t>第二节  系统构成</w:t>
      </w:r>
      <w:bookmarkEnd w:id="231"/>
      <w:bookmarkEnd w:id="232"/>
      <w:bookmarkEnd w:id="233"/>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系统主要集成了液压支架电液控制系统、视频监控系统、泵站控制系统、采煤机电控系统、三机泵站集控系统、顺槽集控系统组成和地面监控系统等。工作面自动化控制部分主要由井下集控中心和地面分控中心组成，井下集控中心主要由主控计算机、交换机、本质安全型操作台、电源和具备相应功能的软件等组成。地面分控中心主要由主控计算机、交换机和具备相应功能的软件组成。</w:t>
      </w:r>
    </w:p>
    <w:p>
      <w:pPr>
        <w:pStyle w:val="4"/>
        <w:keepNext w:val="0"/>
        <w:keepLines w:val="0"/>
        <w:snapToGrid w:val="0"/>
        <w:spacing w:before="0" w:after="0"/>
        <w:ind w:firstLine="0" w:firstLineChars="0"/>
        <w:rPr>
          <w:rFonts w:ascii="黑体" w:hAnsi="黑体" w:eastAsia="黑体"/>
          <w:color w:val="000000" w:themeColor="text1"/>
          <w:sz w:val="28"/>
          <w:szCs w:val="28"/>
          <w14:textFill>
            <w14:solidFill>
              <w14:schemeClr w14:val="tx1"/>
            </w14:solidFill>
          </w14:textFill>
        </w:rPr>
      </w:pPr>
      <w:bookmarkStart w:id="234" w:name="_Toc1588"/>
      <w:bookmarkStart w:id="235" w:name="_Toc11262"/>
      <w:bookmarkStart w:id="236" w:name="_Toc2742"/>
      <w:r>
        <w:rPr>
          <w:rFonts w:hint="eastAsia" w:ascii="黑体" w:hAnsi="黑体" w:eastAsia="黑体"/>
          <w:color w:val="000000" w:themeColor="text1"/>
          <w:sz w:val="28"/>
          <w:szCs w:val="28"/>
          <w14:textFill>
            <w14:solidFill>
              <w14:schemeClr w14:val="tx1"/>
            </w14:solidFill>
          </w14:textFill>
        </w:rPr>
        <w:t>第三节  整体功能</w:t>
      </w:r>
      <w:bookmarkEnd w:id="234"/>
      <w:bookmarkEnd w:id="235"/>
      <w:bookmarkEnd w:id="236"/>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自动化控制与监测系统通过数据集成及上传将采煤机控制系统、支架电液控制系统、工作面运输控制系统、三机控制系统、泵站控制系统及供电系统有机融合，辅以工作面煤壁和液压支架高清视频系统，实现了对综合机械化采煤工作面设备的协调管理与集中控制，实现了工作面液压支架电液控制系统跟机自动化与远程人工干预控制相结合的自动化采煤工作模式。该系统可以在顺槽或地面调度中心对采煤机工况和液压支架工况进行监测与远程集中控制，实时监控工作面综采设备运行工况和煤壁及顶板的空间状况。当设备异常或工作面空间形态异常时，可以在指挥控制中心通过远程人工干预手段对设备进行远程调控。</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自动化控制与监测系统实现了以下功能： </w:t>
      </w:r>
    </w:p>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 xml:space="preserve">一、自动化远程集中控制功能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将综采工作面主要设备，包括采煤机、液压支架、运输系统、供电系统、供液系统，通过自动化控制系统连接起来，实现在井下集控中心和地面调度中心的远程集中控制，并实现“一键启停”和“顺序启停”功能。在远程操作台上能够实现对采煤机的启停采煤机液压电机、启停截割电机、启停牵引电机、更改行进放心、加减速、摇臂升降调节等控制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实现对任意单个支架或成组支架实现推溜、降架、拉架、升架等其他功能动作的执行控制。实现对破碎机、转载机、前后部运输机、皮带机单独启停功能。 </w:t>
      </w:r>
    </w:p>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 xml:space="preserve">二、采煤机全工作面记忆截割功能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采用智能决策记忆割煤技术实现采煤机的自动化割煤过程。通过读取采煤机机身传感器的高度、速度、当前位置等数据在控制程序数据库进行记忆，实现对“示范刀”和历史割煤数据的学习，最终实现记忆截割。集控中心能够控制采煤机开启、停止记忆割煤功能，自动化开采过程中全部工艺段均采用记忆割煤，包括割三角煤、斜切进刀、扫浮煤、中间段工艺等实现综放工作面自动化控制开采。</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液压支架全工作面跟机自动化与远程人工干预功能在液压支架电液控制系统实现全工作面跟机自动化的基础上，将电液控制系统的数据与液压支架视频相结合，通过集控操作中心和地面调度中心的操作台对液压支架进行人工干预，以满足复杂环境下液压支架的自动化控制。 </w:t>
      </w:r>
    </w:p>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 xml:space="preserve">三、泵站控制系统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集控中心通过与泵站</w:t>
      </w:r>
      <w:r>
        <w:rPr>
          <w:rFonts w:hint="eastAsia" w:ascii="仿宋" w:hAnsi="仿宋" w:eastAsia="仿宋"/>
          <w:color w:val="000000" w:themeColor="text1"/>
          <w14:textFill>
            <w14:solidFill>
              <w14:schemeClr w14:val="tx1"/>
            </w14:solidFill>
          </w14:textFill>
        </w:rPr>
        <w:t>乳化液配比控制器的通讯，实现泵站的自动化控制配置的实时状态监测，实现乳化液泵、清水泵的远程控制。泵站系统及乳化液配比装置的相关运行数据经过通讯传输给集控中心，并在自动化控制主机上显示泵站工作状态、控制模式、泵站油温、油位、出口压力、液相液位及乳化液配比浓度等。实现对水处理、过滤、补液自动调配、高低液自动调整功能、单台乳化泵启停、单台清水泵启停、自动配比启停及多泵联机启停、泵站电磁卸荷、乳化液自动配比、流量自动控制、状态监测的控制。</w:t>
      </w:r>
    </w:p>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 xml:space="preserve">四、工作面视频监控功能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视频监控系统通过网络传输的方式完成对工作面采煤机、液压支架及采场状况的视频监控，实现集控中心显示器上跟随采煤机位置的变化自动切换显示的画面，实时监控采煤机截割部的状态和截割部位液压支架及煤壁的状态，实时为远程操作员建立身处现场实景的信息，确保远程操作的安全。通过视频监控系统传送工作面图像，操作人员根据煤层变化情况、滚筒截割情况、支架状态等信息，必要时对采煤机进行远程干预。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转载机机头、皮带机机头、电缆拖拽装置、设备列车等关键区域配置8台云台摄像仪，在集控中心进行实时监视。工作面每6架安装一台云台摄像仪用于动态跟踪采煤机。</w:t>
      </w:r>
    </w:p>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 xml:space="preserve">五、设备运行状态监控功能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井下集控中心和地面分控中心的显示界面上，能够实时显示出系统连接状态、采煤机运行状态、支架状态、三机和泵站控制系统工作状态。 </w:t>
      </w:r>
    </w:p>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 xml:space="preserve">六、数据统计分析功能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数据统计分析功能包括采煤机轨迹分析、工作面压力分布分析和支架单架压力分析功能。分析采煤机轨迹可以对比分析采煤机的工作状态和工作效率，工作面压力分布图可以给煤矿安全生产提供准确的数据参考，支架单架压力分析可以统计单个支架在不同时间段的压力分布，帮助设备维护人员了解支架工作状态。 </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七、智能设备识别定位功能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人员定位系统沿用工作面无线基站，在支架上配备定位标签，通过人员定位卡，识别人员在液压支架的位置，达到自动跟机时，自动动作闭锁，实现人员安全保护。</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（1）工作面人员携带识别卡，确定面内每一个人员的精确位置，定位误差不大于50cm。</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（2）工作面人员位置、人员数量等在集控中心显示屏上显示。</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（3）人员所在支架区域支架的从控闭锁。</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（4）配合声光报警灯实现危险区域声光报警。</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（5）具备集控界面人员位置提示，可设置本架及邻架安全闭锁架数。</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（6）具备自动跟机时根据人员位置闭锁移架，降柱等影响人身安全的动作，但不影响正常邻架、隔架动作的影响。</w:t>
      </w:r>
    </w:p>
    <w:p>
      <w:pPr>
        <w:pStyle w:val="4"/>
        <w:keepNext w:val="0"/>
        <w:keepLines w:val="0"/>
        <w:snapToGrid w:val="0"/>
        <w:spacing w:before="120" w:after="120"/>
        <w:ind w:firstLine="482"/>
        <w:rPr>
          <w:color w:val="000000" w:themeColor="text1"/>
          <w14:textFill>
            <w14:solidFill>
              <w14:schemeClr w14:val="tx1"/>
            </w14:solidFill>
          </w14:textFill>
        </w:rPr>
      </w:pPr>
      <w:bookmarkStart w:id="237" w:name="_Toc23736"/>
      <w:bookmarkStart w:id="238" w:name="_Toc32319"/>
      <w:bookmarkStart w:id="239" w:name="_Toc30598"/>
      <w:bookmarkStart w:id="240" w:name="_Toc479565440"/>
      <w:bookmarkStart w:id="241" w:name="_Toc260747231"/>
      <w:bookmarkStart w:id="242" w:name="_Toc367201215"/>
      <w:bookmarkStart w:id="243" w:name="_Toc233800743"/>
      <w:bookmarkStart w:id="244" w:name="_Toc479563840"/>
    </w:p>
    <w:p>
      <w:pPr>
        <w:pStyle w:val="4"/>
        <w:keepNext w:val="0"/>
        <w:keepLines w:val="0"/>
        <w:snapToGrid w:val="0"/>
        <w:spacing w:before="120" w:after="120"/>
        <w:ind w:firstLine="0" w:firstLineChars="0"/>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第四节 支架电液控制操作工序</w:t>
      </w:r>
      <w:bookmarkEnd w:id="237"/>
      <w:bookmarkEnd w:id="238"/>
      <w:bookmarkEnd w:id="239"/>
    </w:p>
    <w:bookmarkEnd w:id="240"/>
    <w:bookmarkEnd w:id="241"/>
    <w:bookmarkEnd w:id="242"/>
    <w:bookmarkEnd w:id="243"/>
    <w:bookmarkEnd w:id="244"/>
    <w:p>
      <w:pPr>
        <w:pStyle w:val="102"/>
        <w:ind w:firstLine="480"/>
        <w:rPr>
          <w:color w:val="000000" w:themeColor="text1"/>
          <w14:textFill>
            <w14:solidFill>
              <w14:schemeClr w14:val="tx1"/>
            </w14:solidFill>
          </w14:textFill>
        </w:rPr>
      </w:pPr>
      <w:bookmarkStart w:id="245" w:name="_Toc479565441"/>
      <w:bookmarkStart w:id="246" w:name="_Toc479563841"/>
      <w:r>
        <w:rPr>
          <w:rFonts w:hint="eastAsia"/>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257175</wp:posOffset>
            </wp:positionH>
            <wp:positionV relativeFrom="paragraph">
              <wp:posOffset>738505</wp:posOffset>
            </wp:positionV>
            <wp:extent cx="4770755" cy="2352675"/>
            <wp:effectExtent l="0" t="0" r="0" b="952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0755" cy="2352675"/>
                    </a:xfrm>
                    <a:prstGeom prst="rect">
                      <a:avLst/>
                    </a:prstGeom>
                  </pic:spPr>
                </pic:pic>
              </a:graphicData>
            </a:graphic>
          </wp:anchor>
        </w:drawing>
      </w:r>
      <w:r>
        <w:rPr>
          <w:rFonts w:hint="eastAsia"/>
          <w:color w:val="000000" w:themeColor="text1"/>
          <w14:textFill>
            <w14:solidFill>
              <w14:schemeClr w14:val="tx1"/>
            </w14:solidFill>
          </w14:textFill>
        </w:rPr>
        <w:t>电控系统的操作都是依靠控制器上的按键来完成的，控制器的正面图如下图3所示：</w:t>
      </w:r>
    </w:p>
    <w:p>
      <w:pPr>
        <w:pStyle w:val="102"/>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图3  控制器正面图</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一、邻架/隔架手动控制</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邻架控制：邻架控制指的是在本架即可以控制右边的支架，也可以控制左边的支架，但每次控制的支架只能是1架。</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隔架控制：隔架控制指的是可以控制距离操作架一定范围的支架（最远间隔5架），每次控制的支架也只能是一架；手动控制不是用手直接操作电磁先导阀，而是操作控制器按键来实现对支架的控制，动作执行时手必须持续按着按键，松开按键时则动作停止。</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1、第一步选择被控支架：</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领架操作时，在控制器界面下按数字“2”键选择被控支架为右邻架，“1”选择被控支架为左邻架。以右邻架操作为例，按数字“2”键选择邻架操作（此时被控架为右边第1架），在邻架模式下再次按数字“2”键选择隔架模式，则选择右边第2架，以此方式可以选择右边第3架到第5架。在右隔架模式下每按一次数字“1”键，则隔架操作的间隔架数减1（如当前被控架为右边第3架，按下数字“1”键，则被控架选择为右边第2架，再次按下数字“1”键，完成相同的操作，被控架为右邻架）。左隔架时被控支架的选择与右隔架操作方式类似。</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2、第二步发出动作指令：</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支架控制器具有多个动作快捷键用来快速完成对支架动作的控制。按下相应的按键则支架执行相应的动作，按键持续按下，则动作持续执行。快捷键功能分配如下（图4）：</w:t>
      </w:r>
    </w:p>
    <w:p>
      <w:pPr>
        <w:pStyle w:val="102"/>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6432" behindDoc="1" locked="0" layoutInCell="1" allowOverlap="1">
            <wp:simplePos x="0" y="0"/>
            <wp:positionH relativeFrom="column">
              <wp:posOffset>0</wp:posOffset>
            </wp:positionH>
            <wp:positionV relativeFrom="paragraph">
              <wp:posOffset>1128395</wp:posOffset>
            </wp:positionV>
            <wp:extent cx="5270500" cy="1142365"/>
            <wp:effectExtent l="0" t="0" r="6350" b="635"/>
            <wp:wrapTight wrapText="bothSides">
              <wp:wrapPolygon>
                <wp:start x="0" y="0"/>
                <wp:lineTo x="0" y="21252"/>
                <wp:lineTo x="21548" y="21252"/>
                <wp:lineTo x="21548" y="0"/>
                <wp:lineTo x="0"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0500" cy="1142365"/>
                    </a:xfrm>
                    <a:prstGeom prst="rect">
                      <a:avLst/>
                    </a:prstGeom>
                  </pic:spPr>
                </pic:pic>
              </a:graphicData>
            </a:graphic>
          </wp:anchor>
        </w:drawing>
      </w:r>
      <w:r>
        <w:rPr>
          <w:rFonts w:hint="eastAsia" w:ascii="仿宋" w:hAnsi="仿宋" w:eastAsia="仿宋"/>
          <w:color w:val="000000" w:themeColor="text1"/>
          <w:szCs w:val="24"/>
          <w14:textFill>
            <w14:solidFill>
              <w14:schemeClr w14:val="tx1"/>
            </w14:solidFill>
          </w14:textFill>
        </w:rPr>
        <w:drawing>
          <wp:anchor distT="0" distB="0" distL="114300" distR="114300" simplePos="0" relativeHeight="251665408" behindDoc="1" locked="0" layoutInCell="1" allowOverlap="1">
            <wp:simplePos x="0" y="0"/>
            <wp:positionH relativeFrom="column">
              <wp:posOffset>-17145</wp:posOffset>
            </wp:positionH>
            <wp:positionV relativeFrom="paragraph">
              <wp:posOffset>-28575</wp:posOffset>
            </wp:positionV>
            <wp:extent cx="5270500" cy="1151890"/>
            <wp:effectExtent l="0" t="0" r="6350" b="0"/>
            <wp:wrapTight wrapText="bothSides">
              <wp:wrapPolygon>
                <wp:start x="0" y="0"/>
                <wp:lineTo x="0" y="21076"/>
                <wp:lineTo x="21548" y="21076"/>
                <wp:lineTo x="21548"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0500" cy="1151890"/>
                    </a:xfrm>
                    <a:prstGeom prst="rect">
                      <a:avLst/>
                    </a:prstGeom>
                  </pic:spPr>
                </pic:pic>
              </a:graphicData>
            </a:graphic>
          </wp:anchor>
        </w:drawing>
      </w:r>
      <w:r>
        <w:rPr>
          <w:rFonts w:hint="eastAsia"/>
          <w:color w:val="000000" w:themeColor="text1"/>
          <w14:textFill>
            <w14:solidFill>
              <w14:schemeClr w14:val="tx1"/>
            </w14:solidFill>
          </w14:textFill>
        </w:rPr>
        <w:t>图4  支架控制器快捷键</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3、第三步结束动作：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松开按键，动作停止。</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二、领架/隔架自动降-移-升控制</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Style w:val="109"/>
          <w:rFonts w:hint="default" w:ascii="仿宋" w:hAnsi="仿宋" w:eastAsia="仿宋"/>
          <w:color w:val="000000" w:themeColor="text1"/>
          <w14:textFill>
            <w14:solidFill>
              <w14:schemeClr w14:val="tx1"/>
            </w14:solidFill>
          </w14:textFill>
        </w:rPr>
        <w:t>单架降</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移</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升自动控制的操作与邻架</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隔架手动控制的操作类似，差别在于选定被控支架后，对于选定的降</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移</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升功能的执行不必一直按着动作键，只需按下数字“3”键（见图3），支架的降</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移</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升动作即可自动执行完毕，并自动结束。</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1、第一步选择被控支架：</w:t>
      </w:r>
    </w:p>
    <w:p>
      <w:pPr>
        <w:pStyle w:val="102"/>
        <w:snapToGrid w:val="0"/>
        <w:spacing w:line="360" w:lineRule="auto"/>
        <w:ind w:firstLine="480"/>
        <w:rPr>
          <w:rStyle w:val="109"/>
          <w:rFonts w:hint="default" w:ascii="仿宋" w:hAnsi="仿宋" w:eastAsia="仿宋"/>
          <w:color w:val="000000" w:themeColor="text1"/>
          <w14:textFill>
            <w14:solidFill>
              <w14:schemeClr w14:val="tx1"/>
            </w14:solidFill>
          </w14:textFill>
        </w:rPr>
      </w:pPr>
      <w:r>
        <w:rPr>
          <w:rStyle w:val="109"/>
          <w:rFonts w:hint="default" w:ascii="仿宋" w:hAnsi="仿宋" w:eastAsia="仿宋"/>
          <w:color w:val="000000" w:themeColor="text1"/>
          <w14:textFill>
            <w14:solidFill>
              <w14:schemeClr w14:val="tx1"/>
            </w14:solidFill>
          </w14:textFill>
        </w:rPr>
        <w:t>被控架的选择与邻架</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隔架手动控制中被控架的选择方法一样。</w:t>
      </w:r>
    </w:p>
    <w:p>
      <w:pPr>
        <w:pStyle w:val="102"/>
        <w:snapToGrid w:val="0"/>
        <w:spacing w:line="360" w:lineRule="auto"/>
        <w:ind w:firstLine="0" w:firstLineChars="0"/>
        <w:rPr>
          <w:rStyle w:val="109"/>
          <w:rFonts w:hint="default" w:ascii="仿宋" w:hAnsi="仿宋" w:eastAsia="仿宋"/>
          <w:b/>
          <w:color w:val="000000" w:themeColor="text1"/>
          <w14:textFill>
            <w14:solidFill>
              <w14:schemeClr w14:val="tx1"/>
            </w14:solidFill>
          </w14:textFill>
        </w:rPr>
      </w:pPr>
      <w:r>
        <w:rPr>
          <w:rStyle w:val="109"/>
          <w:rFonts w:hint="default" w:ascii="仿宋" w:hAnsi="仿宋" w:eastAsia="仿宋"/>
          <w:b/>
          <w:color w:val="000000" w:themeColor="text1"/>
          <w14:textFill>
            <w14:solidFill>
              <w14:schemeClr w14:val="tx1"/>
            </w14:solidFill>
          </w14:textFill>
        </w:rPr>
        <w:t>2、第二步选择自动降</w:t>
      </w:r>
      <w:r>
        <w:rPr>
          <w:rStyle w:val="110"/>
          <w:rFonts w:ascii="仿宋" w:hAnsi="仿宋" w:eastAsia="仿宋"/>
          <w:b/>
          <w:color w:val="000000" w:themeColor="text1"/>
          <w14:textFill>
            <w14:solidFill>
              <w14:schemeClr w14:val="tx1"/>
            </w14:solidFill>
          </w14:textFill>
        </w:rPr>
        <w:t>-</w:t>
      </w:r>
      <w:r>
        <w:rPr>
          <w:rStyle w:val="109"/>
          <w:rFonts w:hint="default" w:ascii="仿宋" w:hAnsi="仿宋" w:eastAsia="仿宋"/>
          <w:b/>
          <w:color w:val="000000" w:themeColor="text1"/>
          <w14:textFill>
            <w14:solidFill>
              <w14:schemeClr w14:val="tx1"/>
            </w14:solidFill>
          </w14:textFill>
        </w:rPr>
        <w:t>移</w:t>
      </w:r>
      <w:r>
        <w:rPr>
          <w:rStyle w:val="110"/>
          <w:rFonts w:ascii="仿宋" w:hAnsi="仿宋" w:eastAsia="仿宋"/>
          <w:b/>
          <w:color w:val="000000" w:themeColor="text1"/>
          <w14:textFill>
            <w14:solidFill>
              <w14:schemeClr w14:val="tx1"/>
            </w14:solidFill>
          </w14:textFill>
        </w:rPr>
        <w:t>-</w:t>
      </w:r>
      <w:r>
        <w:rPr>
          <w:rStyle w:val="109"/>
          <w:rFonts w:hint="default" w:ascii="仿宋" w:hAnsi="仿宋" w:eastAsia="仿宋"/>
          <w:b/>
          <w:color w:val="000000" w:themeColor="text1"/>
          <w14:textFill>
            <w14:solidFill>
              <w14:schemeClr w14:val="tx1"/>
            </w14:solidFill>
          </w14:textFill>
        </w:rPr>
        <w:t>升动作并启动：</w:t>
      </w:r>
    </w:p>
    <w:p>
      <w:pPr>
        <w:pStyle w:val="102"/>
        <w:snapToGrid w:val="0"/>
        <w:spacing w:line="360" w:lineRule="auto"/>
        <w:ind w:firstLine="480"/>
        <w:rPr>
          <w:rStyle w:val="109"/>
          <w:rFonts w:hint="default" w:ascii="仿宋" w:hAnsi="仿宋" w:eastAsia="仿宋"/>
          <w:color w:val="000000" w:themeColor="text1"/>
          <w14:textFill>
            <w14:solidFill>
              <w14:schemeClr w14:val="tx1"/>
            </w14:solidFill>
          </w14:textFill>
        </w:rPr>
      </w:pPr>
      <w:r>
        <w:rPr>
          <w:rStyle w:val="109"/>
          <w:rFonts w:hint="default" w:ascii="仿宋" w:hAnsi="仿宋" w:eastAsia="仿宋"/>
          <w:color w:val="000000" w:themeColor="text1"/>
          <w14:textFill>
            <w14:solidFill>
              <w14:schemeClr w14:val="tx1"/>
            </w14:solidFill>
          </w14:textFill>
        </w:rPr>
        <w:t>自动降</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移</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升动作的选择与邻架</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隔架手动控制快捷键选择动作的方式一样， 按下数字“3”键选择自动降</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移</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升动作，程序自动启动自动降</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移</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升动作。</w:t>
      </w:r>
    </w:p>
    <w:p>
      <w:pPr>
        <w:pStyle w:val="102"/>
        <w:snapToGrid w:val="0"/>
        <w:spacing w:line="360" w:lineRule="auto"/>
        <w:ind w:firstLine="0" w:firstLineChars="0"/>
        <w:rPr>
          <w:rStyle w:val="109"/>
          <w:rFonts w:hint="default" w:ascii="仿宋" w:hAnsi="仿宋" w:eastAsia="仿宋"/>
          <w:b/>
          <w:color w:val="000000" w:themeColor="text1"/>
          <w14:textFill>
            <w14:solidFill>
              <w14:schemeClr w14:val="tx1"/>
            </w14:solidFill>
          </w14:textFill>
        </w:rPr>
      </w:pPr>
      <w:r>
        <w:rPr>
          <w:rStyle w:val="109"/>
          <w:rFonts w:hint="default" w:ascii="仿宋" w:hAnsi="仿宋" w:eastAsia="仿宋"/>
          <w:b/>
          <w:color w:val="000000" w:themeColor="text1"/>
          <w14:textFill>
            <w14:solidFill>
              <w14:schemeClr w14:val="tx1"/>
            </w14:solidFill>
          </w14:textFill>
        </w:rPr>
        <w:t>3、第三步停止自动降-移-升动作：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Style w:val="109"/>
          <w:rFonts w:hint="default" w:ascii="仿宋" w:hAnsi="仿宋" w:eastAsia="仿宋"/>
          <w:color w:val="000000" w:themeColor="text1"/>
          <w14:textFill>
            <w14:solidFill>
              <w14:schemeClr w14:val="tx1"/>
            </w14:solidFill>
          </w14:textFill>
        </w:rPr>
        <w:t>自动降</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移</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升动作在动作执行完成后，系统会自动停止，如果执行过程中想要终止该动作，可以按下红色“Stop”键随时</w:t>
      </w:r>
      <w:r>
        <w:rPr>
          <w:rStyle w:val="109"/>
          <w:rFonts w:hint="eastAsia" w:ascii="仿宋" w:hAnsi="仿宋" w:eastAsia="仿宋"/>
          <w:color w:val="000000" w:themeColor="text1"/>
          <w:lang w:val="en-US" w:eastAsia="zh-CN"/>
          <w14:textFill>
            <w14:solidFill>
              <w14:schemeClr w14:val="tx1"/>
            </w14:solidFill>
          </w14:textFill>
        </w:rPr>
        <w:t>停止</w:t>
      </w:r>
      <w:r>
        <w:rPr>
          <w:rStyle w:val="109"/>
          <w:rFonts w:hint="default" w:ascii="仿宋" w:hAnsi="仿宋" w:eastAsia="仿宋"/>
          <w:color w:val="000000" w:themeColor="text1"/>
          <w14:textFill>
            <w14:solidFill>
              <w14:schemeClr w14:val="tx1"/>
            </w14:solidFill>
          </w14:textFill>
        </w:rPr>
        <w:t>该动作。</w:t>
      </w:r>
    </w:p>
    <w:bookmarkEnd w:id="245"/>
    <w:bookmarkEnd w:id="246"/>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bookmarkStart w:id="247" w:name="_Toc233800747"/>
      <w:bookmarkStart w:id="248" w:name="_Toc260747238"/>
      <w:bookmarkStart w:id="249" w:name="_Toc367201219"/>
      <w:r>
        <w:rPr>
          <w:rFonts w:ascii="仿宋" w:hAnsi="仿宋" w:eastAsia="仿宋"/>
          <w:b/>
          <w:color w:val="000000" w:themeColor="text1"/>
          <w:sz w:val="24"/>
          <w:szCs w:val="24"/>
          <w14:textFill>
            <w14:solidFill>
              <w14:schemeClr w14:val="tx1"/>
            </w14:solidFill>
          </w14:textFill>
        </w:rPr>
        <w:t>三、支架成组动作控制</w:t>
      </w:r>
      <w:bookmarkEnd w:id="247"/>
      <w:bookmarkEnd w:id="248"/>
      <w:bookmarkEnd w:id="249"/>
    </w:p>
    <w:p>
      <w:pPr>
        <w:pStyle w:val="106"/>
        <w:snapToGrid w:val="0"/>
        <w:spacing w:line="360" w:lineRule="auto"/>
        <w:ind w:firstLine="480" w:firstLineChars="200"/>
        <w:rPr>
          <w:rFonts w:hint="default" w:ascii="仿宋" w:hAnsi="仿宋" w:eastAsia="仿宋"/>
          <w:color w:val="000000" w:themeColor="text1"/>
          <w:sz w:val="24"/>
          <w:szCs w:val="24"/>
          <w14:textFill>
            <w14:solidFill>
              <w14:schemeClr w14:val="tx1"/>
            </w14:solidFill>
          </w14:textFill>
        </w:rPr>
      </w:pPr>
      <w:r>
        <w:rPr>
          <w:rStyle w:val="109"/>
          <w:rFonts w:ascii="仿宋" w:hAnsi="仿宋" w:eastAsia="仿宋"/>
          <w:color w:val="000000" w:themeColor="text1"/>
          <w14:textFill>
            <w14:solidFill>
              <w14:schemeClr w14:val="tx1"/>
            </w14:solidFill>
          </w14:textFill>
        </w:rPr>
        <w:t>成组控制的方式有两种，分为成组手动控制与成组自动顺序控制。成组手动控制是指组内支架同时开始动作，同时停止动作。成组自动顺序控制是指按照时间或者动作完成的顺序从组内首架开始自动执行动作。这里“手动”含义与邻架</w:t>
      </w:r>
      <w:r>
        <w:rPr>
          <w:rStyle w:val="111"/>
          <w:rFonts w:hint="eastAsia" w:ascii="仿宋" w:hAnsi="仿宋" w:eastAsia="仿宋"/>
          <w:color w:val="000000" w:themeColor="text1"/>
          <w14:textFill>
            <w14:solidFill>
              <w14:schemeClr w14:val="tx1"/>
            </w14:solidFill>
          </w14:textFill>
        </w:rPr>
        <w:t>/</w:t>
      </w:r>
      <w:r>
        <w:rPr>
          <w:rStyle w:val="109"/>
          <w:rFonts w:ascii="仿宋" w:hAnsi="仿宋" w:eastAsia="仿宋"/>
          <w:color w:val="000000" w:themeColor="text1"/>
          <w14:textFill>
            <w14:solidFill>
              <w14:schemeClr w14:val="tx1"/>
            </w14:solidFill>
          </w14:textFill>
        </w:rPr>
        <w:t>隔架手动控制中手动的含义一致。“自动”含义是组内支架动作的执行不必一直按着动作键，只需按下对应的自动动作功能键，组内支架即会自动执行直到动作完成。</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（一）成组手动控制</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1、第一步选择成组方向：</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成组方向即为被控的该组支架相对于操作的位置。按</w:t>
      </w:r>
      <w:r>
        <w:rPr>
          <w:rFonts w:hint="eastAsia" w:ascii="仿宋" w:hAnsi="仿宋" w:eastAsia="仿宋"/>
          <w:color w:val="000000" w:themeColor="text1"/>
          <w:sz w:val="24"/>
          <w14:textFill>
            <w14:solidFill>
              <w14:schemeClr w14:val="tx1"/>
            </w14:solidFill>
          </w14:textFill>
        </w:rPr>
        <w:t>数字</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”键选择右成组，即被控的支架位于本架的右手侧； 按</w:t>
      </w:r>
      <w:r>
        <w:rPr>
          <w:rFonts w:hint="eastAsia" w:ascii="仿宋" w:hAnsi="仿宋" w:eastAsia="仿宋"/>
          <w:color w:val="000000" w:themeColor="text1"/>
          <w:sz w:val="24"/>
          <w14:textFill>
            <w14:solidFill>
              <w14:schemeClr w14:val="tx1"/>
            </w14:solidFill>
          </w14:textFill>
        </w:rPr>
        <w:t>数字</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4</w:t>
      </w:r>
      <w:r>
        <w:rPr>
          <w:rFonts w:ascii="仿宋" w:hAnsi="仿宋" w:eastAsia="仿宋"/>
          <w:color w:val="000000" w:themeColor="text1"/>
          <w:sz w:val="24"/>
          <w14:textFill>
            <w14:solidFill>
              <w14:schemeClr w14:val="tx1"/>
            </w14:solidFill>
          </w14:textFill>
        </w:rPr>
        <w:t>”键选择左成组，即被控的支架位于本架的左手侧。</w:t>
      </w:r>
      <w:r>
        <w:rPr>
          <w:rFonts w:ascii="仿宋" w:hAnsi="仿宋" w:eastAsia="仿宋"/>
          <w:color w:val="000000" w:themeColor="text1"/>
          <w:sz w:val="24"/>
          <w14:textFill>
            <w14:solidFill>
              <w14:schemeClr w14:val="tx1"/>
            </w14:solidFill>
          </w14:textFill>
        </w:rPr>
        <w:br w:type="textWrapping"/>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默认的成组架数为5架，以本架为中心（不包含本架，即本架不参与成组动作） ，前或者后5架范围内为成组区域。</w:t>
      </w:r>
    </w:p>
    <w:p>
      <w:pPr>
        <w:pStyle w:val="12"/>
        <w:snapToGrid w:val="0"/>
        <w:spacing w:after="0"/>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2、第二步发出动作指令：</w:t>
      </w:r>
    </w:p>
    <w:p>
      <w:pPr>
        <w:pStyle w:val="13"/>
        <w:snapToGrid w:val="0"/>
        <w:spacing w:line="360" w:lineRule="auto"/>
        <w:ind w:firstLine="446" w:firstLineChars="18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支架控制器具有多个动作快捷键用来快速完成对支架动作的控制。按下相应的按键则支架执行相应的动作，按键持续按下，则动作持续执行。</w:t>
      </w:r>
    </w:p>
    <w:p>
      <w:pPr>
        <w:pStyle w:val="13"/>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3、第三步结束动作：</w:t>
      </w:r>
    </w:p>
    <w:p>
      <w:pPr>
        <w:pStyle w:val="13"/>
        <w:snapToGrid w:val="0"/>
        <w:spacing w:line="360" w:lineRule="auto"/>
        <w:ind w:firstLine="48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松开按键，动作停止。</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（二）成组自动控制</w:t>
      </w:r>
    </w:p>
    <w:p>
      <w:pPr>
        <w:pStyle w:val="102"/>
        <w:snapToGrid w:val="0"/>
        <w:spacing w:line="360" w:lineRule="auto"/>
        <w:ind w:firstLine="480"/>
        <w:rPr>
          <w:rStyle w:val="109"/>
          <w:rFonts w:hint="default" w:ascii="仿宋" w:hAnsi="仿宋" w:eastAsia="仿宋"/>
          <w:color w:val="000000" w:themeColor="text1"/>
          <w14:textFill>
            <w14:solidFill>
              <w14:schemeClr w14:val="tx1"/>
            </w14:solidFill>
          </w14:textFill>
        </w:rPr>
      </w:pPr>
      <w:r>
        <w:rPr>
          <w:rStyle w:val="109"/>
          <w:rFonts w:hint="default" w:ascii="仿宋" w:hAnsi="仿宋" w:eastAsia="仿宋"/>
          <w:color w:val="000000" w:themeColor="text1"/>
          <w14:textFill>
            <w14:solidFill>
              <w14:schemeClr w14:val="tx1"/>
            </w14:solidFill>
          </w14:textFill>
        </w:rPr>
        <w:t>成组自动控制的操作与成组手动控制的操作类似，差别在于选定成组支架后，对于选定的降</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移</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升功能的执行不必一直按着动作键，只需按下绿色“Start”键，支架的降</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移</w:t>
      </w:r>
      <w:r>
        <w:rPr>
          <w:rStyle w:val="110"/>
          <w:rFonts w:ascii="仿宋" w:hAnsi="仿宋" w:eastAsia="仿宋"/>
          <w:color w:val="000000" w:themeColor="text1"/>
          <w14:textFill>
            <w14:solidFill>
              <w14:schemeClr w14:val="tx1"/>
            </w14:solidFill>
          </w14:textFill>
        </w:rPr>
        <w:t>-</w:t>
      </w:r>
      <w:r>
        <w:rPr>
          <w:rStyle w:val="109"/>
          <w:rFonts w:hint="default" w:ascii="仿宋" w:hAnsi="仿宋" w:eastAsia="仿宋"/>
          <w:color w:val="000000" w:themeColor="text1"/>
          <w14:textFill>
            <w14:solidFill>
              <w14:schemeClr w14:val="tx1"/>
            </w14:solidFill>
          </w14:textFill>
        </w:rPr>
        <w:t>升动作即可自动执行完毕，并自动结束。自动动作的开启需要在“允许设定”菜单下进行配置，开启后，按下成组操作后自动动作的提示灯才会亮起。</w:t>
      </w:r>
    </w:p>
    <w:p>
      <w:pPr>
        <w:pStyle w:val="102"/>
        <w:snapToGrid w:val="0"/>
        <w:spacing w:line="360" w:lineRule="auto"/>
        <w:ind w:firstLine="0" w:firstLineChars="0"/>
        <w:rPr>
          <w:rStyle w:val="109"/>
          <w:rFonts w:hint="default" w:ascii="仿宋" w:hAnsi="仿宋" w:eastAsia="仿宋"/>
          <w:b/>
          <w:color w:val="000000" w:themeColor="text1"/>
          <w14:textFill>
            <w14:solidFill>
              <w14:schemeClr w14:val="tx1"/>
            </w14:solidFill>
          </w14:textFill>
        </w:rPr>
      </w:pPr>
      <w:r>
        <w:rPr>
          <w:rStyle w:val="109"/>
          <w:rFonts w:hint="default" w:ascii="仿宋" w:hAnsi="仿宋" w:eastAsia="仿宋"/>
          <w:b/>
          <w:color w:val="000000" w:themeColor="text1"/>
          <w14:textFill>
            <w14:solidFill>
              <w14:schemeClr w14:val="tx1"/>
            </w14:solidFill>
          </w14:textFill>
        </w:rPr>
        <w:t>1、第一步选择成组支架方向：</w:t>
      </w:r>
    </w:p>
    <w:p>
      <w:pPr>
        <w:pStyle w:val="102"/>
        <w:snapToGrid w:val="0"/>
        <w:spacing w:line="360" w:lineRule="auto"/>
        <w:ind w:firstLine="480"/>
        <w:rPr>
          <w:rStyle w:val="109"/>
          <w:rFonts w:hint="default" w:ascii="仿宋" w:hAnsi="仿宋" w:eastAsia="仿宋"/>
          <w:color w:val="000000" w:themeColor="text1"/>
          <w14:textFill>
            <w14:solidFill>
              <w14:schemeClr w14:val="tx1"/>
            </w14:solidFill>
          </w14:textFill>
        </w:rPr>
      </w:pPr>
      <w:r>
        <w:rPr>
          <w:rStyle w:val="109"/>
          <w:rFonts w:hint="default" w:ascii="仿宋" w:hAnsi="仿宋" w:eastAsia="仿宋"/>
          <w:color w:val="000000" w:themeColor="text1"/>
          <w14:textFill>
            <w14:solidFill>
              <w14:schemeClr w14:val="tx1"/>
            </w14:solidFill>
          </w14:textFill>
        </w:rPr>
        <w:t>成组方向即为被控的该组支架相对于操作的位置。按数字“5”键选择右成组，即被控的支架位于本架的右手侧；按数字“4”键选择左成组，即被控的支架位于本架的左手侧。</w:t>
      </w:r>
    </w:p>
    <w:p>
      <w:pPr>
        <w:pStyle w:val="102"/>
        <w:snapToGrid w:val="0"/>
        <w:spacing w:line="360" w:lineRule="auto"/>
        <w:ind w:firstLine="0" w:firstLineChars="0"/>
        <w:rPr>
          <w:rStyle w:val="109"/>
          <w:rFonts w:hint="default" w:ascii="仿宋" w:hAnsi="仿宋" w:eastAsia="仿宋"/>
          <w:b/>
          <w:color w:val="000000" w:themeColor="text1"/>
          <w14:textFill>
            <w14:solidFill>
              <w14:schemeClr w14:val="tx1"/>
            </w14:solidFill>
          </w14:textFill>
        </w:rPr>
      </w:pPr>
      <w:r>
        <w:rPr>
          <w:rStyle w:val="109"/>
          <w:rFonts w:hint="default" w:ascii="仿宋" w:hAnsi="仿宋" w:eastAsia="仿宋"/>
          <w:b/>
          <w:color w:val="000000" w:themeColor="text1"/>
          <w14:textFill>
            <w14:solidFill>
              <w14:schemeClr w14:val="tx1"/>
            </w14:solidFill>
          </w14:textFill>
        </w:rPr>
        <w:t>2、第二步选择自动动作：</w:t>
      </w:r>
    </w:p>
    <w:p>
      <w:pPr>
        <w:pStyle w:val="102"/>
        <w:snapToGrid w:val="0"/>
        <w:spacing w:line="360" w:lineRule="auto"/>
        <w:ind w:firstLine="480"/>
        <w:rPr>
          <w:rStyle w:val="109"/>
          <w:rFonts w:hint="default" w:ascii="仿宋" w:hAnsi="仿宋" w:eastAsia="仿宋"/>
          <w:b/>
          <w:color w:val="000000" w:themeColor="text1"/>
          <w14:textFill>
            <w14:solidFill>
              <w14:schemeClr w14:val="tx1"/>
            </w14:solidFill>
          </w14:textFill>
        </w:rPr>
      </w:pPr>
      <w:r>
        <w:rPr>
          <w:rStyle w:val="109"/>
          <w:rFonts w:hint="default" w:ascii="仿宋" w:hAnsi="仿宋" w:eastAsia="仿宋"/>
          <w:color w:val="000000" w:themeColor="text1"/>
          <w14:textFill>
            <w14:solidFill>
              <w14:schemeClr w14:val="tx1"/>
            </w14:solidFill>
          </w14:textFill>
        </w:rPr>
        <w:t>支架控制器具有多个动作快捷键用来快速完成对支架动作的控制。按下相应的按键则支架执行相应的动作。</w:t>
      </w:r>
    </w:p>
    <w:p>
      <w:pPr>
        <w:pStyle w:val="102"/>
        <w:snapToGrid w:val="0"/>
        <w:spacing w:line="360" w:lineRule="auto"/>
        <w:ind w:firstLine="0" w:firstLineChars="0"/>
        <w:rPr>
          <w:rStyle w:val="109"/>
          <w:rFonts w:hint="default" w:ascii="仿宋" w:hAnsi="仿宋" w:eastAsia="仿宋"/>
          <w:b/>
          <w:color w:val="000000" w:themeColor="text1"/>
          <w14:textFill>
            <w14:solidFill>
              <w14:schemeClr w14:val="tx1"/>
            </w14:solidFill>
          </w14:textFill>
        </w:rPr>
      </w:pPr>
      <w:r>
        <w:rPr>
          <w:rStyle w:val="109"/>
          <w:rFonts w:hint="default" w:ascii="仿宋" w:hAnsi="仿宋" w:eastAsia="仿宋"/>
          <w:b/>
          <w:color w:val="000000" w:themeColor="text1"/>
          <w14:textFill>
            <w14:solidFill>
              <w14:schemeClr w14:val="tx1"/>
            </w14:solidFill>
          </w14:textFill>
        </w:rPr>
        <w:t>3、第三步启动自动动作：</w:t>
      </w:r>
    </w:p>
    <w:p>
      <w:pPr>
        <w:pStyle w:val="102"/>
        <w:snapToGrid w:val="0"/>
        <w:spacing w:line="360" w:lineRule="auto"/>
        <w:ind w:firstLine="480"/>
        <w:rPr>
          <w:rStyle w:val="109"/>
          <w:rFonts w:hint="default" w:ascii="仿宋" w:hAnsi="仿宋" w:eastAsia="仿宋"/>
          <w:color w:val="000000" w:themeColor="text1"/>
          <w14:textFill>
            <w14:solidFill>
              <w14:schemeClr w14:val="tx1"/>
            </w14:solidFill>
          </w14:textFill>
        </w:rPr>
      </w:pPr>
      <w:r>
        <w:rPr>
          <w:rStyle w:val="109"/>
          <w:rFonts w:hint="default" w:ascii="仿宋" w:hAnsi="仿宋" w:eastAsia="仿宋"/>
          <w:color w:val="000000" w:themeColor="text1"/>
          <w14:textFill>
            <w14:solidFill>
              <w14:schemeClr w14:val="tx1"/>
            </w14:solidFill>
          </w14:textFill>
        </w:rPr>
        <w:t>按下绿色“Start”键启动自动动作。</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Style w:val="109"/>
          <w:rFonts w:hint="default" w:ascii="仿宋" w:hAnsi="仿宋" w:eastAsia="仿宋"/>
          <w:b/>
          <w:color w:val="000000" w:themeColor="text1"/>
          <w14:textFill>
            <w14:solidFill>
              <w14:schemeClr w14:val="tx1"/>
            </w14:solidFill>
          </w14:textFill>
        </w:rPr>
        <w:t>4、第四步停止自动降-移-升动作：</w:t>
      </w:r>
    </w:p>
    <w:p>
      <w:pPr>
        <w:pStyle w:val="102"/>
        <w:snapToGrid w:val="0"/>
        <w:spacing w:line="360" w:lineRule="auto"/>
        <w:ind w:firstLine="480"/>
        <w:rPr>
          <w:rStyle w:val="109"/>
          <w:rFonts w:hint="default" w:ascii="仿宋" w:hAnsi="仿宋" w:eastAsia="仿宋"/>
          <w:color w:val="000000" w:themeColor="text1"/>
          <w14:textFill>
            <w14:solidFill>
              <w14:schemeClr w14:val="tx1"/>
            </w14:solidFill>
          </w14:textFill>
        </w:rPr>
      </w:pPr>
      <w:r>
        <w:rPr>
          <w:rStyle w:val="109"/>
          <w:rFonts w:hint="default" w:ascii="仿宋" w:hAnsi="仿宋" w:eastAsia="仿宋"/>
          <w:color w:val="000000" w:themeColor="text1"/>
          <w14:textFill>
            <w14:solidFill>
              <w14:schemeClr w14:val="tx1"/>
            </w14:solidFill>
          </w14:textFill>
        </w:rPr>
        <w:t>自动动作在动作执行完成后，系统会自动停止，如果执行过程中想要终止该动作，可以按下红色“Stop”键键随时</w:t>
      </w:r>
      <w:r>
        <w:rPr>
          <w:rStyle w:val="109"/>
          <w:rFonts w:hint="eastAsia" w:ascii="仿宋" w:hAnsi="仿宋" w:eastAsia="仿宋"/>
          <w:color w:val="000000" w:themeColor="text1"/>
          <w:lang w:val="en-US" w:eastAsia="zh-CN"/>
          <w14:textFill>
            <w14:solidFill>
              <w14:schemeClr w14:val="tx1"/>
            </w14:solidFill>
          </w14:textFill>
        </w:rPr>
        <w:t>停止</w:t>
      </w:r>
      <w:r>
        <w:rPr>
          <w:rStyle w:val="109"/>
          <w:rFonts w:hint="default" w:ascii="仿宋" w:hAnsi="仿宋" w:eastAsia="仿宋"/>
          <w:color w:val="000000" w:themeColor="text1"/>
          <w14:textFill>
            <w14:solidFill>
              <w14:schemeClr w14:val="tx1"/>
            </w14:solidFill>
          </w14:textFill>
        </w:rPr>
        <w:t>该动作。</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四、自动补压操作</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支架控制器在自动补压功能允许的情况下</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实时检测支架立柱的下腔压力</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 xml:space="preserve"> 以获取支架对顶板的支撑情况</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在支撑过程中如因某种原因发生立柱下腔压力降落</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并当压力降至某一设定的阈值时</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系统会自动执行升柱动作</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从而将立柱下腔压力补充到规定安全压力值以上</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自动补压过程能够执行多次</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以保证支护质量。</w:t>
      </w:r>
    </w:p>
    <w:p>
      <w:pPr>
        <w:snapToGrid w:val="0"/>
        <w:ind w:firstLine="0" w:firstLineChars="0"/>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1、检查并设定自动补压参数</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自动补压参数可以通过“参数配置”菜单进行设定。</w:t>
      </w:r>
    </w:p>
    <w:p>
      <w:pPr>
        <w:snapToGrid w:val="0"/>
        <w:ind w:firstLine="0" w:firstLineChars="0"/>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2、开启自动补压功能</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在系统空闲界面下按</w:t>
      </w:r>
      <w:r>
        <w:rPr>
          <w:rFonts w:hint="eastAsia" w:ascii="仿宋" w:hAnsi="仿宋" w:eastAsia="仿宋"/>
          <w:color w:val="000000" w:themeColor="text1"/>
          <w:sz w:val="24"/>
          <w14:textFill>
            <w14:solidFill>
              <w14:schemeClr w14:val="tx1"/>
            </w14:solidFill>
          </w14:textFill>
        </w:rPr>
        <w:t>数字“</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键</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系统显示的最后一行提示</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PSA ：ON/OFF</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 xml:space="preserve"> ,即开启或者关闭自动补压功能</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自动补压开启后，按键</w:t>
      </w:r>
      <w:r>
        <w:rPr>
          <w:rFonts w:hint="eastAsia" w:ascii="仿宋" w:hAnsi="仿宋" w:eastAsia="仿宋"/>
          <w:color w:val="000000" w:themeColor="text1"/>
          <w:sz w:val="24"/>
          <w14:textFill>
            <w14:solidFill>
              <w14:schemeClr w14:val="tx1"/>
            </w14:solidFill>
          </w14:textFill>
        </w:rPr>
        <w:t>数字</w:t>
      </w:r>
      <w:r>
        <w:rPr>
          <w:rFonts w:ascii="仿宋" w:hAnsi="仿宋" w:eastAsia="仿宋"/>
          <w:color w:val="000000" w:themeColor="text1"/>
          <w:sz w:val="24"/>
          <w14:textFill>
            <w14:solidFill>
              <w14:schemeClr w14:val="tx1"/>
            </w14:solidFill>
          </w14:textFill>
        </w:rPr>
        <w:t>“0”键左上角的灯会进行闪烁，以提示自动补压正在运行。</w:t>
      </w:r>
      <w:r>
        <w:rPr>
          <w:rFonts w:hint="eastAsia" w:ascii="仿宋" w:hAnsi="仿宋" w:eastAsia="仿宋"/>
          <w:color w:val="000000" w:themeColor="text1"/>
          <w:sz w:val="24"/>
          <w14:textFill>
            <w14:solidFill>
              <w14:schemeClr w14:val="tx1"/>
            </w14:solidFill>
          </w14:textFill>
        </w:rPr>
        <w:br w:type="textWrapping"/>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注：开启自动补压功能并不意味着会立即执行升柱动作</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而是要检测到立柱下降压力降落到阈值以下才会执行升柱动作。</w:t>
      </w:r>
    </w:p>
    <w:p>
      <w:pPr>
        <w:pStyle w:val="12"/>
        <w:snapToGrid w:val="0"/>
        <w:spacing w:after="0"/>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3、自动补压功能关闭</w:t>
      </w:r>
    </w:p>
    <w:p>
      <w:pPr>
        <w:pStyle w:val="13"/>
        <w:snapToGrid w:val="0"/>
        <w:spacing w:line="360" w:lineRule="auto"/>
        <w:ind w:firstLine="48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自动补压失败后，系统会自动关闭自动补压功能。</w:t>
      </w:r>
    </w:p>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bookmarkStart w:id="250" w:name="_Toc367201220"/>
      <w:bookmarkStart w:id="251" w:name="_Toc233800752"/>
      <w:bookmarkStart w:id="252" w:name="_Toc260747242"/>
      <w:r>
        <w:rPr>
          <w:rFonts w:ascii="仿宋" w:hAnsi="仿宋" w:eastAsia="仿宋"/>
          <w:b/>
          <w:color w:val="000000" w:themeColor="text1"/>
          <w:sz w:val="24"/>
          <w:szCs w:val="24"/>
          <w14:textFill>
            <w14:solidFill>
              <w14:schemeClr w14:val="tx1"/>
            </w14:solidFill>
          </w14:textFill>
        </w:rPr>
        <w:t>五、本架操作</w:t>
      </w:r>
    </w:p>
    <w:p>
      <w:pPr>
        <w:pStyle w:val="106"/>
        <w:snapToGrid w:val="0"/>
        <w:spacing w:line="360" w:lineRule="auto"/>
        <w:ind w:firstLine="480" w:firstLineChars="200"/>
        <w:rPr>
          <w:rStyle w:val="109"/>
          <w:rFonts w:hint="default" w:ascii="仿宋" w:hAnsi="仿宋" w:eastAsia="仿宋"/>
          <w:color w:val="000000" w:themeColor="text1"/>
          <w14:textFill>
            <w14:solidFill>
              <w14:schemeClr w14:val="tx1"/>
            </w14:solidFill>
          </w14:textFill>
        </w:rPr>
      </w:pPr>
      <w:r>
        <w:rPr>
          <w:rStyle w:val="109"/>
          <w:rFonts w:ascii="仿宋" w:hAnsi="仿宋" w:eastAsia="仿宋"/>
          <w:color w:val="000000" w:themeColor="text1"/>
          <w14:textFill>
            <w14:solidFill>
              <w14:schemeClr w14:val="tx1"/>
            </w14:solidFill>
          </w14:textFill>
        </w:rPr>
        <w:t>支架控制器提供了一项本架推溜和本架前喷雾功能。按下“Enter”键锁定本架，开始执行本架操作。本架操作仅支持推溜和前喷雾操作。此时对应按键的提示灯亮起，按下字母“N”键（推溜）或者字母“O”键（前喷雾）键即可执行对应的功能。</w:t>
      </w:r>
    </w:p>
    <w:p>
      <w:pPr>
        <w:snapToGrid w:val="0"/>
        <w:ind w:firstLine="0" w:firstLineChars="0"/>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六、自动反冲洗操作</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电液控系统提供一项工作面自动反冲洗的功能，该功能能够按照设定的参数自动逐架控制安装在支架上的自动反冲洗过滤器实现对过滤器滤芯的反冲洗，以维护工作面乳化液的清洁度。</w:t>
      </w:r>
    </w:p>
    <w:p>
      <w:pPr>
        <w:snapToGrid w:val="0"/>
        <w:ind w:firstLine="0" w:firstLineChars="0"/>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1、调整自动反冲洗参数</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通过系统 “参数配置”菜单进入自动反冲洗参数设置界面</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进行参数设置。</w:t>
      </w:r>
    </w:p>
    <w:p>
      <w:pPr>
        <w:snapToGrid w:val="0"/>
        <w:ind w:firstLine="0" w:firstLineChars="0"/>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2、启动自动反冲洗功能</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在工作面任意一台支架控制器上</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通过“参数配置”菜单中的子菜单“自动反冲洗参数”中打开自动反冲洗功能</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则从工作面首架开始</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按照设定的时间间隔自动执行反冲洗功能。</w:t>
      </w:r>
    </w:p>
    <w:p>
      <w:pPr>
        <w:snapToGrid w:val="0"/>
        <w:ind w:firstLine="0" w:firstLineChars="0"/>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3、关闭自动反冲洗功能</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在工作面任意一台支架控制器上</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通过“参数配置”菜单中的子菜单“自动反冲洗参数”中关闭自动反冲洗功能</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则工作面自动反冲洗功能关闭。</w:t>
      </w:r>
    </w:p>
    <w:p>
      <w:pPr>
        <w:snapToGrid w:val="0"/>
        <w:ind w:firstLine="0" w:firstLineChars="0"/>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七、就地闭锁及紧急停止操作</w:t>
      </w:r>
      <w:bookmarkEnd w:id="250"/>
      <w:bookmarkEnd w:id="251"/>
      <w:bookmarkEnd w:id="252"/>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支架控制器上提供了急停和闭锁功能</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当工作面出现紧急情况</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需要立即中止工作面所有支架的动作时</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此时按下急停按钮</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则工作面所有正在执行动作全部停止</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同时所有正在运行的自动动作也全部退出</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急停按钮拔出</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解除急停状态</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自动动作需要操作人员手动操作开启</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如邻架/隔架自动降-移-升</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本架自动推溜</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成组自动动作及跟机自动化动作等</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 xml:space="preserve"> </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闭锁功能用于系统检修维护时</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为了保证维修人员的安全</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当闭锁按钮按下后本架及左右相邻支架均不能够动作</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以保证本架及邻架不会被其他人员控制下动作</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危及本架维修人员的安全</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拔出闭锁按钮</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则闭锁事件解除</w:t>
      </w:r>
      <w:r>
        <w:rPr>
          <w:rFonts w:hint="eastAsia" w:ascii="仿宋" w:hAnsi="仿宋" w:eastAsia="仿宋"/>
          <w:color w:val="000000" w:themeColor="text1"/>
          <w:sz w:val="24"/>
          <w14:textFill>
            <w14:solidFill>
              <w14:schemeClr w14:val="tx1"/>
            </w14:solidFill>
          </w14:textFill>
        </w:rPr>
        <w:t>。</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八、支架系统传感器配置</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1、每台支架配一台控制器，用于采集各类传感器数据信息和控制支架各动作以及通讯。</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2、中间架、过渡架配置一台14功能14接口+12功能12接口主阀组，用于支架电液控制。</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3、每台支架安装配置2件压力传感器，实现立柱下腔压力监测，根据监测数据实现压力预警、分析功能以及顶板状态。</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4、每台支架安装配置1件位移传感器，监测推移行程，配合电控调速阀实现支架精准推溜。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5、每台支架安装配置5件倾角传感器，监测支架的姿态（仰俯角）和高度，防止支架倒架和咬架功能，实现对支架管理。</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6、每台支架安装配置1件红外接收器，实现采煤机定位，实现支架自动根机移架、跟机喷雾、收伸缩量、收护帮。</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7、每台支架安装配置1件支架警示灯，可实现支架预警功能闭锁、动作、安全状态的分色警示，保障人员安全通行。</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8、每台支架安装配置1件支架自动反冲洗，保障供液系统清洁度，延长设备的使用寿命，过滤精度25μm，流量900L/min。</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9、每台支架安装配置1件电控调速阀，实现对液压支架千斤顶的精准控制，配合采煤机惯性导航系统，实现工作面运输机的精确推溜。</w:t>
      </w:r>
    </w:p>
    <w:p>
      <w:pPr>
        <w:pStyle w:val="102"/>
        <w:snapToGrid w:val="0"/>
        <w:spacing w:line="360" w:lineRule="auto"/>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九</w:t>
      </w:r>
      <w:r>
        <w:rPr>
          <w:rFonts w:ascii="仿宋" w:hAnsi="仿宋" w:eastAsia="仿宋"/>
          <w:b/>
          <w:color w:val="000000" w:themeColor="text1"/>
          <w:szCs w:val="24"/>
          <w14:textFill>
            <w14:solidFill>
              <w14:schemeClr w14:val="tx1"/>
            </w14:solidFill>
          </w14:textFill>
        </w:rPr>
        <w:t>、相关技术参数及标准</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1、电液控制系统能够满足单台支架“降、移、升”循环时间不大于10秒；采煤机与支架联动，成组拉架时，5架支架一组，完成一个“降、移、升”工作循环时间不大于10秒。</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2、支架可实现成组程序自动控制，包括成组自动移架、成组自动推溜（推移行程误差不超过30mm）、成组自动喷雾等。</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3、电液控系统具备无线遥控功能，功能主要包括：单架动作和成组动作，配置18台无线遥控装置。</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4、电液控系统具备基本架、过渡架、端头架、超前支架、转载机自移、皮带机尾自移等设备的手动、遥控、自动控制功能，且可以连接在一起具备自动联动功能。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5、电液控制系统具备防水、防尘、防腐蚀及抗砸能力，主要控制装置外壳防护等级不低于IP68。</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ascii="仿宋" w:hAnsi="仿宋" w:eastAsia="仿宋"/>
          <w:color w:val="000000" w:themeColor="text1"/>
          <w:szCs w:val="24"/>
          <w14:textFill>
            <w14:solidFill>
              <w14:schemeClr w14:val="tx1"/>
            </w14:solidFill>
          </w14:textFill>
        </w:rPr>
        <w:t>支架可实现邻架及隔架电控的手动、邻架电控的自动操作及远程控制，实现本架电磁阀按钮的手动操作，控制器快捷键可根据需求配置相应快捷键方便工人操作。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7、配备红外线发射、接收装置，可与工作面采煤机实现联合自动动作，支架能满足与采煤机、运输机进行自动割煤要求。</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w:t>
      </w:r>
      <w:r>
        <w:rPr>
          <w:rFonts w:ascii="仿宋" w:hAnsi="仿宋" w:eastAsia="仿宋"/>
          <w:color w:val="000000" w:themeColor="text1"/>
          <w:szCs w:val="24"/>
          <w14:textFill>
            <w14:solidFill>
              <w14:schemeClr w14:val="tx1"/>
            </w14:solidFill>
          </w14:textFill>
        </w:rPr>
        <w:t>每架配置</w:t>
      </w:r>
      <w:r>
        <w:rPr>
          <w:rFonts w:hint="eastAsia" w:ascii="仿宋" w:hAnsi="仿宋" w:eastAsia="仿宋"/>
          <w:color w:val="000000" w:themeColor="text1"/>
          <w:szCs w:val="24"/>
          <w14:textFill>
            <w14:solidFill>
              <w14:schemeClr w14:val="tx1"/>
            </w14:solidFill>
          </w14:textFill>
        </w:rPr>
        <w:t>5件倾角传感器，能够在顺畅集控中心自动化平台实时反馈支架顶底板姿态及支架高度，在移架的过程中可实现支架防咬架功能。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电液控制系统设有声音报警、急停、本架闭锁及故障自诊断显示功能，并能方便地进行人工手动操作，能够在线进行参数调整设定。紧急情况时，在工作面任何一台支架的控制器上按下急停开关，全工作面支架全部停止动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w:t>
      </w:r>
      <w:r>
        <w:rPr>
          <w:rFonts w:ascii="仿宋" w:hAnsi="仿宋" w:eastAsia="仿宋"/>
          <w:color w:val="000000" w:themeColor="text1"/>
          <w:szCs w:val="24"/>
          <w14:textFill>
            <w14:solidFill>
              <w14:schemeClr w14:val="tx1"/>
            </w14:solidFill>
          </w14:textFill>
        </w:rPr>
        <w:t>电液控制系统支架配置警示灯，可实现支架预警功能闭锁、动作、安全状态的分色警示，保证人员安全通行。</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11、电液控制系统的电源为隔爆兼本安型，每6架配置一个电源，供电电压为AC 127V 50Hz。电源采用交流快插接口，具有掉线自动掉电功能。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w:t>
      </w:r>
      <w:r>
        <w:rPr>
          <w:rFonts w:ascii="仿宋" w:hAnsi="仿宋" w:eastAsia="仿宋"/>
          <w:color w:val="000000" w:themeColor="text1"/>
          <w:szCs w:val="24"/>
          <w14:textFill>
            <w14:solidFill>
              <w14:schemeClr w14:val="tx1"/>
            </w14:solidFill>
          </w14:textFill>
        </w:rPr>
        <w:t>具备初撑力自动保持功能，补偿初撑力可调（不超过泵压），立柱的初撑力补偿功能可单独设置和屏蔽，立柱压力监测误差不超过额定压力的</w:t>
      </w:r>
      <w:r>
        <w:rPr>
          <w:rFonts w:hint="eastAsia" w:ascii="仿宋" w:hAnsi="仿宋" w:eastAsia="仿宋"/>
          <w:color w:val="000000" w:themeColor="text1"/>
          <w:szCs w:val="24"/>
          <w14:textFill>
            <w14:solidFill>
              <w14:schemeClr w14:val="tx1"/>
            </w14:solidFill>
          </w14:textFill>
        </w:rPr>
        <w:t>10%，具有带压移架功能。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每台支架配置1台自动反冲洗过滤器，过滤精度25μm，流量900L/min；反冲洗间隔周期及每次反冲洗时间可通过参数设定，并具备自动反冲洗区间设定功能，反冲洗位置记忆功能，当设备重启后从当前记忆位置继续反冲。</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14、对支架的姿态及高度、立柱的工作压力、推移千斤顶的行程、煤机的位置与方向进行监测，在井下自动化主机上能够对上述信息进行显示和存储，能将数据传输至地面分控中心并显示。</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15、电控系统为非主-从机型，当工作面控制系统与顺槽集控系统断开后，仍能完成各种操作功能和操作模式设置；电控系统电液控制器具备接口板与主控板电源隔离技术，将接口板与主控板单独供电，当接口板因外部设备发生短路时，不影响主控运行，最大限度保证系统安全。</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16、控制系统能够提供接口与自动化集控系统进行双向通信，控制系统将系统内传感器所有检测数据和动作信号都传输给集控系统。</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17、所有液压产品按DN系列制造。</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18、支架电液控制系统本身信息及需要上传的其它综采设备（采煤机、运输机、转载机、破碎机、乳化液泵站、语音通讯系统、组合开关等设备）信息能够通过井上下数据传输系统上传到地面并在井下和井上计算机上显示，接入到矿井自动化系统，向其提供数据格式，采用标准OPC协议。</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19、电液控系统功能具有显示所有支架姿态及高度、立柱压力、推移行程、支架动作状态和控制模式；所有支架控制器的急停状态、通信状态、驱动器与支架控制器通信状态；可实现在集控中心对液压支架的远程控制。可对任意支架进行远程控制，主要包括推溜、降架、拉架、升架以及其他功能动作。</w:t>
      </w:r>
    </w:p>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十、安全注意事项</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1、所有在使用本系统的综采工作面工作的人员，包括工作面操作人员、维护人员、管理人员及其他进入工作面工作的辅助人员，都必须学习、理解并掌握本规则并遵照执行。</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2、液压支架电液控制系统的所有操作（急停和闭锁除外）、维护、维修只允许由经过学习熟悉本系统操作使用方法的专职操作人员进行，其他人员不得操作本系统。</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3、系统的所有密码只限指定专职操作人员掌握使用，不准对外泄露。严禁非专职操作人员擅自修改系统的参数。</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4、操作人员工作时应集中精力，密切注意支架动作所涉及位置及其附近的状况，防止支架动作可能导致对自身或他人的安全威胁和设备的损毁。</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5、操作人员如发现液压支架电液控制系统处于闭锁或急停状态时，应及时了解原因，确认危险状况解除后方可操作。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任何人员不得滞留在动作的支架内。当执行单架自动动作、成组自动动作及跟机自动动作时，控制单元发出自动动作警示信号（蜂鸣器有节奏鸣响），严禁人员进入报警的支架内，在该区域内的人员应立即撤出。操作命令发出后，如发现有人进入到支架动作区域，应立即就近按下急停按钮停止自动功能的动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7、工作面人员在任何地点发现支架动作将导致危险发生，无论此时支架是否已在动作，都应立即就近按下急停按钮，使支架停止执行的动作，并报告专职操作人员。</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在液压支架电液控制系统运行正常的情况下，禁止在本架直接手动操作先导阀按钮对支架进行控制。如有必要手动操作本架先导阀按钮时，必须确保有足够的安全空间，必须检查管路连接状况（包括管路连接位置是否正确、U 型卡是否连接紧固可靠、胶管及接头是否完好）,只有在确认完好后方可操作。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9、执行手动操作支架立柱卸压或降柱动作时，必须先检查相邻支架的支护状况，在确保其处于可靠支护状态时方可操作。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10、必须经当班队长授权后，方可开启跟机自动化功能。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11、跟机自动化功能开启后，一般情况下采煤机前滚筒前10m至后滚筒后20m为跟机自动化的危险区域，该区域两端必须安排专人警戒，除班队长、采煤机司机及支架工外禁止任何人员在此区域逗留或者通过。</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12、支架操作工和采煤机司机应时刻注意顶底板条件以及跟机自动化动作情况，如有问题，应及时处理，必要时停止跟机自动化。</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13、专职操作维护人员应对液压支架电液控制系统进行定期检查维护，如发现问题及时维修，确保系统的完好性。</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14、在工作面内作业人员，需要进入支架动作所触及的危险区域，应对危险区域内的支架实施闭锁或关闭支架进液截止阀。</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15、系统的电源箱、控制单元、传感器、主控计算机等电气元部件，要严格按照《煤矿安全规程》有关井下电气设备安全管理的规定进行管理维护。</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16、系统的闭锁、急停按钮、蜂鸣器应定期检查，如有损坏应及时更换、修复。</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17、对液压系统进行维修时，首先要关闭进液截止阀，再卸去该液压元件内的液体压力，并对控制单元实施闭锁或对支架进行机械支护，以免发生意外。</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18、执行支架过滤器反冲洗前，应检查排污管路连接是否固定可靠，防止液体喷出伤人或胶管伤人。</w:t>
      </w:r>
    </w:p>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十一、维护注意事项</w:t>
      </w:r>
    </w:p>
    <w:p>
      <w:pPr>
        <w:pStyle w:val="107"/>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（一）液压支架电液控制系统注意事项</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1、设置专人对液压支架电液控制系统进行管理，组织人员定期对液压支架电液控制系统的完好性及工作介质的浓度和清洁度（目测无悬浮物）进行检查，出现问题及时处理。</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2、井下操作维护人员应经过培训，熟练掌握液压支架电液控制系统使用、维护和维修方法。</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3、用于液压支架电液控制系统定期清洗和更换过滤系统部件的滤芯。</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4、高压过滤站为必备的顺槽过滤系统设备，具备回液过滤站及进水过滤站以确保工作介质清洁。</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5、电液控换向阀的手动按钮只是为应急之用，严禁正常生产时直接手动操作电液控换向阀。电磁先导阀有故障时应整体更换，禁止井下解体维修。</w:t>
      </w:r>
    </w:p>
    <w:p>
      <w:pPr>
        <w:pStyle w:val="107"/>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（二）日常维护</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1、架与架之间的电缆线</w:t>
      </w:r>
      <w:r>
        <w:rPr>
          <w:rFonts w:hint="eastAsia" w:ascii="仿宋" w:hAnsi="仿宋" w:eastAsia="仿宋"/>
          <w:color w:val="000000" w:themeColor="text1"/>
          <w:szCs w:val="24"/>
          <w:lang w:val="en-US" w:eastAsia="zh-CN"/>
          <w14:textFill>
            <w14:solidFill>
              <w14:schemeClr w14:val="tx1"/>
            </w14:solidFill>
          </w14:textFill>
        </w:rPr>
        <w:t>必须</w:t>
      </w:r>
      <w:r>
        <w:rPr>
          <w:rFonts w:hint="eastAsia" w:ascii="仿宋" w:hAnsi="仿宋" w:eastAsia="仿宋"/>
          <w:color w:val="000000" w:themeColor="text1"/>
          <w:szCs w:val="24"/>
          <w14:textFill>
            <w14:solidFill>
              <w14:schemeClr w14:val="tx1"/>
            </w14:solidFill>
          </w14:textFill>
        </w:rPr>
        <w:t>保护好，以防止架间电缆线磨损、拉断；</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2、控制器禁止用水直接冲洗，以防止水进入控制器而导致控制器损坏；</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3、与传感器相连接的电缆线必须放在支架立柱之间，不能露在两支架中间，以防被煤块砸坏；</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4、所有带插销的地方必须插上销子，以防接触不好；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5、为了保证电液控制系统的正常运行，要求维护人员对所出现的问题能够做到及时处理与解决；</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6、对电控系统设备中的各种固定螺丝要保护好，如发现缺失，要及时补充；</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7、控制器、人机操作界面、电源箱等各元部件都必须安装固定牢固。</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8、光纤线路按标准化要求进行吊挂布置，设专人巡查吊挂布置情况。易出现磕碰地点，采取相应的保护措施。严禁擅自</w:t>
      </w:r>
      <w:r>
        <w:rPr>
          <w:rFonts w:ascii="仿宋" w:hAnsi="仿宋" w:eastAsia="仿宋"/>
          <w:color w:val="000000" w:themeColor="text1"/>
          <w14:textFill>
            <w14:solidFill>
              <w14:schemeClr w14:val="tx1"/>
            </w14:solidFill>
          </w14:textFill>
        </w:rPr>
        <w:t>截断光纤，只有在遇到接线盒时，在通知调度指挥中心经许可后方可截断并及时回收升井。</w:t>
      </w:r>
    </w:p>
    <w:p>
      <w:pPr>
        <w:pStyle w:val="107"/>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（三）维修标准</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1、更换控制器后，必须用螺丝把控制器固定好；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2、更换新人机操作界面，用螺丝固定好；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3、更换所有行程传感器的千斤顶后，及时接上插头并插上电缆和相关销子，并进行测试。</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4、更换耦合器后，用螺丝固定好；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5、更换压力传感器以后，连接电缆要用扎带捆好，不能露在架间。</w:t>
      </w:r>
    </w:p>
    <w:p>
      <w:pPr>
        <w:pStyle w:val="107"/>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（四）工作介质的要求</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1、确保乳化液浓度达到规定的比例（3%-5%）。同时检查泵箱中的配液量，不足时及时补充，否则不许开泵。加注油前，确认油质的种类和清洁度是否合格。</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2、系统在井下运行初期，是污染较为严重的时期，液压支架电液控制系统安装调试完毕后，全面检查主阀上先导阀过滤器、支架过滤器滤芯、高压过滤站滤芯，出现问题的过滤器或滤芯及时更换。</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3、定期检查包括浓度、滤芯堵塞状况等，发现异常及时处理。</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4、高压反冲洗过滤站和支架反冲洗过滤器要定期进行反冲洗，正常情况下每三天反冲一次，如果系统滤芯堵塞频繁，则每天进行一次反冲洗或随时进行反冲洗。使用期间滤芯出现问题及时更换。</w:t>
      </w:r>
    </w:p>
    <w:p>
      <w:pPr>
        <w:pStyle w:val="4"/>
        <w:keepNext w:val="0"/>
        <w:keepLines w:val="0"/>
        <w:spacing w:before="0" w:after="0"/>
        <w:ind w:firstLine="482"/>
        <w:rPr>
          <w:color w:val="000000" w:themeColor="text1"/>
          <w14:textFill>
            <w14:solidFill>
              <w14:schemeClr w14:val="tx1"/>
            </w14:solidFill>
          </w14:textFill>
        </w:rPr>
      </w:pPr>
      <w:bookmarkStart w:id="253" w:name="_Toc19990"/>
      <w:bookmarkStart w:id="254" w:name="_Toc15318"/>
      <w:bookmarkStart w:id="255" w:name="_Toc13869"/>
    </w:p>
    <w:p>
      <w:pPr>
        <w:pStyle w:val="4"/>
        <w:keepNext w:val="0"/>
        <w:keepLines w:val="0"/>
        <w:spacing w:before="0" w:after="0"/>
        <w:ind w:firstLine="0" w:firstLineChars="0"/>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第五节 自动化集成控制系统</w:t>
      </w:r>
      <w:bookmarkEnd w:id="253"/>
      <w:bookmarkEnd w:id="254"/>
      <w:bookmarkEnd w:id="255"/>
    </w:p>
    <w:p>
      <w:pPr>
        <w:pStyle w:val="102"/>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自动化集成控制系统操作台为井上地面调度中心，操作台状态包括采煤机、支架和集控三种，操作台授权状态颜色有灰色、红色、绿色和黄色四种，操作台授权标识有未授权和已授权两种，井上井下连接用折线表示。</w:t>
      </w:r>
    </w:p>
    <w:p>
      <w:pPr>
        <w:pStyle w:val="102"/>
        <w:spacing w:line="360" w:lineRule="auto"/>
        <w:ind w:firstLine="480"/>
        <w:rPr>
          <w:rFonts w:ascii="仿宋" w:hAnsi="仿宋" w:eastAsia="仿宋"/>
          <w:color w:val="000000" w:themeColor="text1"/>
          <w:szCs w:val="24"/>
          <w14:textFill>
            <w14:solidFill>
              <w14:schemeClr w14:val="tx1"/>
            </w14:solidFill>
          </w14:textFill>
        </w:rPr>
      </w:pPr>
      <w:bookmarkStart w:id="256" w:name="_Toc346742677"/>
      <w:bookmarkStart w:id="257" w:name="_Toc346743408"/>
      <w:bookmarkStart w:id="258" w:name="_Toc346742826"/>
      <w:bookmarkStart w:id="259" w:name="_Toc346742737"/>
      <w:bookmarkStart w:id="260" w:name="_Toc346743255"/>
      <w:bookmarkStart w:id="261" w:name="_Toc346742351"/>
      <w:bookmarkStart w:id="262" w:name="_Toc346743873"/>
      <w:bookmarkStart w:id="263" w:name="_Toc346742620"/>
      <w:r>
        <w:rPr>
          <w:rFonts w:hint="eastAsia" w:ascii="仿宋" w:hAnsi="仿宋" w:eastAsia="仿宋"/>
          <w:color w:val="000000" w:themeColor="text1"/>
          <w14:textFill>
            <w14:solidFill>
              <w14:schemeClr w14:val="tx1"/>
            </w14:solidFill>
          </w14:textFill>
        </w:rPr>
        <w:t>1、操作台灰色处理方法：灰色表示主机未检测到操作台，主要有线路断开</w:t>
      </w:r>
      <w:r>
        <w:rPr>
          <w:rFonts w:hint="eastAsia" w:ascii="仿宋" w:hAnsi="仿宋" w:eastAsia="仿宋"/>
          <w:color w:val="000000" w:themeColor="text1"/>
          <w:szCs w:val="24"/>
          <w14:textFill>
            <w14:solidFill>
              <w14:schemeClr w14:val="tx1"/>
            </w14:solidFill>
          </w14:textFill>
        </w:rPr>
        <w:t xml:space="preserve">和参数设置错误两种情况。 </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线路断开：首先退出自动化系统，然后检查操作台与主机 CAN 通信端口是否松动，重新插拔 CAN 通讯线，最后启动自动化系统并检查操作台连接状态。 </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参数设置错误，重新设置连接参数，然后重启自动化系统并检查操作台连接状态。 </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2、操作台红色处理方法：红色表示操作台状态与井下主机不同步。首先检查操作台所有旋钮是否打到闭锁状态，打到闭锁状态之后再检查操作台三位开关是否在中位，全部打到中位即可。 </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3、操作台绿色处理方法：绿色表示操作台连接正常并且处于同步状态，但是没有授权，需要在地面主机系统中登录自动化账号登录后自动授权。 </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4、操作台黄色处理方法：操作台处于授权状态，如果不需要继续操作控制台，点击操作上取消授权按钮即可取消控制权限。</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5、井上井下未连接处理方法：检查井上井下网络是否连通，井下临时断电 或软件未启动。可以通过语音系统或者监控视频确认井下（或者井上）通电并且自动化系统已经启动，然后可以通过</w:t>
      </w:r>
      <w:r>
        <w:rPr>
          <w:rFonts w:ascii="仿宋" w:hAnsi="仿宋" w:eastAsia="仿宋"/>
          <w:color w:val="000000" w:themeColor="text1"/>
          <w:szCs w:val="24"/>
          <w14:textFill>
            <w14:solidFill>
              <w14:schemeClr w14:val="tx1"/>
            </w14:solidFill>
          </w14:textFill>
        </w:rPr>
        <w:t>windows</w:t>
      </w:r>
      <w:r>
        <w:rPr>
          <w:rFonts w:hint="eastAsia" w:ascii="仿宋" w:hAnsi="仿宋" w:eastAsia="仿宋"/>
          <w:color w:val="000000" w:themeColor="text1"/>
          <w:szCs w:val="24"/>
          <w14:textFill>
            <w14:solidFill>
              <w14:schemeClr w14:val="tx1"/>
            </w14:solidFill>
          </w14:textFill>
        </w:rPr>
        <w:t xml:space="preserve">系统命令确认网络是否连通。如果确认是网络问题可以联系网络管理员检查和处理。 </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注意：操作台授权状态和同步状态没有必然的联系，操作台在未同步状态下可以请求并获得授权；操作台在获得授权后也会出现未同步的状态。</w:t>
      </w:r>
    </w:p>
    <w:p>
      <w:pPr>
        <w:pStyle w:val="106"/>
        <w:spacing w:line="360" w:lineRule="auto"/>
        <w:outlineLvl w:val="2"/>
        <w:rPr>
          <w:rFonts w:hint="default" w:ascii="仿宋" w:hAnsi="仿宋" w:eastAsia="仿宋"/>
          <w:b/>
          <w:color w:val="000000" w:themeColor="text1"/>
          <w:sz w:val="24"/>
          <w:szCs w:val="24"/>
          <w14:textFill>
            <w14:solidFill>
              <w14:schemeClr w14:val="tx1"/>
            </w14:solidFill>
          </w14:textFill>
        </w:rPr>
      </w:pPr>
      <w:bookmarkStart w:id="264" w:name="_Toc5010"/>
      <w:r>
        <w:rPr>
          <w:rFonts w:ascii="仿宋" w:hAnsi="仿宋" w:eastAsia="仿宋"/>
          <w:b/>
          <w:color w:val="000000" w:themeColor="text1"/>
          <w:sz w:val="24"/>
          <w:szCs w:val="24"/>
          <w14:textFill>
            <w14:solidFill>
              <w14:schemeClr w14:val="tx1"/>
            </w14:solidFill>
          </w14:textFill>
        </w:rPr>
        <w:t>一、操作工序</w:t>
      </w:r>
      <w:bookmarkEnd w:id="264"/>
    </w:p>
    <w:p>
      <w:pPr>
        <w:pStyle w:val="107"/>
        <w:spacing w:line="360" w:lineRule="auto"/>
        <w:ind w:firstLine="0" w:firstLineChars="0"/>
        <w:rPr>
          <w:rFonts w:ascii="仿宋" w:hAnsi="仿宋" w:eastAsia="仿宋"/>
          <w:b/>
          <w:color w:val="000000" w:themeColor="text1"/>
          <w:sz w:val="24"/>
          <w:szCs w:val="24"/>
          <w14:textFill>
            <w14:solidFill>
              <w14:schemeClr w14:val="tx1"/>
            </w14:solidFill>
          </w14:textFill>
        </w:rPr>
      </w:pPr>
      <w:bookmarkStart w:id="265" w:name="_Toc30724"/>
      <w:r>
        <w:rPr>
          <w:rFonts w:ascii="仿宋" w:hAnsi="仿宋" w:eastAsia="仿宋"/>
          <w:b/>
          <w:color w:val="000000" w:themeColor="text1"/>
          <w:sz w:val="24"/>
          <w:szCs w:val="24"/>
          <w14:textFill>
            <w14:solidFill>
              <w14:schemeClr w14:val="tx1"/>
            </w14:solidFill>
          </w14:textFill>
        </w:rPr>
        <w:t>（一）操作台授权</w:t>
      </w:r>
      <w:bookmarkEnd w:id="265"/>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用户登录系统，由于用户使用权限的设置不同。有操作台使用权限的用户必须给操作台授权，才可以使用操作台。操作台在没有授权的情况下，无法使用。</w:t>
      </w:r>
    </w:p>
    <w:p>
      <w:pPr>
        <w:pStyle w:val="102"/>
        <w:spacing w:line="360" w:lineRule="auto"/>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1、操作台请求授权步骤</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有操作台使用权限的上位机用户，集控操作台的授权流程如图所示。具体操作步骤如下：</w:t>
      </w:r>
    </w:p>
    <w:p>
      <w:pPr>
        <w:pStyle w:val="103"/>
        <w:ind w:left="0" w:leftChars="0" w:firstLine="0"/>
        <w:rPr>
          <w:rFonts w:ascii="仿宋" w:hAnsi="仿宋" w:eastAsia="仿宋"/>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1798955</wp:posOffset>
            </wp:positionH>
            <wp:positionV relativeFrom="paragraph">
              <wp:posOffset>-105410</wp:posOffset>
            </wp:positionV>
            <wp:extent cx="1621790" cy="2648585"/>
            <wp:effectExtent l="0" t="0" r="0" b="0"/>
            <wp:wrapTopAndBottom/>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29"/>
                    <a:srcRect l="30882" r="16667"/>
                    <a:stretch>
                      <a:fillRect/>
                    </a:stretch>
                  </pic:blipFill>
                  <pic:spPr>
                    <a:xfrm>
                      <a:off x="0" y="0"/>
                      <a:ext cx="1621790" cy="2648585"/>
                    </a:xfrm>
                    <a:prstGeom prst="rect">
                      <a:avLst/>
                    </a:prstGeom>
                    <a:ln>
                      <a:noFill/>
                    </a:ln>
                  </pic:spPr>
                </pic:pic>
              </a:graphicData>
            </a:graphic>
          </wp:anchor>
        </w:drawing>
      </w:r>
      <w:r>
        <w:rPr>
          <w:rFonts w:hint="eastAsia" w:ascii="仿宋" w:hAnsi="仿宋" w:eastAsia="仿宋"/>
          <w:color w:val="000000" w:themeColor="text1"/>
          <w:sz w:val="21"/>
          <w:szCs w:val="21"/>
          <w14:textFill>
            <w14:solidFill>
              <w14:schemeClr w14:val="tx1"/>
            </w14:solidFill>
          </w14:textFill>
        </w:rPr>
        <w:t>图5  井上操作台授权流程图</w:t>
      </w:r>
    </w:p>
    <w:p>
      <w:pPr>
        <w:pStyle w:val="107"/>
        <w:ind w:firstLine="0" w:firstLineChars="0"/>
        <w:rPr>
          <w:rFonts w:ascii="仿宋" w:hAnsi="仿宋" w:eastAsia="仿宋"/>
          <w:b/>
          <w:color w:val="000000" w:themeColor="text1"/>
          <w:sz w:val="24"/>
          <w:szCs w:val="24"/>
          <w14:textFill>
            <w14:solidFill>
              <w14:schemeClr w14:val="tx1"/>
            </w14:solidFill>
          </w14:textFill>
        </w:rPr>
      </w:pPr>
      <w:bookmarkStart w:id="266" w:name="_Toc26368"/>
      <w:r>
        <w:rPr>
          <w:rFonts w:ascii="仿宋" w:hAnsi="仿宋" w:eastAsia="仿宋"/>
          <w:b/>
          <w:color w:val="000000" w:themeColor="text1"/>
          <w:sz w:val="24"/>
          <w:szCs w:val="24"/>
          <w14:textFill>
            <w14:solidFill>
              <w14:schemeClr w14:val="tx1"/>
            </w14:solidFill>
          </w14:textFill>
        </w:rPr>
        <w:t>（二）集控操作台使用</w:t>
      </w:r>
      <w:bookmarkEnd w:id="266"/>
    </w:p>
    <w:p>
      <w:pPr>
        <w:pStyle w:val="102"/>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1、集控操作台面板布局介绍 </w:t>
      </w:r>
    </w:p>
    <w:p>
      <w:pPr>
        <w:pStyle w:val="10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67456" behindDoc="1" locked="0" layoutInCell="1" allowOverlap="1">
            <wp:simplePos x="0" y="0"/>
            <wp:positionH relativeFrom="column">
              <wp:posOffset>669290</wp:posOffset>
            </wp:positionH>
            <wp:positionV relativeFrom="paragraph">
              <wp:posOffset>74930</wp:posOffset>
            </wp:positionV>
            <wp:extent cx="3962400" cy="1885950"/>
            <wp:effectExtent l="0" t="0" r="0" b="0"/>
            <wp:wrapThrough wrapText="bothSides">
              <wp:wrapPolygon>
                <wp:start x="0" y="0"/>
                <wp:lineTo x="0" y="21382"/>
                <wp:lineTo x="21496" y="21382"/>
                <wp:lineTo x="21496" y="0"/>
                <wp:lineTo x="0" y="0"/>
              </wp:wrapPolygon>
            </wp:wrapThrough>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962400" cy="1885950"/>
                    </a:xfrm>
                    <a:prstGeom prst="rect">
                      <a:avLst/>
                    </a:prstGeom>
                  </pic:spPr>
                </pic:pic>
              </a:graphicData>
            </a:graphic>
          </wp:anchor>
        </w:drawing>
      </w:r>
    </w:p>
    <w:p>
      <w:pPr>
        <w:pStyle w:val="102"/>
        <w:ind w:firstLine="480"/>
        <w:rPr>
          <w:color w:val="000000" w:themeColor="text1"/>
          <w14:textFill>
            <w14:solidFill>
              <w14:schemeClr w14:val="tx1"/>
            </w14:solidFill>
          </w14:textFill>
        </w:rPr>
      </w:pPr>
    </w:p>
    <w:p>
      <w:pPr>
        <w:pStyle w:val="102"/>
        <w:ind w:firstLine="480"/>
        <w:rPr>
          <w:color w:val="000000" w:themeColor="text1"/>
          <w14:textFill>
            <w14:solidFill>
              <w14:schemeClr w14:val="tx1"/>
            </w14:solidFill>
          </w14:textFill>
        </w:rPr>
      </w:pPr>
    </w:p>
    <w:p>
      <w:pPr>
        <w:pStyle w:val="102"/>
        <w:ind w:firstLine="480"/>
        <w:rPr>
          <w:color w:val="000000" w:themeColor="text1"/>
          <w14:textFill>
            <w14:solidFill>
              <w14:schemeClr w14:val="tx1"/>
            </w14:solidFill>
          </w14:textFill>
        </w:rPr>
      </w:pPr>
    </w:p>
    <w:p>
      <w:pPr>
        <w:pStyle w:val="102"/>
        <w:spacing w:line="240" w:lineRule="atLeast"/>
        <w:ind w:firstLine="0" w:firstLineChars="0"/>
        <w:rPr>
          <w:color w:val="000000" w:themeColor="text1"/>
          <w14:textFill>
            <w14:solidFill>
              <w14:schemeClr w14:val="tx1"/>
            </w14:solidFill>
          </w14:textFill>
        </w:rPr>
      </w:pPr>
    </w:p>
    <w:p>
      <w:pPr>
        <w:pStyle w:val="102"/>
        <w:spacing w:line="240" w:lineRule="atLeast"/>
        <w:ind w:firstLine="0" w:firstLineChars="0"/>
        <w:jc w:val="center"/>
        <w:rPr>
          <w:rFonts w:hint="eastAsia" w:ascii="仿宋" w:hAnsi="仿宋" w:eastAsia="仿宋"/>
          <w:color w:val="000000" w:themeColor="text1"/>
          <w:sz w:val="21"/>
          <w:szCs w:val="21"/>
          <w14:textFill>
            <w14:solidFill>
              <w14:schemeClr w14:val="tx1"/>
            </w14:solidFill>
          </w14:textFill>
        </w:rPr>
      </w:pPr>
    </w:p>
    <w:p>
      <w:pPr>
        <w:pStyle w:val="102"/>
        <w:spacing w:line="240" w:lineRule="atLeast"/>
        <w:ind w:firstLine="0" w:firstLineChars="0"/>
        <w:jc w:val="center"/>
        <w:rPr>
          <w:rFonts w:hint="eastAsia" w:ascii="仿宋" w:hAnsi="仿宋" w:eastAsia="仿宋"/>
          <w:color w:val="000000" w:themeColor="text1"/>
          <w:sz w:val="21"/>
          <w:szCs w:val="21"/>
          <w14:textFill>
            <w14:solidFill>
              <w14:schemeClr w14:val="tx1"/>
            </w14:solidFill>
          </w14:textFill>
        </w:rPr>
      </w:pPr>
    </w:p>
    <w:p>
      <w:pPr>
        <w:pStyle w:val="102"/>
        <w:spacing w:line="240" w:lineRule="atLeast"/>
        <w:ind w:firstLine="0" w:firstLineChars="0"/>
        <w:jc w:val="center"/>
        <w:rPr>
          <w:rFonts w:hint="eastAsia" w:ascii="仿宋" w:hAnsi="仿宋" w:eastAsia="仿宋"/>
          <w:color w:val="000000" w:themeColor="text1"/>
          <w:sz w:val="21"/>
          <w:szCs w:val="21"/>
          <w14:textFill>
            <w14:solidFill>
              <w14:schemeClr w14:val="tx1"/>
            </w14:solidFill>
          </w14:textFill>
        </w:rPr>
      </w:pPr>
    </w:p>
    <w:p>
      <w:pPr>
        <w:pStyle w:val="102"/>
        <w:spacing w:line="240" w:lineRule="atLeast"/>
        <w:ind w:firstLine="0" w:firstLineChars="0"/>
        <w:jc w:val="center"/>
        <w:rPr>
          <w:rFonts w:hint="eastAsia" w:ascii="仿宋" w:hAnsi="仿宋" w:eastAsia="仿宋"/>
          <w:color w:val="000000" w:themeColor="text1"/>
          <w:sz w:val="21"/>
          <w:szCs w:val="21"/>
          <w14:textFill>
            <w14:solidFill>
              <w14:schemeClr w14:val="tx1"/>
            </w14:solidFill>
          </w14:textFill>
        </w:rPr>
      </w:pPr>
    </w:p>
    <w:p>
      <w:pPr>
        <w:pStyle w:val="102"/>
        <w:spacing w:line="240" w:lineRule="atLeast"/>
        <w:ind w:firstLine="0" w:firstLineChars="0"/>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图6  集控操作台面板布局图</w:t>
      </w:r>
    </w:p>
    <w:p>
      <w:pPr>
        <w:pStyle w:val="102"/>
        <w:keepNext w:val="0"/>
        <w:keepLines w:val="0"/>
        <w:pageBreakBefore w:val="0"/>
        <w:widowControl w:val="0"/>
        <w:kinsoku/>
        <w:wordWrap/>
        <w:overflowPunct/>
        <w:topLinePunct w:val="0"/>
        <w:autoSpaceDE/>
        <w:autoSpaceDN/>
        <w:bidi w:val="0"/>
        <w:adjustRightInd/>
        <w:spacing w:line="400" w:lineRule="exact"/>
        <w:ind w:firstLine="480"/>
        <w:textAlignment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集控操作台的面板可以划分为三个区域：总控区、三机集控区、智能供液区，如图所示。</w:t>
      </w:r>
    </w:p>
    <w:p>
      <w:pPr>
        <w:pStyle w:val="102"/>
        <w:keepNext w:val="0"/>
        <w:keepLines w:val="0"/>
        <w:pageBreakBefore w:val="0"/>
        <w:widowControl w:val="0"/>
        <w:kinsoku/>
        <w:wordWrap/>
        <w:overflowPunct/>
        <w:topLinePunct w:val="0"/>
        <w:autoSpaceDE/>
        <w:autoSpaceDN/>
        <w:bidi w:val="0"/>
        <w:adjustRightInd/>
        <w:spacing w:line="400" w:lineRule="exact"/>
        <w:ind w:firstLine="0" w:firstLineChars="0"/>
        <w:textAlignment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2、总控区操作按钮功能介绍如下：</w:t>
      </w:r>
    </w:p>
    <w:p>
      <w:pPr>
        <w:pStyle w:val="102"/>
        <w:keepNext w:val="0"/>
        <w:keepLines w:val="0"/>
        <w:pageBreakBefore w:val="0"/>
        <w:widowControl w:val="0"/>
        <w:kinsoku/>
        <w:wordWrap/>
        <w:overflowPunct/>
        <w:topLinePunct w:val="0"/>
        <w:autoSpaceDE/>
        <w:autoSpaceDN/>
        <w:bidi w:val="0"/>
        <w:adjustRightInd/>
        <w:snapToGrid w:val="0"/>
        <w:spacing w:line="400" w:lineRule="exact"/>
        <w:ind w:firstLine="480"/>
        <w:textAlignment w:val="center"/>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序号“1”操作按钮功能：操作台上电断电。按钮拔出操作台上电；按钮按下操作台断电。 </w:t>
      </w:r>
    </w:p>
    <w:p>
      <w:pPr>
        <w:pStyle w:val="102"/>
        <w:keepNext w:val="0"/>
        <w:keepLines w:val="0"/>
        <w:pageBreakBefore w:val="0"/>
        <w:widowControl w:val="0"/>
        <w:kinsoku/>
        <w:wordWrap/>
        <w:overflowPunct/>
        <w:topLinePunct w:val="0"/>
        <w:autoSpaceDE/>
        <w:autoSpaceDN/>
        <w:bidi w:val="0"/>
        <w:adjustRightInd/>
        <w:snapToGrid w:val="0"/>
        <w:spacing w:line="400" w:lineRule="exact"/>
        <w:ind w:firstLine="480"/>
        <w:textAlignment w:val="center"/>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序号“2”操作旋钮功能：运行模式选择。旋钮指向 “手动”，整个操作台处于手动状态；旋钮指向 “就地”，整个操作台处于闭锁状态；旋钮指向 “自动”， 整个操作台处于自动状态。 </w:t>
      </w:r>
    </w:p>
    <w:p>
      <w:pPr>
        <w:pStyle w:val="102"/>
        <w:keepNext w:val="0"/>
        <w:keepLines w:val="0"/>
        <w:pageBreakBefore w:val="0"/>
        <w:widowControl w:val="0"/>
        <w:kinsoku/>
        <w:wordWrap/>
        <w:overflowPunct/>
        <w:topLinePunct w:val="0"/>
        <w:autoSpaceDE/>
        <w:autoSpaceDN/>
        <w:bidi w:val="0"/>
        <w:adjustRightInd/>
        <w:snapToGrid w:val="0"/>
        <w:spacing w:line="400" w:lineRule="exact"/>
        <w:ind w:firstLine="480"/>
        <w:textAlignment w:val="center"/>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序号“3”、“4”操作按钮功能：“一键启停”功能。 </w:t>
      </w:r>
    </w:p>
    <w:p>
      <w:pPr>
        <w:pStyle w:val="102"/>
        <w:keepNext w:val="0"/>
        <w:keepLines w:val="0"/>
        <w:pageBreakBefore w:val="0"/>
        <w:widowControl w:val="0"/>
        <w:kinsoku/>
        <w:wordWrap/>
        <w:overflowPunct/>
        <w:topLinePunct w:val="0"/>
        <w:autoSpaceDE/>
        <w:autoSpaceDN/>
        <w:bidi w:val="0"/>
        <w:adjustRightInd/>
        <w:snapToGrid w:val="0"/>
        <w:spacing w:line="400" w:lineRule="exact"/>
        <w:ind w:firstLine="480"/>
        <w:textAlignment w:val="center"/>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序号“5”、“6”操作按钮功能：功能选择按钮。</w:t>
      </w:r>
    </w:p>
    <w:p>
      <w:pPr>
        <w:pStyle w:val="102"/>
        <w:keepNext w:val="0"/>
        <w:keepLines w:val="0"/>
        <w:pageBreakBefore w:val="0"/>
        <w:widowControl w:val="0"/>
        <w:kinsoku/>
        <w:wordWrap/>
        <w:overflowPunct/>
        <w:topLinePunct w:val="0"/>
        <w:autoSpaceDE/>
        <w:autoSpaceDN/>
        <w:bidi w:val="0"/>
        <w:adjustRightInd/>
        <w:snapToGrid w:val="0"/>
        <w:spacing w:line="400" w:lineRule="exact"/>
        <w:ind w:firstLine="480"/>
        <w:textAlignment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集控系统可以实现井下工作面设备“一键启停”功能。工作面“一键启停”的设备包括皮带运输机、破碎机、转载运输机、前部刮板运输机、支架自动跟机和采煤机。在井下集控中心和地面监控中心实现“一键启停”的前提条件是：井下或井上操作台已授权且与主机同步；采煤机操作台、支架操作台的和集控操作台 “总控区”、“三机集控区”、“智能供液区”控制旋钮在“自动”挡位</w:t>
      </w:r>
      <w:bookmarkEnd w:id="256"/>
      <w:bookmarkEnd w:id="257"/>
      <w:bookmarkEnd w:id="258"/>
      <w:bookmarkEnd w:id="259"/>
      <w:bookmarkEnd w:id="260"/>
      <w:bookmarkEnd w:id="261"/>
      <w:bookmarkEnd w:id="262"/>
      <w:bookmarkEnd w:id="263"/>
      <w:r>
        <w:rPr>
          <w:rFonts w:hint="eastAsia" w:ascii="仿宋" w:hAnsi="仿宋" w:eastAsia="仿宋"/>
          <w:color w:val="000000" w:themeColor="text1"/>
          <w:szCs w:val="24"/>
          <w14:textFill>
            <w14:solidFill>
              <w14:schemeClr w14:val="tx1"/>
            </w14:solidFill>
          </w14:textFill>
        </w:rPr>
        <w:t>。</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当按下“一键启”按钮，上位机界面上弹出如下图所示的选择框。按下 “5”键可以上下选择，按下“6”选择左右，被选中的项的颜色变为红色。再按一次“一键启”按钮，一键启动功能开始。设备一键启动顺序为：皮带运输机→破碎机→转载运输机→前部刮板运输机→支架自动跟机→采煤机，上位机界面设备没有启动设备显示灰色，正在启动设备出现黄色闪动提示，已启动设备显示绿色。当按下“一键停”时，设备停止顺序为：采煤机→支架自动跟机→前部刮板运输机→转载运输机→破碎机→皮带运输机。正在运行设备显示绿色，已停止设备显示灰色。</w:t>
      </w:r>
    </w:p>
    <w:p>
      <w:pPr>
        <w:pStyle w:val="102"/>
        <w:snapToGrid w:val="0"/>
        <w:spacing w:line="360" w:lineRule="auto"/>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重要提示：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（1）在 “一键启”的过程中，如果有设备按下闭锁，那么，没有启动的设备不启动，已启动设备开始停止功能，直到停到闭锁设备为止，其他设备继续运行。（例如：在“一键启”的过程中，皮带运输机、破碎机和转载机已经启动，正在启动刮板运输机时，破碎机的闭锁按钮被按下，自动跟机和采煤机不会启动，开始停止功能，先停掉刮板运输机，再停掉转载机和破碎机，而皮带运输机继续运行。）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2）在“一键启”的过程中，如果再次按下“一键启”按钮，程序内部自动检测程序运行状态，系统会提示“等待当前任务完成”，正在运行的设备正常运行，没有启动的设备继续“一键启”功能，直到设备全部启动。在实际操作中，要认真观察设备运行状态，设备处于“一键启”状态时，严禁按此启动“一键启”功能。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（3）在“一键启”的过程中，如果按下“一键停”按钮，“一键启”功能停止，正在启动的设备停止启动，其余设备保持运行状态不变；再按一次“一键停”按钮，所有在运行设备开始 “一键停”功能。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（4）在“一键启”的过程中，如果有设备是闭锁状态，那么“一键启”功能将不再执行。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（5）在正常运行的过程中，如果按下“一键启”按钮，程序内部自动检测设备运行状态，设备运行不受影响，没有启动的设备开始“一键启”功能，直到设备全部启动。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（6）在正常运行的过程中，如果按下“一键停”按钮，设备开始“一键停”功能。</w:t>
      </w:r>
    </w:p>
    <w:p>
      <w:pPr>
        <w:pStyle w:val="102"/>
        <w:snapToGrid w:val="0"/>
        <w:spacing w:line="360" w:lineRule="auto"/>
        <w:ind w:firstLine="0" w:firstLineChars="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3、三机集控区操作按钮功能介绍如下：</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序号“1”操作按钮功能：三机集控区急停。按钮拔出操作台三机集控区正常工作；按钮按下操作台三机集控区急停。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序号“2”操作旋钮功能：运行模式选择。旋钮指向 “手动”，操作台三机集控区处于手动状态；旋钮指向 “就地”，操作台三机集控区处于闭锁状态； 旋钮指向 “自动”，操作台三机集控区处于自动状态。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3”操作按钮功能：控制破碎机启动/停止。在集控操作台总控区和三机集控区的模式选择在“手动”状态下，按下此按钮，破碎机启动，同时在上位机界面上破碎机图标会变成绿色；在破碎机运行状态下，按下此按钮，破碎机停止运行。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4”操作按钮功能：控制转载机启动/停止。在集控操作台总控区和三机集控区的模式选择在“手动”状态下，按下此按钮，转载机启动，同时在上位机界面上刮板运输机图标会变成绿色；在转载机运行状态下，按下此按钮，转载机停止运行。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5”操作按钮功能：控制前部运输机启动/停止。在集控操作台总控区和三机集控区的模式选择在“手动”状态下，按下此按钮，前部运输机启动，同时在上位机界面上皮带运输机图标会变成绿色；在前部运输机运行状态下，按下此按钮，前部运输机停止运行。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序号“6”操作按钮功能：控制皮带机启动/停止。在集控操作台总控区和三机集控区的模式选择在“手动”状态下，按下此按钮，皮带机启动，同时在上位机界面上转载机图标会变成绿色；在皮带机运行状态下，按下此按钮，皮带机停止运行。</w:t>
      </w:r>
    </w:p>
    <w:p>
      <w:pPr>
        <w:pStyle w:val="102"/>
        <w:snapToGrid w:val="0"/>
        <w:spacing w:line="360" w:lineRule="auto"/>
        <w:ind w:firstLine="480"/>
        <w:rPr>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序号“7”、“8”操作按钮功能：“顺序启停”功能。</w:t>
      </w:r>
      <w:r>
        <w:rPr>
          <w:rFonts w:hint="eastAsia"/>
          <w:color w:val="000000" w:themeColor="text1"/>
          <w14:textFill>
            <w14:solidFill>
              <w14:schemeClr w14:val="tx1"/>
            </w14:solidFill>
          </w14:textFill>
        </w:rPr>
        <w:t xml:space="preserve"> </w:t>
      </w:r>
    </w:p>
    <w:p>
      <w:pPr>
        <w:pStyle w:val="102"/>
        <w:snapToGrid w:val="0"/>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工作面“顺序启停”的设备包括皮带运输机、破碎机、转载运输机和前（后）运输机。</w:t>
      </w:r>
    </w:p>
    <w:p>
      <w:pPr>
        <w:pStyle w:val="102"/>
        <w:snapToGrid w:val="0"/>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井下集控中心和地面监控中心实现“顺序启停”的前提条件是：井下或井上操作台已授权且与主机同步；集控操作台“总控区”、“三机集控区”、“智能供液区”控制旋钮在“自动”挡位。当按下“顺序启”按钮，没有启动设备显示灰色，正在启动设备出现黄色闪动提示，已启动设备显示绿色。设备启动顺序为：皮带运输机→破碎机→转载运输机→刮板运输机。当按下顺序停按钮时，正在运行设备显示绿色，已停止设备显示灰色。设备停止顺序为：刮板运输机→转载运输机→破碎机→皮带运输机。</w:t>
      </w:r>
    </w:p>
    <w:p>
      <w:pPr>
        <w:pStyle w:val="102"/>
        <w:snapToGrid w:val="0"/>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4、智能供液区操作按钮功能介绍如下：</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color w:val="000000" w:themeColor="text1"/>
          <w14:textFill>
            <w14:solidFill>
              <w14:schemeClr w14:val="tx1"/>
            </w14:solidFill>
          </w14:textFill>
        </w:rPr>
        <w:t>序号“1”操作旋钮功能：运行模式选择。旋钮</w:t>
      </w:r>
      <w:r>
        <w:rPr>
          <w:rFonts w:hint="eastAsia" w:ascii="仿宋" w:hAnsi="仿宋" w:eastAsia="仿宋"/>
          <w:color w:val="000000" w:themeColor="text1"/>
          <w14:textFill>
            <w14:solidFill>
              <w14:schemeClr w14:val="tx1"/>
            </w14:solidFill>
          </w14:textFill>
        </w:rPr>
        <w:t>指向“手动”，操作台智能供液区处于手动状态；旋钮指向“就地”，操作台智能供液区处于闭锁状态；旋钮指向 “自动”，操作台智能供液区处于自动状态。</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序号“2”操作按钮功能：智能供液区上电断电。按钮拔出操作台智能供液区上电；按钮按下操作台智能供液区断电。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3”操作按钮功能：喷雾泵站启动/停止。在集控操作台总控区和三机集控区的模式选择在非“闭锁”状态下，按下此按钮，喷雾泵站启动，同时在上位机界面上喷雾泵站图标会变成绿色；在喷雾泵站运行状态下，按下此按钮，喷雾泵站停止运行。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序号“4”操作按钮功能：1#乳化液泵站启动/停止。在集控操作台总控区和三机集控区的模式选择在非“闭锁”状态下，按下此按钮，1#乳化液泵站启动，同时在上位机界面上 1#乳化液泵站图标会变成绿色；在1#乳化液泵站运行状态下，按下此按钮，1#乳化液泵站停止运行。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序号“5”操作按钮功能：2#乳化液泵站启动/停止。在集控操作台总控区和三机集控区的模式选择在非“闭锁”状态下，按下此按钮，2#乳化液泵站启动，同时在上位机界面上 2#乳化液泵站图标会变成绿色；2#乳化液泵站运行状态下，</w:t>
      </w:r>
      <w:r>
        <w:rPr>
          <w:rFonts w:hint="eastAsia" w:ascii="仿宋" w:hAnsi="仿宋" w:eastAsia="仿宋"/>
          <w:color w:val="000000" w:themeColor="text1"/>
          <w:szCs w:val="24"/>
          <w14:textFill>
            <w14:solidFill>
              <w14:schemeClr w14:val="tx1"/>
            </w14:solidFill>
          </w14:textFill>
        </w:rPr>
        <w:t>按下此按钮，2#乳化液泵站停止运行。</w:t>
      </w:r>
    </w:p>
    <w:p>
      <w:pPr>
        <w:pStyle w:val="107"/>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bookmarkStart w:id="267" w:name="_Toc20096"/>
      <w:r>
        <w:rPr>
          <w:rFonts w:ascii="仿宋" w:hAnsi="仿宋" w:eastAsia="仿宋"/>
          <w:b/>
          <w:color w:val="000000" w:themeColor="text1"/>
          <w:sz w:val="24"/>
          <w:szCs w:val="24"/>
          <w14:textFill>
            <w14:solidFill>
              <w14:schemeClr w14:val="tx1"/>
            </w14:solidFill>
          </w14:textFill>
        </w:rPr>
        <w:t>（三）煤机操作台使用</w:t>
      </w:r>
      <w:bookmarkEnd w:id="267"/>
    </w:p>
    <w:p>
      <w:pPr>
        <w:pStyle w:val="102"/>
        <w:snapToGrid w:val="0"/>
        <w:spacing w:line="360" w:lineRule="auto"/>
        <w:ind w:firstLine="0" w:firstLineChars="0"/>
        <w:rPr>
          <w:rFonts w:ascii="仿宋" w:hAnsi="仿宋" w:eastAsia="仿宋" w:cs="宋体"/>
          <w:color w:val="000000" w:themeColor="text1"/>
          <w:szCs w:val="24"/>
          <w14:textFill>
            <w14:solidFill>
              <w14:schemeClr w14:val="tx1"/>
            </w14:solidFill>
          </w14:textFill>
        </w:rPr>
      </w:pPr>
      <w:r>
        <w:rPr>
          <w:rFonts w:hint="eastAsia" w:ascii="仿宋" w:hAnsi="仿宋" w:eastAsia="仿宋" w:cs="宋体"/>
          <w:color w:val="000000" w:themeColor="text1"/>
          <w:szCs w:val="24"/>
          <w14:textFill>
            <w14:solidFill>
              <w14:schemeClr w14:val="tx1"/>
            </w14:solidFill>
          </w14:textFill>
        </w:rPr>
        <w:t>1、煤机操作台面板布局</w:t>
      </w:r>
    </w:p>
    <w:p>
      <w:pPr>
        <w:pStyle w:val="102"/>
        <w:snapToGrid w:val="0"/>
        <w:spacing w:line="360" w:lineRule="auto"/>
        <w:ind w:firstLine="480"/>
        <w:rPr>
          <w:rFonts w:ascii="仿宋" w:hAnsi="仿宋" w:eastAsia="仿宋"/>
          <w:color w:val="FF0000"/>
          <w:szCs w:val="24"/>
        </w:rPr>
      </w:pPr>
      <w:r>
        <w:rPr>
          <w:rFonts w:hint="eastAsia" w:ascii="仿宋" w:hAnsi="仿宋" w:eastAsia="仿宋"/>
          <w:color w:val="000000" w:themeColor="text1"/>
          <w:szCs w:val="24"/>
          <w14:textFill>
            <w14:solidFill>
              <w14:schemeClr w14:val="tx1"/>
            </w14:solidFill>
          </w14:textFill>
        </w:rPr>
        <w:t>煤机操作台的面板可以划分为三个区域：总体功能区、采煤机控制区、视频控制区域。</w:t>
      </w:r>
    </w:p>
    <w:p>
      <w:pPr>
        <w:pStyle w:val="102"/>
        <w:ind w:firstLine="0" w:firstLineChars="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2、总体功能区操作按钮功能介绍如下：</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序号“1”操作旋钮功能：运行模式选择。旋钮指向 “手动”，整个操作台处于手动状态；旋钮指向 “就地”，整个操作台处于闭锁状态；旋钮指向 “自动”，整个操作台处于自动状态。 </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序号“2”操作旋钮功能：操作台上电断电。按钮拔出操作台上电；按钮按下操作台断电（紧急状态下使用）。</w:t>
      </w:r>
    </w:p>
    <w:p>
      <w:pPr>
        <w:pStyle w:val="102"/>
        <w:spacing w:line="360" w:lineRule="auto"/>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3、采煤机控制区操作按钮功能介绍如下：</w:t>
      </w:r>
    </w:p>
    <w:p>
      <w:pPr>
        <w:pStyle w:val="102"/>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2”三位开关功能：控制采煤机左摇臂上升/下降。采煤机操作台和集控操作台总控区的状态旋钮指在非“闭锁”模式下，将开关向上扳，采煤机左摇臂上升；向下扳，采煤机左摇臂下降；中间位置，保持当前工作状态不变。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控制摇杆“4”功能：控制采煤机运行方向和加减速。采煤机操作台和集控操作台总控区的状态旋钮指在非“闭锁”模式下，将摇杆向左扳，采煤机向左前进；将摇杆向右扳，采煤机向右前进；将摇杆向上扳，采煤机保持当前运行方向并加速前进，速度增加到最大值将不再加速；将摇杆向下扳，采煤机保持当前运行方向并减速前进，速度减小到零，采煤机停止前进；摇杆在中间位置，采煤机保持当前运行状态不变。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6”三位开关功能：控制采煤机右摇臂上升/下降。采煤机操作台和集控操作台总控区的状态旋钮指在非“闭锁”模式下，将开关向上扳，采煤机右摇臂上升；向下扳，采煤机右摇臂下降；中间位置，保持当前工作状态不变。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序号“9”按钮功能：控制采煤机总体启动，包括滚筒和牵引方向。采煤机操作台和集控操作台总控区的状态旋钮指在非“闭锁”模式下，按下此按钮，采煤机滚筒开始转动，牵引电机启动但采煤机不运行。</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序号“10”按钮功能：控制采煤机牵引电机启动。采煤机操作台和集控操作台总控区的状态旋钮指在非“闭锁”模式下，按下此按钮，牵引电机启动但采煤机不运行。</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序号“11”按钮功能：采煤机总停。采煤机操作台和集控操作台总控区的状态旋钮指在非“闭锁”模式下，按下此按钮，采煤机就停止工作。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序号“12”按钮功能：采煤机牵引停。采煤机操作台和集控操作台总控区的状态旋钮指在非“闭锁”模式下，按下此按钮，采煤机牵引电机就停止工作。</w:t>
      </w:r>
    </w:p>
    <w:p>
      <w:pPr>
        <w:pStyle w:val="107"/>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bookmarkStart w:id="268" w:name="_Toc7761"/>
      <w:r>
        <w:rPr>
          <w:rFonts w:ascii="仿宋" w:hAnsi="仿宋" w:eastAsia="仿宋"/>
          <w:b/>
          <w:color w:val="000000" w:themeColor="text1"/>
          <w:sz w:val="24"/>
          <w:szCs w:val="24"/>
          <w14:textFill>
            <w14:solidFill>
              <w14:schemeClr w14:val="tx1"/>
            </w14:solidFill>
          </w14:textFill>
        </w:rPr>
        <w:t>（四）支架操作台使用说明</w:t>
      </w:r>
      <w:bookmarkEnd w:id="268"/>
    </w:p>
    <w:p>
      <w:pPr>
        <w:pStyle w:val="102"/>
        <w:snapToGrid w:val="0"/>
        <w:spacing w:line="360" w:lineRule="auto"/>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1、支架操作台面板布局</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支架操作台，其主要用来在跟机自动化过程中，对需要调整的支架进行远程控制，以达到辅助自动跟机的目的。</w:t>
      </w:r>
    </w:p>
    <w:p>
      <w:pPr>
        <w:pStyle w:val="102"/>
        <w:spacing w:line="360" w:lineRule="auto"/>
        <w:ind w:firstLine="0" w:firstLineChars="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2、总体功能区操作按钮功能介绍如下：</w:t>
      </w:r>
    </w:p>
    <w:p>
      <w:pPr>
        <w:pStyle w:val="102"/>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序号“1”操作旋钮功能：运行模式选择。旋钮指向 “手动”，整个操作台处于手动状态；旋钮指向 “就地”，整个操作台处于闭锁状态；旋钮指向 “自动”，整个操作台处于自动状态。 </w:t>
      </w:r>
    </w:p>
    <w:p>
      <w:pPr>
        <w:pStyle w:val="102"/>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序号“2”操作旋钮功能：操作台上电断电。按钮拔出操作台上电；按钮按下操作台断电（紧急状态下使用）。</w:t>
      </w:r>
    </w:p>
    <w:p>
      <w:pPr>
        <w:pStyle w:val="102"/>
        <w:spacing w:line="360" w:lineRule="auto"/>
        <w:ind w:firstLine="0" w:firstLineChars="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3、单架控制区操作功能介绍如下：</w:t>
      </w:r>
    </w:p>
    <w:p>
      <w:pPr>
        <w:pStyle w:val="102"/>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序号“1”三位开关功能：伸缩梁伸/收。在支架操作台和集控操作台总控区的状态旋钮指在非“闭锁”模式下，将开关向上扳，伸缩梁向外伸；将开关向下扳，伸缩梁收；开关在中间位置，伸缩梁没有动作输出。</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序号“3”三位开关功能：侧护伸/收。在支架操作台和集控操作台总控区的状态旋钮指在非“闭锁”模式下，将开关向上扳，侧护向外伸；将开关向下扳，侧护收；开关在中间位置，侧护没有动作输出。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序号“4”按钮功能：自动跟机。在支架操作台和集控操作台总控区的状态旋钮指在非“闭锁”模式下，第一次按下此按钮，通过旋转“选架旋钮”选择跟机方向是“机头方向”或者“机尾方向”。 在对话框中，方向选择字体变为红色表示已被选择，再按序号“17”的按钮进行确认，对话框消失说明自动跟机功能已开始；自动跟机功能正在运行时，按下“自动跟机”按钮，自动跟机功能取消。</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序号“5”三位开关功能：一级互帮伸/收。在支架操作台和集控操作台总控区的状态旋钮指在非“闭锁”模式下，将开关向上扳，一级互帮向外伸；将开关 向下扳，一级互帮收；开关在中间位置，一级护帮没有动作输出。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序号“6”按钮功能：喷雾按钮。在支架操作台和集控操作台总控区的状态旋钮指在非“闭锁”模式下，按下此按钮，支架开始喷雾；放开之后，喷雾停止。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序号“9”三位开关功能：立柱升/降。在支架操作台和集控操作台总控区的状态旋钮指在非“闭锁”模式下，将开关向上扳，立柱升；将开关向下扳，立柱降；开关在中间位置，立柱没有动作输出。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序号“10”按钮功能：单架自动降移升。在支架操作台和集控操作台总控区的状态旋钮指在非“闭锁”模式下，按下此按钮，被锁定的支架开始自动降移升。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序号“12”按钮功能：单架抬底。在支架操作台和集控操作台总控区的状态旋钮指在非“闭锁”模式下，按下此按钮，被锁定的支架有抬底动作输出，不按此按钮，无动作输出。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序号“13”按钮功能：单架推溜。在支架操作台和集控操作台总控区的状态旋钮指在非“闭锁”模式下，按下此按钮，被锁定的支架有推移千斤顶伸出，推出刮板运输机；不按此按钮，无动作输出。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序号“14”按钮功能：单架移架。在支架操作台和集控操作台总控区的状态旋钮指在非“闭锁”模式下，按下此按钮，被锁定的支架有推移千斤顶收回，将支架向刮板运输机方向移动；不按此按钮，无动作输出。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序号“15”旋钮功能：选架旋钮。旋转旋钮支架号显示数码管显示的数字会发生变化，顺时针旋转，支架号增，逆时针旋转，支架号减。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序号“16”数码显示管功能：支架号显示。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序号“17”按钮功能：锁定支架。 </w:t>
      </w:r>
    </w:p>
    <w:p>
      <w:pPr>
        <w:pStyle w:val="102"/>
        <w:snapToGrid w:val="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选架旋钮、数码显示管和锁定按钮这三个部件是组合在一起使用的，在操作台通电的情况下，数码管会有一个支架号的显示，旋转旋钮，支架号会随之变化。在操作台已授权且支架操作台和集控操作台总控区的状态旋钮指在非“闭锁”模式下，选择支架号并按下锁定按钮，被锁定的支架的控制器会发出被锁定信号，只有在这种情况下才能手动操作支架动作。例如：已选定35#支架，可以使用单架控制区的有效控制部件操作，如果要操作36#支架，通过将选架旋钮以顺时针方向旋转一格，数码管上会显示数字“36”，这时“36#”支架已被解锁，再按下锁定按钮，“36#”就会被锁定，这时可以通过操作控制部件让“36#”支架动作。 </w:t>
      </w:r>
    </w:p>
    <w:p>
      <w:pPr>
        <w:pStyle w:val="102"/>
        <w:snapToGrid w:val="0"/>
        <w:spacing w:line="360" w:lineRule="auto"/>
        <w:ind w:firstLine="48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注意：在支架切换之前，一定要保证操作台上没有支架动作输出，否则将会造成不必要的安全隐患。</w:t>
      </w:r>
    </w:p>
    <w:p>
      <w:pPr>
        <w:pStyle w:val="102"/>
        <w:snapToGrid w:val="0"/>
        <w:spacing w:line="360" w:lineRule="auto"/>
        <w:ind w:firstLine="48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支架操作台成组控制区操作按钮功能介绍如下：</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序号“1”按钮功能：支架号增。在支架操作台和集</w:t>
      </w:r>
      <w:r>
        <w:rPr>
          <w:rFonts w:hint="eastAsia" w:ascii="仿宋" w:hAnsi="仿宋" w:eastAsia="仿宋"/>
          <w:color w:val="000000" w:themeColor="text1"/>
          <w:szCs w:val="24"/>
          <w14:textFill>
            <w14:solidFill>
              <w14:schemeClr w14:val="tx1"/>
            </w14:solidFill>
          </w14:textFill>
        </w:rPr>
        <w:t xml:space="preserve">控操作台总控区的状态旋钮指在“手动”模式下，按下此按钮，文本显示器上的被选中的序号增加。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序号“2”按钮功能：支架号切换。在支架操作台和集控操作台总控区的状态旋钮指在“手动”模式下，按下此按钮，文本显示器上前后两个可被修改的数字相互切换。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序号“3”文本显示器功能： 显示当前所选成组的支架的区间。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序号“4”按钮功能：支架号减。在支架操作台和集控操作台总控区的状态旋钮指在“手动”模式下，按下此按钮，本显示器上的被选中的序号减小。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序号“5”按钮功能：确认按钮。在支架操作台和集控操作台总控区的状态旋钮指在“手动”模式下，按下此按钮，已选择支架被锁定。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注意：在这里选择成组的支架数量不能超过 5 架（两个数相差的绝对值不大于 5）。</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如果不在这个范围内，在按“确认”按钮时，在上位机界面上会有提示对话框。出现这种情况只需把成组架数调到不大于 5 即可。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序号“8”按钮功能：成组推溜功能。在支架操作台和集控操作台总控区的状态旋钮指在“手动”模式下，按下此按钮，已选择的成组支架执行成组推溜动作，此动作自动执行 30 秒。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序号“10”按钮功能：成组伸护帮功能。在支架操作台和集控操作台总控区的状态旋钮指在“手动”模式下，按下此按钮，已选择的成组支架执行成组伸护帮动作，此动作自动执行 10 秒。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序号“11”按钮功能：成组喷雾功能。在支架操作台和集控操作台总控区的状态旋钮指在“手动”模式下，按下此按钮，已选择的成组支架执行成组喷雾动作，此动作自动执行10 秒。 </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序号“12”按钮功能：成组收护帮功能。在支架操作台和集控操作台总控区的状态旋钮指在“手动”模式下，按下此按钮，已选择的成组支架执行成组收护帮动作，此动作自动执行 10 秒。 </w:t>
      </w:r>
    </w:p>
    <w:bookmarkEnd w:id="226"/>
    <w:bookmarkEnd w:id="227"/>
    <w:bookmarkEnd w:id="228"/>
    <w:p>
      <w:pPr>
        <w:pStyle w:val="106"/>
        <w:snapToGrid w:val="0"/>
        <w:spacing w:line="360" w:lineRule="auto"/>
        <w:rPr>
          <w:rFonts w:hint="default" w:ascii="仿宋" w:hAnsi="仿宋" w:eastAsia="仿宋"/>
          <w:b/>
          <w:color w:val="000000" w:themeColor="text1"/>
          <w:sz w:val="24"/>
          <w:szCs w:val="24"/>
          <w14:textFill>
            <w14:solidFill>
              <w14:schemeClr w14:val="tx1"/>
            </w14:solidFill>
          </w14:textFill>
        </w:rPr>
      </w:pPr>
      <w:bookmarkStart w:id="269" w:name="_Toc28894"/>
      <w:r>
        <w:rPr>
          <w:rFonts w:ascii="仿宋" w:hAnsi="仿宋" w:eastAsia="仿宋"/>
          <w:b/>
          <w:color w:val="000000" w:themeColor="text1"/>
          <w:sz w:val="24"/>
          <w:szCs w:val="24"/>
          <w14:textFill>
            <w14:solidFill>
              <w14:schemeClr w14:val="tx1"/>
            </w14:solidFill>
          </w14:textFill>
        </w:rPr>
        <w:t>二、安全注意事项</w:t>
      </w:r>
      <w:bookmarkEnd w:id="269"/>
    </w:p>
    <w:p>
      <w:pPr>
        <w:pStyle w:val="107"/>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（一）总则</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1、本系统的所有操作（急停和闭锁除外）、维护、维修只允许由经过学习熟悉本系统操作使用方法、理解掌握了本规则的专人负责，其他人员不得操作本系统。</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2、系统的所有密码只限指定专职操作人员掌握使用，不准对外泄露。严禁非专职操作人员擅自修改系统的参数。</w:t>
      </w:r>
    </w:p>
    <w:p>
      <w:pPr>
        <w:pStyle w:val="107"/>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（二）操作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操作人员工作时应集中精力，密切注意综采设备的运行状态以及动作所涉及位置及其附近的状况，防止综采设备的运行或动作可能导致对自身或他人的安全威胁和设备的损毁。当预见或正在发生设备故障及危及安全的情况下，应立即按下相应急停按钮。</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2、操作人员如发现自动化集成控制系统处于闭锁或急停状态时，应及时了解原因，确认危险状况解除后方可复位。</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当本系统处于远程自动化操作状态下，任何闲杂人员不得滞留在工作面内。当执行远程单架动作、成组自动动作及跟机自动动作时，控制单元发出自动动作警示信号（蜂鸣器有节奏鸣响），严禁人员进入报警的支架内，在该区域内的人员应立即撤出。操作命令发出后，如发现有人进入到支架动作区域，应立即就近按下急停按钮停止自动功能的动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4、执行远程控制或全自动化控制前，应保证相应的综采设备处于完好状态。包括单机可以正常运行以及所有通讯正常运行。</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5、任何远程控制操作前，都应通过视频及语音喊话系统确认工作面人员安全，当人员撤离出动作范围之后方可进行远程控制操作。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6、支架操作工和采煤机司机应时刻注意顶底板条件以及跟机自动化动作、采煤机自动控制情况，如有问题，应及时处理，必要时停止远程操作。</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7、进行自动化演示或空载情况下可采取“顺煤流”启动方式，即启动顺序依次为运输机、采煤机、转载机、破碎机。</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8、地面调度中心进行“一键启停”必须获得井下授权，井上和井下进行“一键启停”操作人员必须为熟悉郑煤机集控系统的电钳工。</w:t>
      </w:r>
    </w:p>
    <w:p>
      <w:pPr>
        <w:pStyle w:val="107"/>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（三）检修</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1、自动化集成控制系统必须由专职操作维护人员进行定期检查维护，如发现问题及时维修，确保系统的完好性。井下操作维护人员应经过培训，熟练掌握系统的使用、维护和维修方法。</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2、自动化集成控制系统的通讯是整个系统正常运行的关键，如出现通讯故障，应及时处理，否则系统无法实现其正常功能。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3、系统的主机、交换机、综合接入器等电气元部件，要严格按照《煤矿安全规程》有关井下电气设备安全管理的规定进行管理维护。</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4、系统的闭锁、急停按钮、蜂鸣器应定期检查，如有损坏应及时更换、修复。</w:t>
      </w:r>
    </w:p>
    <w:bookmarkEnd w:id="229"/>
    <w:bookmarkEnd w:id="230"/>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5、重视对自动化集成控制系统的管理工作，设置专人对本系统进行管理，组织人员定期对自动化集成控制系统的完好性进行检查，出现问题及时处理。</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6、井下操作维护人员应经过专业培训，熟练掌握系统的使用、维护和维修方法。</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7、保证液压支架电液控制系统供电电源稳定（127V AC）。</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8、定期对自动化集成控制系统进行维护，保持系统各部分尤其是电器元件处于较为干燥、干净的环境下，以提高系统使用稳定性和寿命。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9、开启跟机自动化功能必须经当班队长授权，未经授权禁止开启跟机自动化功能。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工作面跟机自动化作业时，采煤机前滚筒前10m、后滚筒后20m为自动化作业区域，必须安排专人在作业区域两端警戒，非指定跟机人员需要通过自动化作业区域时，必须经警戒人员联系停止自动化作业程序，并经警戒人员同意后人员方可通过，未经警戒人员同意，人员禁止通过自动化作业区域。</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11、生产班跟机自动化作业停工后，必须通过支架控制器或者集控中心停止跟机自动化程序，检修人员方可对支架及自动化系统进行检修，</w:t>
      </w:r>
      <w:r>
        <w:rPr>
          <w:rFonts w:hint="eastAsia" w:ascii="仿宋" w:hAnsi="仿宋" w:eastAsia="仿宋"/>
          <w:color w:val="000000" w:themeColor="text1"/>
          <w:szCs w:val="24"/>
          <w:lang w:val="en-US" w:eastAsia="zh-CN"/>
          <w14:textFill>
            <w14:solidFill>
              <w14:schemeClr w14:val="tx1"/>
            </w14:solidFill>
          </w14:textFill>
        </w:rPr>
        <w:t>检修</w:t>
      </w:r>
      <w:r>
        <w:rPr>
          <w:rFonts w:hint="eastAsia" w:ascii="仿宋" w:hAnsi="仿宋" w:eastAsia="仿宋"/>
          <w:color w:val="000000" w:themeColor="text1"/>
          <w:szCs w:val="24"/>
          <w14:textFill>
            <w14:solidFill>
              <w14:schemeClr w14:val="tx1"/>
            </w14:solidFill>
          </w14:textFill>
        </w:rPr>
        <w:t>班需要调试跟机自动化功能时，必须经班</w:t>
      </w:r>
      <w:r>
        <w:rPr>
          <w:rFonts w:hint="eastAsia" w:ascii="仿宋" w:hAnsi="仿宋" w:eastAsia="仿宋"/>
          <w:color w:val="000000" w:themeColor="text1"/>
          <w:szCs w:val="24"/>
          <w:lang w:val="en-US" w:eastAsia="zh-CN"/>
          <w14:textFill>
            <w14:solidFill>
              <w14:schemeClr w14:val="tx1"/>
            </w14:solidFill>
          </w14:textFill>
        </w:rPr>
        <w:t>队</w:t>
      </w:r>
      <w:r>
        <w:rPr>
          <w:rFonts w:hint="eastAsia" w:ascii="仿宋" w:hAnsi="仿宋" w:eastAsia="仿宋"/>
          <w:color w:val="000000" w:themeColor="text1"/>
          <w:szCs w:val="24"/>
          <w14:textFill>
            <w14:solidFill>
              <w14:schemeClr w14:val="tx1"/>
            </w14:solidFill>
          </w14:textFill>
        </w:rPr>
        <w:t>长授权后方可进行。</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开启跟机自动化功能前，要确定煤机牵引方向，系统默认方向是前一阶段煤机的运行方向，如果需要更改运行方向时，需要人工向煤机需要运行的方向牵引煤机不低于2架，系统即能识别煤机的运行方向，识别完毕后再开启跟机自动化功能。</w:t>
      </w:r>
    </w:p>
    <w:p>
      <w:pPr>
        <w:pStyle w:val="102"/>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13、以上安全注意事项仅限于跟机自动化作业，非跟机自动化作业时，按照其他有关规定执行。</w:t>
      </w:r>
    </w:p>
    <w:p>
      <w:pPr>
        <w:pStyle w:val="3"/>
        <w:keepNext w:val="0"/>
        <w:keepLines w:val="0"/>
        <w:snapToGrid w:val="0"/>
        <w:spacing w:before="0" w:after="0"/>
        <w:ind w:firstLine="0" w:firstLineChars="0"/>
        <w:jc w:val="both"/>
        <w:rPr>
          <w:rFonts w:ascii="黑体" w:hAnsi="黑体" w:eastAsia="黑体" w:cs="黑体"/>
          <w:color w:val="000000" w:themeColor="text1"/>
          <w:kern w:val="0"/>
          <w:sz w:val="30"/>
          <w:szCs w:val="30"/>
          <w14:textFill>
            <w14:solidFill>
              <w14:schemeClr w14:val="tx1"/>
            </w14:solidFill>
          </w14:textFill>
        </w:rPr>
      </w:pPr>
    </w:p>
    <w:p>
      <w:pPr>
        <w:pStyle w:val="3"/>
        <w:keepNext w:val="0"/>
        <w:keepLines w:val="0"/>
        <w:snapToGrid w:val="0"/>
        <w:spacing w:before="0" w:after="0"/>
        <w:ind w:firstLine="0" w:firstLineChars="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第八章   安全技术措施</w:t>
      </w:r>
      <w:bookmarkEnd w:id="222"/>
      <w:bookmarkStart w:id="270" w:name="_Toc496212772"/>
    </w:p>
    <w:p>
      <w:pPr>
        <w:pStyle w:val="4"/>
        <w:keepNext w:val="0"/>
        <w:keepLines w:val="0"/>
        <w:snapToGrid w:val="0"/>
        <w:spacing w:before="0" w:after="0"/>
        <w:ind w:firstLine="562"/>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第一节  一般规定</w:t>
      </w:r>
      <w:bookmarkEnd w:id="270"/>
    </w:p>
    <w:p>
      <w:pPr>
        <w:tabs>
          <w:tab w:val="left" w:pos="532"/>
        </w:tabs>
        <w:autoSpaceDE w:val="0"/>
        <w:autoSpaceDN w:val="0"/>
        <w:adjustRightInd w:val="0"/>
        <w:snapToGrid w:val="0"/>
        <w:ind w:firstLine="0" w:firstLineChars="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一、工作面安全管理制度</w:t>
      </w:r>
    </w:p>
    <w:p>
      <w:pPr>
        <w:tabs>
          <w:tab w:val="left" w:pos="532"/>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1、所有上岗人员都必须进行岗前培训，考试合格后持证上岗，严格落实岗位责任制。</w:t>
      </w:r>
    </w:p>
    <w:p>
      <w:pPr>
        <w:tabs>
          <w:tab w:val="left" w:pos="532"/>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2、所有上岗人员必须严格执行《煤矿安全规程》、《煤矿安全技术操作规程》和《1303工作面回采作业规程》。</w:t>
      </w:r>
    </w:p>
    <w:p>
      <w:pPr>
        <w:autoSpaceDE w:val="0"/>
        <w:autoSpaceDN w:val="0"/>
        <w:adjustRightInd w:val="0"/>
        <w:snapToGrid w:val="0"/>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3、严禁违章指挥、违章作业、违反劳动纪律。</w:t>
      </w:r>
    </w:p>
    <w:p>
      <w:pPr>
        <w:autoSpaceDE w:val="0"/>
        <w:autoSpaceDN w:val="0"/>
        <w:adjustRightInd w:val="0"/>
        <w:snapToGrid w:val="0"/>
        <w:ind w:firstLine="480"/>
        <w:jc w:val="left"/>
        <w:rPr>
          <w:rFonts w:ascii="仿宋" w:hAnsi="仿宋" w:eastAsia="仿宋" w:cs="仿宋"/>
          <w:color w:val="000000" w:themeColor="text1"/>
          <w:spacing w:val="10"/>
          <w:kern w:val="1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4、人员作业时必须精力集中，注意安全，坚决做到“三不伤害”，</w:t>
      </w:r>
      <w:r>
        <w:rPr>
          <w:rFonts w:hint="eastAsia" w:ascii="仿宋" w:hAnsi="仿宋" w:eastAsia="仿宋" w:cs="仿宋"/>
          <w:color w:val="000000" w:themeColor="text1"/>
          <w:spacing w:val="10"/>
          <w:kern w:val="10"/>
          <w:sz w:val="24"/>
          <w14:textFill>
            <w14:solidFill>
              <w14:schemeClr w14:val="tx1"/>
            </w14:solidFill>
          </w14:textFill>
        </w:rPr>
        <w:t xml:space="preserve"> 做好自保、互保、联保工作。</w:t>
      </w:r>
    </w:p>
    <w:p>
      <w:pPr>
        <w:tabs>
          <w:tab w:val="left" w:pos="900"/>
          <w:tab w:val="left" w:pos="1080"/>
          <w:tab w:val="left" w:pos="1260"/>
        </w:tabs>
        <w:snapToGrid w:val="0"/>
        <w:ind w:firstLine="48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5、两人或两人以上协同作业时，必须指定安全负责人。</w:t>
      </w:r>
    </w:p>
    <w:p>
      <w:pPr>
        <w:tabs>
          <w:tab w:val="left" w:pos="532"/>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6、工作面回采工程质量和顶板管理，必须按照《煤矿安全生产标准化基本要求及评分方法》及矿有关安全生产管理规定的各项要求严格执行，做到动态达标、安全生产、文明生产。</w:t>
      </w:r>
    </w:p>
    <w:p>
      <w:pPr>
        <w:tabs>
          <w:tab w:val="left" w:pos="53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7、工作面各监测系统、通风系统、防尘系统、压风自救系统、通讯系统，必须保持其完好，并坚持正常使用。</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8、非本工种人员严禁随意操作电液控系统，放煤操作部分非专职放煤工，严禁随意触碰。</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9、交接班安全检查内容和有关规定</w:t>
      </w:r>
    </w:p>
    <w:p>
      <w:pPr>
        <w:tabs>
          <w:tab w:val="left" w:pos="53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（1）工作面交接班时，上班班队长必须交代清</w:t>
      </w:r>
      <w:r>
        <w:rPr>
          <w:rFonts w:hint="eastAsia" w:ascii="仿宋" w:hAnsi="仿宋" w:eastAsia="仿宋" w:cs="仿宋"/>
          <w:color w:val="000000" w:themeColor="text1"/>
          <w:sz w:val="24"/>
          <w:lang w:val="en-US" w:eastAsia="zh-CN"/>
          <w14:textFill>
            <w14:solidFill>
              <w14:schemeClr w14:val="tx1"/>
            </w14:solidFill>
          </w14:textFill>
        </w:rPr>
        <w:t>楚</w:t>
      </w:r>
      <w:r>
        <w:rPr>
          <w:rFonts w:hint="eastAsia" w:ascii="仿宋" w:hAnsi="仿宋" w:eastAsia="仿宋" w:cs="仿宋"/>
          <w:color w:val="000000" w:themeColor="text1"/>
          <w:sz w:val="24"/>
          <w14:textFill>
            <w14:solidFill>
              <w14:schemeClr w14:val="tx1"/>
            </w14:solidFill>
          </w14:textFill>
        </w:rPr>
        <w:t>工作面存在的安全隐患及当班的处理方法、进展情况；各岗位工交接班时，要对设备的运转情况、存在隐患、处理方法、工具的数量等进行交接。下班接班后，对存在的安全隐患必须立即处理，隐患未处理不得生产。</w:t>
      </w:r>
    </w:p>
    <w:p>
      <w:pPr>
        <w:tabs>
          <w:tab w:val="left" w:pos="54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（2）开工前，跟班人员、队长必须对工作面安全情况进行全面检查，确认无危险后，人员方准进入工作面工作。所有人员必须经常认真检查工作地点的顶板、煤壁、支架等的安全情况，发现问题及时处理。</w:t>
      </w:r>
    </w:p>
    <w:p>
      <w:pPr>
        <w:tabs>
          <w:tab w:val="left" w:pos="532"/>
        </w:tabs>
        <w:autoSpaceDE w:val="0"/>
        <w:autoSpaceDN w:val="0"/>
        <w:adjustRightInd w:val="0"/>
        <w:snapToGrid w:val="0"/>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二、一般安全技术措施</w:t>
      </w:r>
    </w:p>
    <w:p>
      <w:pPr>
        <w:tabs>
          <w:tab w:val="left" w:pos="547"/>
        </w:tabs>
        <w:autoSpaceDE w:val="0"/>
        <w:autoSpaceDN w:val="0"/>
        <w:adjustRightInd w:val="0"/>
        <w:snapToGrid w:val="0"/>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w:t>
      </w:r>
      <w:r>
        <w:rPr>
          <w:rFonts w:hint="eastAsia" w:ascii="仿宋" w:hAnsi="仿宋" w:eastAsia="仿宋" w:cs="仿宋"/>
          <w:b/>
          <w:color w:val="000000" w:themeColor="text1"/>
          <w:sz w:val="24"/>
          <w14:textFill>
            <w14:solidFill>
              <w14:schemeClr w14:val="tx1"/>
            </w14:solidFill>
          </w14:textFill>
        </w:rPr>
        <w:t>人员搬运重物的安全技术措施</w:t>
      </w:r>
    </w:p>
    <w:p>
      <w:pPr>
        <w:tabs>
          <w:tab w:val="left" w:pos="54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搬运前，必须指定一名班队长负责，统一指挥，协调工作。在进行搬运工作前，必须检查行走路线，安排人清理人行道有碍行走的工具、物料及煤矸等，仔细观察行走路线的支护情况，发现异常，及时整改加强。</w:t>
      </w:r>
    </w:p>
    <w:p>
      <w:pPr>
        <w:tabs>
          <w:tab w:val="left" w:pos="54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2、两人或多人搬运时，动作要协调统一，抓牢抓稳物料，防止碰手碰脚。</w:t>
      </w:r>
    </w:p>
    <w:p>
      <w:pPr>
        <w:tabs>
          <w:tab w:val="left" w:pos="54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3、多人搬运同一地点的物料时，必须按顺序进行，不可一哄而上，乱抢乱拉，严防堆放的物料倒落伤人。</w:t>
      </w:r>
    </w:p>
    <w:p>
      <w:pPr>
        <w:tabs>
          <w:tab w:val="left" w:pos="54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4、搬运物料行走时，巷道角度小于10°时，前后安全距离最小间隔不得小于5m；巷道角度大于10°时，则前后安全距离不得小于10m。且搬运人员必须匀速行走，不可疾走、骤停，严防人员被物料碰伤。</w:t>
      </w:r>
    </w:p>
    <w:p>
      <w:pPr>
        <w:tabs>
          <w:tab w:val="left" w:pos="54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5、搬运物料行走时，必须看清脚下，当底板高低不平或有杂物时，必须放慢行走速度，应试探、脚底踩实后方可继续行走。严禁脚踩在圆形或不规则物体上行走，严防摔伤。</w:t>
      </w:r>
    </w:p>
    <w:p>
      <w:pPr>
        <w:tabs>
          <w:tab w:val="left" w:pos="54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6、其他人员与搬运物料人员相遇时，必须及时躲让，严禁与搬运人员抢道；同时搬运物料人员经过有人的地方时，必须掌握住行走方向及拐弯时物料摆动的方向，严防碰伤他人。</w:t>
      </w:r>
    </w:p>
    <w:p>
      <w:pPr>
        <w:tabs>
          <w:tab w:val="left" w:pos="54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7、搬运物料期间，指定班队长要现场统一指挥，走动管理，发现搬运人员不按规定操作，必须及时制止。</w:t>
      </w:r>
    </w:p>
    <w:p>
      <w:pPr>
        <w:tabs>
          <w:tab w:val="left" w:pos="547"/>
        </w:tabs>
        <w:autoSpaceDE w:val="0"/>
        <w:autoSpaceDN w:val="0"/>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8、物料运到指定地点放置时，搬运人员必须互相配合好，协调统一将物料轻放牢稳，不可乱扔乱抛，防止物料碰撞后弹起伤人。</w:t>
      </w:r>
    </w:p>
    <w:p>
      <w:pPr>
        <w:tabs>
          <w:tab w:val="left" w:pos="547"/>
        </w:tabs>
        <w:autoSpaceDE w:val="0"/>
        <w:autoSpaceDN w:val="0"/>
        <w:adjustRightInd w:val="0"/>
        <w:snapToGrid w:val="0"/>
        <w:ind w:firstLine="0" w:firstLineChars="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（二）</w:t>
      </w:r>
      <w:r>
        <w:rPr>
          <w:rFonts w:hint="eastAsia" w:ascii="仿宋" w:hAnsi="仿宋" w:eastAsia="仿宋" w:cs="仿宋_GB2312"/>
          <w:b/>
          <w:color w:val="000000" w:themeColor="text1"/>
          <w:sz w:val="24"/>
          <w14:textFill>
            <w14:solidFill>
              <w14:schemeClr w14:val="tx1"/>
            </w14:solidFill>
          </w14:textFill>
        </w:rPr>
        <w:t>人员登高作业安全技术措施</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人员需登高作业时，必须站在梯子或专用脚手架平台上，使用梯子时，底脚必须放置牢固，并有防滑措施，严禁垫高使用；一人扶梯并观察顶板及周围安全环境。使用脚手架平台时，脚手架平台必须搭建牢固、放置平稳；</w:t>
      </w:r>
    </w:p>
    <w:p>
      <w:pPr>
        <w:tabs>
          <w:tab w:val="left" w:pos="547"/>
        </w:tabs>
        <w:autoSpaceDE w:val="0"/>
        <w:autoSpaceDN w:val="0"/>
        <w:adjustRightInd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2、登高人员要站稳站牢，防止摔倒，严禁嬉戏打闹；</w:t>
      </w:r>
    </w:p>
    <w:p>
      <w:pPr>
        <w:tabs>
          <w:tab w:val="left" w:pos="547"/>
        </w:tabs>
        <w:autoSpaceDE w:val="0"/>
        <w:autoSpaceDN w:val="0"/>
        <w:adjustRightInd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3、人员在1.5m以上高空作业时，还必须正确佩戴完好的保险带，保险带要生根牢固并坚持“高挂低用”的原则； </w:t>
      </w:r>
    </w:p>
    <w:p>
      <w:pPr>
        <w:tabs>
          <w:tab w:val="left" w:pos="547"/>
        </w:tabs>
        <w:autoSpaceDE w:val="0"/>
        <w:autoSpaceDN w:val="0"/>
        <w:adjustRightInd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4、施工人员要</w:t>
      </w:r>
      <w:r>
        <w:rPr>
          <w:rFonts w:ascii="仿宋" w:hAnsi="仿宋" w:eastAsia="仿宋" w:cs="仿宋_GB2312"/>
          <w:color w:val="000000" w:themeColor="text1"/>
          <w:sz w:val="24"/>
          <w14:textFill>
            <w14:solidFill>
              <w14:schemeClr w14:val="tx1"/>
            </w14:solidFill>
          </w14:textFill>
        </w:rPr>
        <w:t>互相配合好，</w:t>
      </w:r>
      <w:r>
        <w:rPr>
          <w:rFonts w:hint="eastAsia" w:ascii="仿宋" w:hAnsi="仿宋" w:eastAsia="仿宋" w:cs="仿宋_GB2312"/>
          <w:color w:val="000000" w:themeColor="text1"/>
          <w:sz w:val="24"/>
          <w14:textFill>
            <w14:solidFill>
              <w14:schemeClr w14:val="tx1"/>
            </w14:solidFill>
          </w14:textFill>
        </w:rPr>
        <w:t>递接工具、物料时必须</w:t>
      </w:r>
      <w:r>
        <w:rPr>
          <w:rFonts w:ascii="仿宋" w:hAnsi="仿宋" w:eastAsia="仿宋" w:cs="仿宋_GB2312"/>
          <w:color w:val="000000" w:themeColor="text1"/>
          <w:sz w:val="24"/>
          <w14:textFill>
            <w14:solidFill>
              <w14:schemeClr w14:val="tx1"/>
            </w14:solidFill>
          </w14:textFill>
        </w:rPr>
        <w:t>拿牢、拿稳，</w:t>
      </w:r>
      <w:r>
        <w:rPr>
          <w:rFonts w:hint="eastAsia" w:ascii="仿宋" w:hAnsi="仿宋" w:eastAsia="仿宋" w:cs="仿宋_GB2312"/>
          <w:color w:val="000000" w:themeColor="text1"/>
          <w:sz w:val="24"/>
          <w14:textFill>
            <w14:solidFill>
              <w14:schemeClr w14:val="tx1"/>
            </w14:solidFill>
          </w14:textFill>
        </w:rPr>
        <w:t>严禁抛掷工具和物料等。</w:t>
      </w:r>
    </w:p>
    <w:p>
      <w:pPr>
        <w:tabs>
          <w:tab w:val="left" w:pos="547"/>
        </w:tabs>
        <w:autoSpaceDE w:val="0"/>
        <w:autoSpaceDN w:val="0"/>
        <w:adjustRightInd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5、原则上脚手架平台上不允许存放物料等，确需存放时必须采取可靠的固定措施，</w:t>
      </w:r>
      <w:r>
        <w:rPr>
          <w:rFonts w:ascii="仿宋" w:hAnsi="仿宋" w:eastAsia="仿宋" w:cs="仿宋_GB2312"/>
          <w:color w:val="000000" w:themeColor="text1"/>
          <w:sz w:val="24"/>
          <w14:textFill>
            <w14:solidFill>
              <w14:schemeClr w14:val="tx1"/>
            </w14:solidFill>
          </w14:textFill>
        </w:rPr>
        <w:t>严防坠落伤人</w:t>
      </w:r>
      <w:r>
        <w:rPr>
          <w:rFonts w:hint="eastAsia" w:ascii="仿宋" w:hAnsi="仿宋" w:eastAsia="仿宋" w:cs="仿宋_GB2312"/>
          <w:color w:val="000000" w:themeColor="text1"/>
          <w:sz w:val="24"/>
          <w14:textFill>
            <w14:solidFill>
              <w14:schemeClr w14:val="tx1"/>
            </w14:solidFill>
          </w14:textFill>
        </w:rPr>
        <w:t>；需在脚手架平台上使用锚杆钻机等工具时，必须固定牢固，人员抓稳扶</w:t>
      </w:r>
      <w:r>
        <w:rPr>
          <w:rFonts w:hint="eastAsia" w:ascii="仿宋" w:hAnsi="仿宋" w:eastAsia="仿宋" w:cs="仿宋_GB2312"/>
          <w:color w:val="000000" w:themeColor="text1"/>
          <w:sz w:val="24"/>
          <w:lang w:val="en-US" w:eastAsia="zh-CN"/>
          <w14:textFill>
            <w14:solidFill>
              <w14:schemeClr w14:val="tx1"/>
            </w14:solidFill>
          </w14:textFill>
        </w:rPr>
        <w:t>牢</w:t>
      </w:r>
      <w:r>
        <w:rPr>
          <w:rFonts w:hint="eastAsia" w:ascii="仿宋" w:hAnsi="仿宋" w:eastAsia="仿宋" w:cs="仿宋_GB2312"/>
          <w:color w:val="000000" w:themeColor="text1"/>
          <w:sz w:val="24"/>
          <w14:textFill>
            <w14:solidFill>
              <w14:schemeClr w14:val="tx1"/>
            </w14:solidFill>
          </w14:textFill>
        </w:rPr>
        <w:t>。</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6、在有物料等坠落危险的下方，严禁人员停留或者作业，其他人员需通过登高作业施工地点时，必须经过施工负责人同意并确认安全后方可通过。</w:t>
      </w:r>
    </w:p>
    <w:p>
      <w:pPr>
        <w:tabs>
          <w:tab w:val="left" w:pos="547"/>
        </w:tabs>
        <w:autoSpaceDE w:val="0"/>
        <w:autoSpaceDN w:val="0"/>
        <w:adjustRightInd w:val="0"/>
        <w:snapToGrid w:val="0"/>
        <w:ind w:firstLine="0" w:firstLineChars="0"/>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（三）风动钻具使用</w:t>
      </w:r>
      <w:r>
        <w:rPr>
          <w:rFonts w:ascii="仿宋" w:hAnsi="仿宋" w:eastAsia="仿宋" w:cs="仿宋_GB2312"/>
          <w:b/>
          <w:bCs/>
          <w:color w:val="000000" w:themeColor="text1"/>
          <w:sz w:val="24"/>
          <w14:textFill>
            <w14:solidFill>
              <w14:schemeClr w14:val="tx1"/>
            </w14:solidFill>
          </w14:textFill>
        </w:rPr>
        <w:t>安全技术措施</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r>
        <w:rPr>
          <w:rFonts w:ascii="仿宋" w:hAnsi="仿宋" w:eastAsia="仿宋" w:cs="仿宋_GB2312"/>
          <w:color w:val="000000" w:themeColor="text1"/>
          <w:sz w:val="24"/>
          <w14:textFill>
            <w14:solidFill>
              <w14:schemeClr w14:val="tx1"/>
            </w14:solidFill>
          </w14:textFill>
        </w:rPr>
        <w:t>检查风量，吹净风管内的污物</w:t>
      </w:r>
      <w:r>
        <w:rPr>
          <w:rFonts w:hint="eastAsia" w:ascii="仿宋" w:hAnsi="仿宋" w:eastAsia="仿宋" w:cs="仿宋_GB2312"/>
          <w:color w:val="000000" w:themeColor="text1"/>
          <w:sz w:val="24"/>
          <w14:textFill>
            <w14:solidFill>
              <w14:schemeClr w14:val="tx1"/>
            </w14:solidFill>
          </w14:textFill>
        </w:rPr>
        <w:t>。</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2、操作人员应做到“三紧”、“两不准”：即扎紧袖口、领口、衣角，不准戴手套、毛巾。</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3、打眼前，应全面检查打眼工具，确认钻具完好、各部件齐全有效且管路连接正规牢固后方可使用，并检查钻具旋转方向及声音是否正常。</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4、打眼应坚持湿式打眼，严禁打旱眼，开机时应先开风后开水，停机时先停水后停风。</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5、打</w:t>
      </w:r>
      <w:r>
        <w:rPr>
          <w:rFonts w:ascii="仿宋" w:hAnsi="仿宋" w:eastAsia="仿宋" w:cs="仿宋_GB2312"/>
          <w:color w:val="000000" w:themeColor="text1"/>
          <w:sz w:val="24"/>
          <w14:textFill>
            <w14:solidFill>
              <w14:schemeClr w14:val="tx1"/>
            </w14:solidFill>
          </w14:textFill>
        </w:rPr>
        <w:t>眼过程中，必须有专人监护顶帮安全，并</w:t>
      </w:r>
      <w:r>
        <w:rPr>
          <w:rFonts w:hint="eastAsia" w:ascii="仿宋" w:hAnsi="仿宋" w:eastAsia="仿宋" w:cs="仿宋_GB2312"/>
          <w:color w:val="000000" w:themeColor="text1"/>
          <w:sz w:val="24"/>
          <w14:textFill>
            <w14:solidFill>
              <w14:schemeClr w14:val="tx1"/>
            </w14:solidFill>
          </w14:textFill>
        </w:rPr>
        <w:t>密切</w:t>
      </w:r>
      <w:r>
        <w:rPr>
          <w:rFonts w:ascii="仿宋" w:hAnsi="仿宋" w:eastAsia="仿宋" w:cs="仿宋_GB2312"/>
          <w:color w:val="000000" w:themeColor="text1"/>
          <w:sz w:val="24"/>
          <w14:textFill>
            <w14:solidFill>
              <w14:schemeClr w14:val="tx1"/>
            </w14:solidFill>
          </w14:textFill>
        </w:rPr>
        <w:t>观察钻进情况，发现有夹钻</w:t>
      </w:r>
      <w:r>
        <w:rPr>
          <w:rFonts w:hint="eastAsia" w:ascii="仿宋" w:hAnsi="仿宋" w:eastAsia="仿宋" w:cs="仿宋_GB2312"/>
          <w:color w:val="000000" w:themeColor="text1"/>
          <w:sz w:val="24"/>
          <w14:textFill>
            <w14:solidFill>
              <w14:schemeClr w14:val="tx1"/>
            </w14:solidFill>
          </w14:textFill>
        </w:rPr>
        <w:t>、钻具的零部件、设施</w:t>
      </w:r>
      <w:r>
        <w:rPr>
          <w:rFonts w:ascii="仿宋" w:hAnsi="仿宋" w:eastAsia="仿宋" w:cs="仿宋_GB2312"/>
          <w:color w:val="000000" w:themeColor="text1"/>
          <w:sz w:val="24"/>
          <w14:textFill>
            <w14:solidFill>
              <w14:schemeClr w14:val="tx1"/>
            </w14:solidFill>
          </w14:textFill>
        </w:rPr>
        <w:t>等</w:t>
      </w:r>
      <w:r>
        <w:rPr>
          <w:rFonts w:hint="eastAsia" w:ascii="仿宋" w:hAnsi="仿宋" w:eastAsia="仿宋" w:cs="仿宋_GB2312"/>
          <w:color w:val="000000" w:themeColor="text1"/>
          <w:sz w:val="24"/>
          <w14:textFill>
            <w14:solidFill>
              <w14:schemeClr w14:val="tx1"/>
            </w14:solidFill>
          </w14:textFill>
        </w:rPr>
        <w:t>出现</w:t>
      </w:r>
      <w:r>
        <w:rPr>
          <w:rFonts w:ascii="仿宋" w:hAnsi="仿宋" w:eastAsia="仿宋" w:cs="仿宋_GB2312"/>
          <w:color w:val="000000" w:themeColor="text1"/>
          <w:sz w:val="24"/>
          <w14:textFill>
            <w14:solidFill>
              <w14:schemeClr w14:val="tx1"/>
            </w14:solidFill>
          </w14:textFill>
        </w:rPr>
        <w:t>异常情况时，必须</w:t>
      </w:r>
      <w:r>
        <w:rPr>
          <w:rFonts w:hint="eastAsia" w:ascii="仿宋" w:hAnsi="仿宋" w:eastAsia="仿宋" w:cs="仿宋_GB2312"/>
          <w:color w:val="000000" w:themeColor="text1"/>
          <w:sz w:val="24"/>
          <w14:textFill>
            <w14:solidFill>
              <w14:schemeClr w14:val="tx1"/>
            </w14:solidFill>
          </w14:textFill>
        </w:rPr>
        <w:t>立即停止工作，</w:t>
      </w:r>
      <w:r>
        <w:rPr>
          <w:rFonts w:ascii="仿宋" w:hAnsi="仿宋" w:eastAsia="仿宋" w:cs="仿宋_GB2312"/>
          <w:color w:val="000000" w:themeColor="text1"/>
          <w:sz w:val="24"/>
          <w14:textFill>
            <w14:solidFill>
              <w14:schemeClr w14:val="tx1"/>
            </w14:solidFill>
          </w14:textFill>
        </w:rPr>
        <w:t>切断动力，</w:t>
      </w:r>
      <w:r>
        <w:rPr>
          <w:rFonts w:hint="eastAsia" w:ascii="仿宋" w:hAnsi="仿宋" w:eastAsia="仿宋" w:cs="仿宋_GB2312"/>
          <w:color w:val="000000" w:themeColor="text1"/>
          <w:sz w:val="24"/>
          <w14:textFill>
            <w14:solidFill>
              <w14:schemeClr w14:val="tx1"/>
            </w14:solidFill>
          </w14:textFill>
        </w:rPr>
        <w:t>进行检查处理，未处理好，严禁再次使用。</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6、打眼时，钻杆严禁摆动，以保持钻进方向，人员严禁站在钻杆下方，防止钻杆折断伤人。</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7、钻具运行时，严禁用手摸钻具的旋转机构。</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8、使用锚杆机时，还必须遵守以下规定：</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（1）锚杆机的支腿应放置牢固，禁止将接通风水管路的锚杆机平置于地面，以防通气误操作而导致气腿突然伸出，造成意外。</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（2）操作锚杆机时应缓慢开启、关闭、调节气动支腿的阀门，严禁突然起落支腿，防止误伤操作人员。</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（3）注意操作机构的尾端，臂端应置于操作机构的右边，并保证人员到钻机的距离大于臂端到钻机的距离。</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（4）钻机收缩时，严禁用手握住气腿，以防挤伤。</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（5）锚杆机加载和卸载时，会出现反扭矩，操作人员必须站位合理，把稳摇臂，找准平衡。</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（6）钻孔时，应</w:t>
      </w:r>
      <w:r>
        <w:rPr>
          <w:rFonts w:hint="eastAsia" w:ascii="仿宋" w:hAnsi="仿宋" w:eastAsia="仿宋" w:cs="仿宋_GB2312"/>
          <w:color w:val="000000" w:themeColor="text1"/>
          <w:sz w:val="24"/>
          <w:lang w:val="en-US" w:eastAsia="zh-CN"/>
          <w14:textFill>
            <w14:solidFill>
              <w14:schemeClr w14:val="tx1"/>
            </w14:solidFill>
          </w14:textFill>
        </w:rPr>
        <w:t>匀速</w:t>
      </w:r>
      <w:r>
        <w:rPr>
          <w:rFonts w:hint="eastAsia" w:ascii="仿宋" w:hAnsi="仿宋" w:eastAsia="仿宋" w:cs="仿宋_GB2312"/>
          <w:color w:val="000000" w:themeColor="text1"/>
          <w:sz w:val="24"/>
          <w14:textFill>
            <w14:solidFill>
              <w14:schemeClr w14:val="tx1"/>
            </w14:solidFill>
          </w14:textFill>
        </w:rPr>
        <w:t>加大气腿推力，严禁在钻杆弯曲的状态下工作，避免因推力不匀而造成的钻进速度忽快忽慢、卡钻、断钎等事故。</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（7）锚杆机运转时，5m范围内不得有除操作人员以外的无关人员逗留。</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9、有下列情况之一者，不准打眼或立即停止打眼，在向矿调度中心和单位值班汇报并妥善处理后，方可继续打眼：</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（1）</w:t>
      </w:r>
      <w:r>
        <w:rPr>
          <w:rFonts w:hint="eastAsia" w:ascii="仿宋" w:hAnsi="仿宋" w:eastAsia="仿宋" w:cs="仿宋_GB2312"/>
          <w:color w:val="000000" w:themeColor="text1"/>
          <w:sz w:val="24"/>
          <w14:textFill>
            <w14:solidFill>
              <w14:schemeClr w14:val="tx1"/>
            </w14:solidFill>
          </w14:textFill>
        </w:rPr>
        <w:t>作业地点风流中瓦斯浓度达到0.8％时，必须停止打眼。</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（2）发现煤层变潮、煤质松软、有挂红、挂汗、出现雾气、水叫、顶板淋水加大、空气变冷等透水预兆时。</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3</w:t>
      </w: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顶板来压明显，压力显现较大时。</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4</w:t>
      </w: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对上述3条，如情况紧急还必须立即发出警报，撤出所有受威胁地点的人员。</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10、钻具不用时，应把钻杆拔出，盘好风管，将钻具放在顶板完好、无滴水的指定地点，拆卸风管时必须先确认管内没有余风残留，防止伤人。</w:t>
      </w:r>
    </w:p>
    <w:p>
      <w:pPr>
        <w:tabs>
          <w:tab w:val="left" w:pos="547"/>
        </w:tabs>
        <w:autoSpaceDE w:val="0"/>
        <w:autoSpaceDN w:val="0"/>
        <w:adjustRightInd w:val="0"/>
        <w:snapToGrid w:val="0"/>
        <w:ind w:firstLine="0" w:firstLineChars="0"/>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（四）风镐使用</w:t>
      </w:r>
      <w:r>
        <w:rPr>
          <w:rFonts w:ascii="仿宋" w:hAnsi="仿宋" w:eastAsia="仿宋" w:cs="仿宋_GB2312"/>
          <w:b/>
          <w:bCs/>
          <w:color w:val="000000" w:themeColor="text1"/>
          <w:sz w:val="24"/>
          <w14:textFill>
            <w14:solidFill>
              <w14:schemeClr w14:val="tx1"/>
            </w14:solidFill>
          </w14:textFill>
        </w:rPr>
        <w:t>安全技术措施</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1、工作前注意事项：</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（1）检查机体有无裂纹和破损现象，螺丝、固定销齐全无损。</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（2）胶管与固定风管接好后，要慢开风门向无人处吹风，排除风管内杂物，然后再接风镐，使用U型卡卡牢，并用12#铁丝将风管与风镐连接加固。操作中随时检查接头是否牢固，以免脱扣伤人。</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（3）检查胶管接头滤风网和风镐头部的固定钢套内是否清洁。</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（4）先将风镐钎尾擦洗干净，然后插入风镐内，检查风镐钎尾端和钢套是否偏斜，间隙是否合适。</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（5）用弹簧固定牢固。</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2、工作中注意事项：</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r>
        <w:rPr>
          <w:rFonts w:ascii="仿宋" w:hAnsi="仿宋" w:eastAsia="仿宋" w:cs="仿宋_GB2312"/>
          <w:color w:val="000000" w:themeColor="text1"/>
          <w:sz w:val="24"/>
          <w14:textFill>
            <w14:solidFill>
              <w14:schemeClr w14:val="tx1"/>
            </w14:solidFill>
          </w14:textFill>
        </w:rPr>
        <w:t>作业人员应脚踏实底，站稳站牢</w:t>
      </w:r>
      <w:r>
        <w:rPr>
          <w:rFonts w:hint="eastAsia" w:ascii="仿宋" w:hAnsi="仿宋" w:eastAsia="仿宋" w:cs="仿宋_GB2312"/>
          <w:color w:val="000000" w:themeColor="text1"/>
          <w:sz w:val="24"/>
          <w14:textFill>
            <w14:solidFill>
              <w14:schemeClr w14:val="tx1"/>
            </w14:solidFill>
          </w14:textFill>
        </w:rPr>
        <w:t>，</w:t>
      </w:r>
      <w:r>
        <w:rPr>
          <w:rFonts w:ascii="仿宋" w:hAnsi="仿宋" w:eastAsia="仿宋" w:cs="仿宋_GB2312"/>
          <w:color w:val="000000" w:themeColor="text1"/>
          <w:sz w:val="24"/>
          <w14:textFill>
            <w14:solidFill>
              <w14:schemeClr w14:val="tx1"/>
            </w14:solidFill>
          </w14:textFill>
        </w:rPr>
        <w:t>作业人员必须抓牢风镐，一手扶住手把，一手扶镐身，同时保持身体平衡。</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（2）使用风镐时，不宜将钎子插入太深，防止卡钻。</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（3）使用、转运风镐时，必须轻拿轻放、使用前必须压紧，使风镐钎肩顶住钢套。</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（4）风镐要及时注油。</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（5）要随时注意各种接头是否牢固，发现松动及时处理。</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（6）保持胶管完好，理顺胶管，</w:t>
      </w:r>
      <w:r>
        <w:rPr>
          <w:rFonts w:ascii="仿宋" w:hAnsi="仿宋" w:eastAsia="仿宋" w:cs="仿宋_GB2312"/>
          <w:color w:val="000000" w:themeColor="text1"/>
          <w:sz w:val="24"/>
          <w14:textFill>
            <w14:solidFill>
              <w14:schemeClr w14:val="tx1"/>
            </w14:solidFill>
          </w14:textFill>
        </w:rPr>
        <w:t>勿使</w:t>
      </w:r>
      <w:r>
        <w:rPr>
          <w:rFonts w:hint="eastAsia" w:ascii="仿宋" w:hAnsi="仿宋" w:eastAsia="仿宋" w:cs="仿宋_GB2312"/>
          <w:color w:val="000000" w:themeColor="text1"/>
          <w:sz w:val="24"/>
          <w14:textFill>
            <w14:solidFill>
              <w14:schemeClr w14:val="tx1"/>
            </w14:solidFill>
          </w14:textFill>
        </w:rPr>
        <w:t>胶</w:t>
      </w:r>
      <w:r>
        <w:rPr>
          <w:rFonts w:ascii="仿宋" w:hAnsi="仿宋" w:eastAsia="仿宋" w:cs="仿宋_GB2312"/>
          <w:color w:val="000000" w:themeColor="text1"/>
          <w:sz w:val="24"/>
          <w14:textFill>
            <w14:solidFill>
              <w14:schemeClr w14:val="tx1"/>
            </w14:solidFill>
          </w14:textFill>
        </w:rPr>
        <w:t>管超过90°的反复弯曲</w:t>
      </w:r>
      <w:r>
        <w:rPr>
          <w:rFonts w:hint="eastAsia" w:ascii="仿宋" w:hAnsi="仿宋" w:eastAsia="仿宋" w:cs="仿宋_GB2312"/>
          <w:color w:val="000000" w:themeColor="text1"/>
          <w:sz w:val="24"/>
          <w14:textFill>
            <w14:solidFill>
              <w14:schemeClr w14:val="tx1"/>
            </w14:solidFill>
          </w14:textFill>
        </w:rPr>
        <w:t>，严禁重物压住胶管，</w:t>
      </w:r>
      <w:r>
        <w:rPr>
          <w:rFonts w:ascii="仿宋" w:hAnsi="仿宋" w:eastAsia="仿宋" w:cs="仿宋_GB2312"/>
          <w:color w:val="000000" w:themeColor="text1"/>
          <w:sz w:val="24"/>
          <w14:textFill>
            <w14:solidFill>
              <w14:schemeClr w14:val="tx1"/>
            </w14:solidFill>
          </w14:textFill>
        </w:rPr>
        <w:t>防止</w:t>
      </w:r>
      <w:r>
        <w:rPr>
          <w:rFonts w:hint="eastAsia" w:ascii="仿宋" w:hAnsi="仿宋" w:eastAsia="仿宋" w:cs="仿宋_GB2312"/>
          <w:color w:val="000000" w:themeColor="text1"/>
          <w:sz w:val="24"/>
          <w14:textFill>
            <w14:solidFill>
              <w14:schemeClr w14:val="tx1"/>
            </w14:solidFill>
          </w14:textFill>
        </w:rPr>
        <w:t>造成胶管损坏漏风。</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（7）风镐出故障时，及时更换或送至</w:t>
      </w:r>
      <w:r>
        <w:rPr>
          <w:rFonts w:ascii="仿宋" w:hAnsi="仿宋" w:eastAsia="仿宋" w:cs="仿宋_GB2312"/>
          <w:color w:val="000000" w:themeColor="text1"/>
          <w:sz w:val="24"/>
          <w14:textFill>
            <w14:solidFill>
              <w14:schemeClr w14:val="tx1"/>
            </w14:solidFill>
          </w14:textFill>
        </w:rPr>
        <w:t>安全地点</w:t>
      </w:r>
      <w:r>
        <w:rPr>
          <w:rFonts w:hint="eastAsia" w:ascii="仿宋" w:hAnsi="仿宋" w:eastAsia="仿宋" w:cs="仿宋_GB2312"/>
          <w:color w:val="000000" w:themeColor="text1"/>
          <w:sz w:val="24"/>
          <w14:textFill>
            <w14:solidFill>
              <w14:schemeClr w14:val="tx1"/>
            </w14:solidFill>
          </w14:textFill>
        </w:rPr>
        <w:t>修理。</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3、停止时注意事项：</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r>
        <w:rPr>
          <w:rFonts w:ascii="仿宋" w:hAnsi="仿宋" w:eastAsia="仿宋" w:cs="仿宋_GB2312"/>
          <w:color w:val="000000" w:themeColor="text1"/>
          <w:sz w:val="24"/>
          <w14:textFill>
            <w14:solidFill>
              <w14:schemeClr w14:val="tx1"/>
            </w14:solidFill>
          </w14:textFill>
        </w:rPr>
        <w:t>施工完毕，关</w:t>
      </w:r>
      <w:r>
        <w:rPr>
          <w:rFonts w:hint="eastAsia" w:ascii="仿宋" w:hAnsi="仿宋" w:eastAsia="仿宋" w:cs="仿宋_GB2312"/>
          <w:color w:val="000000" w:themeColor="text1"/>
          <w:sz w:val="24"/>
          <w14:textFill>
            <w14:solidFill>
              <w14:schemeClr w14:val="tx1"/>
            </w14:solidFill>
          </w14:textFill>
        </w:rPr>
        <w:t>闭</w:t>
      </w:r>
      <w:r>
        <w:rPr>
          <w:rFonts w:ascii="仿宋" w:hAnsi="仿宋" w:eastAsia="仿宋" w:cs="仿宋_GB2312"/>
          <w:color w:val="000000" w:themeColor="text1"/>
          <w:sz w:val="24"/>
          <w14:textFill>
            <w14:solidFill>
              <w14:schemeClr w14:val="tx1"/>
            </w14:solidFill>
          </w14:textFill>
        </w:rPr>
        <w:t>风管阀门，拧开接头，及时使用清洁的专用物堵住风镐进风口，卸下</w:t>
      </w:r>
      <w:r>
        <w:rPr>
          <w:rFonts w:hint="eastAsia" w:ascii="仿宋" w:hAnsi="仿宋" w:eastAsia="仿宋" w:cs="仿宋_GB2312"/>
          <w:color w:val="000000" w:themeColor="text1"/>
          <w:sz w:val="24"/>
          <w14:textFill>
            <w14:solidFill>
              <w14:schemeClr w14:val="tx1"/>
            </w14:solidFill>
          </w14:textFill>
        </w:rPr>
        <w:t>钎尾</w:t>
      </w:r>
      <w:r>
        <w:rPr>
          <w:rFonts w:ascii="仿宋" w:hAnsi="仿宋" w:eastAsia="仿宋" w:cs="仿宋_GB2312"/>
          <w:color w:val="000000" w:themeColor="text1"/>
          <w:sz w:val="24"/>
          <w14:textFill>
            <w14:solidFill>
              <w14:schemeClr w14:val="tx1"/>
            </w14:solidFill>
          </w14:textFill>
        </w:rPr>
        <w:t>。</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r>
        <w:rPr>
          <w:rFonts w:ascii="仿宋" w:hAnsi="仿宋" w:eastAsia="仿宋" w:cs="仿宋_GB2312"/>
          <w:color w:val="000000" w:themeColor="text1"/>
          <w:sz w:val="24"/>
          <w14:textFill>
            <w14:solidFill>
              <w14:schemeClr w14:val="tx1"/>
            </w14:solidFill>
          </w14:textFill>
        </w:rPr>
        <w:t>施工完毕，将风管、风镐运至指定地点放置牢固</w:t>
      </w:r>
      <w:r>
        <w:rPr>
          <w:rFonts w:hint="eastAsia" w:ascii="仿宋" w:hAnsi="仿宋" w:eastAsia="仿宋" w:cs="仿宋_GB2312"/>
          <w:color w:val="000000" w:themeColor="text1"/>
          <w:sz w:val="24"/>
          <w14:textFill>
            <w14:solidFill>
              <w14:schemeClr w14:val="tx1"/>
            </w14:solidFill>
          </w14:textFill>
        </w:rPr>
        <w:t>，不得乱丢乱放，并将风镐外部擦拭干净。</w:t>
      </w:r>
    </w:p>
    <w:p>
      <w:pPr>
        <w:tabs>
          <w:tab w:val="left" w:pos="547"/>
        </w:tabs>
        <w:autoSpaceDE w:val="0"/>
        <w:autoSpaceDN w:val="0"/>
        <w:adjustRightInd w:val="0"/>
        <w:snapToGrid w:val="0"/>
        <w:ind w:firstLine="0" w:firstLineChars="0"/>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（五）单体液压支柱使用安全措施</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1、单体液压支柱入井前必须逐根进行压力试验，</w:t>
      </w:r>
      <w:r>
        <w:rPr>
          <w:rFonts w:ascii="仿宋" w:hAnsi="仿宋" w:eastAsia="仿宋" w:cs="仿宋_GB2312"/>
          <w:color w:val="000000" w:themeColor="text1"/>
          <w:sz w:val="24"/>
          <w14:textFill>
            <w14:solidFill>
              <w14:schemeClr w14:val="tx1"/>
            </w14:solidFill>
          </w14:textFill>
        </w:rPr>
        <w:t>DW</w:t>
      </w:r>
      <w:r>
        <w:rPr>
          <w:rFonts w:hint="eastAsia" w:ascii="仿宋" w:hAnsi="仿宋" w:eastAsia="仿宋" w:cs="仿宋_GB2312"/>
          <w:color w:val="000000" w:themeColor="text1"/>
          <w:sz w:val="24"/>
          <w14:textFill>
            <w14:solidFill>
              <w14:schemeClr w14:val="tx1"/>
            </w14:solidFill>
          </w14:textFill>
        </w:rPr>
        <w:t>型单体液压支柱，入井前要检查顶盖一边是否与三用阀孔轴向平行，不平行的严禁入井使用；新投入的单体液压支柱要按照矿用单体液压支柱行业标准，及时组织验收。</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单体支柱第一次使用时，支柱支设应先将活柱升降（最大行程）</w:t>
      </w:r>
      <w:r>
        <w:rPr>
          <w:rFonts w:ascii="仿宋" w:hAnsi="仿宋" w:eastAsia="仿宋" w:cs="仿宋_GB2312"/>
          <w:color w:val="000000" w:themeColor="text1"/>
          <w:sz w:val="24"/>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w:t>
      </w:r>
      <w:r>
        <w:rPr>
          <w:rFonts w:ascii="仿宋" w:hAnsi="仿宋" w:eastAsia="仿宋" w:cs="仿宋_GB2312"/>
          <w:color w:val="000000" w:themeColor="text1"/>
          <w:sz w:val="24"/>
          <w14:textFill>
            <w14:solidFill>
              <w14:schemeClr w14:val="tx1"/>
            </w14:solidFill>
          </w14:textFill>
        </w:rPr>
        <w:t>3</w:t>
      </w:r>
      <w:r>
        <w:rPr>
          <w:rFonts w:hint="eastAsia" w:ascii="仿宋" w:hAnsi="仿宋" w:eastAsia="仿宋" w:cs="仿宋_GB2312"/>
          <w:color w:val="000000" w:themeColor="text1"/>
          <w:sz w:val="24"/>
          <w14:textFill>
            <w14:solidFill>
              <w14:schemeClr w14:val="tx1"/>
            </w14:solidFill>
          </w14:textFill>
        </w:rPr>
        <w:t>次，排净柱腔内的空气，才能使用。</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3、单体液压支柱，在采煤工作面回采结束后或使用时间超过</w:t>
      </w:r>
      <w:r>
        <w:rPr>
          <w:rFonts w:ascii="仿宋" w:hAnsi="仿宋" w:eastAsia="仿宋" w:cs="仿宋_GB2312"/>
          <w:color w:val="000000" w:themeColor="text1"/>
          <w:sz w:val="24"/>
          <w14:textFill>
            <w14:solidFill>
              <w14:schemeClr w14:val="tx1"/>
            </w14:solidFill>
          </w14:textFill>
        </w:rPr>
        <w:t>8</w:t>
      </w:r>
      <w:r>
        <w:rPr>
          <w:rFonts w:hint="eastAsia" w:ascii="仿宋" w:hAnsi="仿宋" w:eastAsia="仿宋" w:cs="仿宋_GB2312"/>
          <w:color w:val="000000" w:themeColor="text1"/>
          <w:sz w:val="24"/>
          <w14:textFill>
            <w14:solidFill>
              <w14:schemeClr w14:val="tx1"/>
            </w14:solidFill>
          </w14:textFill>
        </w:rPr>
        <w:t>个月后，必须进行检修。检修好的支柱，还必须进行压力试验，合格后方可使用。</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4、单体支柱支设前必须检查三用阀是否牢固，不得有松动现象，否则不准供液。</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5、支柱活柱升出量不得小于</w:t>
      </w:r>
      <w:r>
        <w:rPr>
          <w:rFonts w:ascii="仿宋" w:hAnsi="仿宋" w:eastAsia="仿宋" w:cs="仿宋_GB2312"/>
          <w:color w:val="000000" w:themeColor="text1"/>
          <w:sz w:val="24"/>
          <w14:textFill>
            <w14:solidFill>
              <w14:schemeClr w14:val="tx1"/>
            </w14:solidFill>
          </w14:textFill>
        </w:rPr>
        <w:t>200</w:t>
      </w:r>
      <w:r>
        <w:rPr>
          <w:rFonts w:hint="eastAsia" w:ascii="仿宋" w:hAnsi="仿宋" w:eastAsia="仿宋" w:cs="仿宋_GB2312"/>
          <w:color w:val="000000" w:themeColor="text1"/>
          <w:sz w:val="24"/>
          <w14:textFill>
            <w14:solidFill>
              <w14:schemeClr w14:val="tx1"/>
            </w14:solidFill>
          </w14:textFill>
        </w:rPr>
        <w:t>mm，最大伸出量应比其活柱最大行程小100mm，严禁支柱超高、超低使用；支柱应保持轴向承载，偏载要控制在允许范围内。</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6、正常情况下，单体支柱应垂直顶底板支设，当工作面或巷道有角度时，应保持一定的迎山角（迎山角3～5°），不得出现退山或迎山过大现象，严禁支设在浮煤浮矸上。</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7、在用单体初撑力柱径为100mm的不得小于90KN（即11.5Mpa），底板松软时必须穿柱鞋，支柱钻底量不大于100mm。</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8、在用单体必须有可靠的防倒措施，每支设一根后必须及时拴紧拴牢防倒绳。</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9、在用单体三用阀不得正对人行道，注液口方向必须保持一致，装卸三用阀要使用专用工具。</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10、不准用锤镐等硬物直接敲打柱体和三用阀；回撤支柱，必须悬挂牢靠的挡矸帘，防止顶梁和大块矸石碰砸支柱；处理压死支柱，要先打好临时支柱，采用松顶、卧底等方法回撤，严禁使用其他设备强拉硬拽；任何情况下不准转动三用阀卸载回柱，防止飞阀伤人，不准用</w:t>
      </w:r>
      <w:r>
        <w:rPr>
          <w:rFonts w:hint="eastAsia" w:ascii="仿宋" w:hAnsi="仿宋" w:eastAsia="仿宋" w:cs="仿宋_GB2312"/>
          <w:color w:val="000000" w:themeColor="text1"/>
          <w:sz w:val="24"/>
          <w:lang w:val="en-US" w:eastAsia="zh-CN"/>
          <w14:textFill>
            <w14:solidFill>
              <w14:schemeClr w14:val="tx1"/>
            </w14:solidFill>
          </w14:textFill>
        </w:rPr>
        <w:t>其他</w:t>
      </w:r>
      <w:r>
        <w:rPr>
          <w:rFonts w:hint="eastAsia" w:ascii="仿宋" w:hAnsi="仿宋" w:eastAsia="仿宋" w:cs="仿宋_GB2312"/>
          <w:color w:val="000000" w:themeColor="text1"/>
          <w:sz w:val="24"/>
          <w14:textFill>
            <w14:solidFill>
              <w14:schemeClr w14:val="tx1"/>
            </w14:solidFill>
          </w14:textFill>
        </w:rPr>
        <w:t>工具代替卸载手把放液。</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12、井下备用的单体液压支柱，应置于干燥、清洁的地点；支柱在存放期间或运输过程中，应将活柱降到最低位置，以防损伤活柱体；支柱运输要用专用车，轻拿轻放，文明装卸；</w:t>
      </w:r>
      <w:r>
        <w:rPr>
          <w:rFonts w:ascii="仿宋" w:hAnsi="仿宋" w:eastAsia="仿宋" w:cs="仿宋_GB2312"/>
          <w:color w:val="000000" w:themeColor="text1"/>
          <w:sz w:val="24"/>
          <w14:textFill>
            <w14:solidFill>
              <w14:schemeClr w14:val="tx1"/>
            </w14:solidFill>
          </w14:textFill>
        </w:rPr>
        <w:t>人</w:t>
      </w:r>
      <w:r>
        <w:rPr>
          <w:rFonts w:hint="eastAsia" w:ascii="仿宋" w:hAnsi="仿宋" w:eastAsia="仿宋" w:cs="仿宋_GB2312"/>
          <w:color w:val="000000" w:themeColor="text1"/>
          <w:sz w:val="24"/>
          <w14:textFill>
            <w14:solidFill>
              <w14:schemeClr w14:val="tx1"/>
            </w14:solidFill>
          </w14:textFill>
        </w:rPr>
        <w:t>工运送支柱时，严禁顺地拖拉，应人工抬运，轻抬轻放。</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13、严禁使用损坏失效的单体液压支柱。</w:t>
      </w:r>
    </w:p>
    <w:p>
      <w:pPr>
        <w:tabs>
          <w:tab w:val="left" w:pos="547"/>
        </w:tabs>
        <w:autoSpaceDE w:val="0"/>
        <w:autoSpaceDN w:val="0"/>
        <w:adjustRightInd w:val="0"/>
        <w:snapToGrid w:val="0"/>
        <w:ind w:firstLine="0" w:firstLineChars="0"/>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（六）敲帮问顶</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1、人员进入煤壁作业前、处理片帮漏顶及更换巷道支护前必须严格执行敲帮问顶制度。</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2、敲帮问顶应使用专用长把工具，严禁使用手镐或</w:t>
      </w:r>
      <w:r>
        <w:rPr>
          <w:rFonts w:hint="eastAsia" w:ascii="仿宋" w:hAnsi="仿宋" w:eastAsia="仿宋" w:cs="仿宋_GB2312"/>
          <w:color w:val="000000" w:themeColor="text1"/>
          <w:sz w:val="24"/>
          <w:lang w:val="en-US" w:eastAsia="zh-CN"/>
          <w14:textFill>
            <w14:solidFill>
              <w14:schemeClr w14:val="tx1"/>
            </w14:solidFill>
          </w14:textFill>
        </w:rPr>
        <w:t>其他</w:t>
      </w:r>
      <w:r>
        <w:rPr>
          <w:rFonts w:hint="eastAsia" w:ascii="仿宋" w:hAnsi="仿宋" w:eastAsia="仿宋" w:cs="仿宋_GB2312"/>
          <w:color w:val="000000" w:themeColor="text1"/>
          <w:sz w:val="24"/>
          <w14:textFill>
            <w14:solidFill>
              <w14:schemeClr w14:val="tx1"/>
            </w14:solidFill>
          </w14:textFill>
        </w:rPr>
        <w:t>物品代替。</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3、敲帮问顶作业应由两人配合进行，一人操作，一人观察。在进行敲帮问</w:t>
      </w:r>
    </w:p>
    <w:p>
      <w:pPr>
        <w:tabs>
          <w:tab w:val="left" w:pos="720"/>
        </w:tabs>
        <w:snapToGrid w:val="0"/>
        <w:ind w:firstLine="0" w:firstLineChars="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顶作业时，所有人员必须站在正规支护下面，严禁进入空顶区域。</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4、敲帮时人员站在敲击点以外安全地点，并保证后路安全畅通，使用专用工具敲帮，听其声音，判断煤体是否松动、有无离层，发现煤帮出现伞檐或松动点，必须立即处理。</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问顶时人员要站在斜上方安全地点，先轻敲顶板，再重敲，观察变化，若敲击时发生“空空”或“咚咚”声，说明顶板已离层，要顺着裂隙层理找下去，对松动顶板要排除掉，对于找不掉的可采取打临时支护的方法加以支护。</w:t>
      </w:r>
    </w:p>
    <w:p>
      <w:pPr>
        <w:tabs>
          <w:tab w:val="left" w:pos="720"/>
        </w:tabs>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6、敲帮问顶工作应从安全的地点开始，从外向里、先上后下依次进行，敲帮问顶地点不准同时进行其它工作，敲帮问顶前必须先通知附近作业人员注意安全。</w:t>
      </w:r>
    </w:p>
    <w:p>
      <w:pPr>
        <w:tabs>
          <w:tab w:val="left" w:pos="547"/>
        </w:tabs>
        <w:autoSpaceDE w:val="0"/>
        <w:autoSpaceDN w:val="0"/>
        <w:adjustRightInd w:val="0"/>
        <w:snapToGrid w:val="0"/>
        <w:ind w:firstLine="0" w:firstLineChars="0"/>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（七）大件起吊安全技术措施</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1、</w:t>
      </w:r>
      <w:r>
        <w:rPr>
          <w:rFonts w:hint="eastAsia" w:ascii="仿宋" w:hAnsi="仿宋" w:eastAsia="仿宋" w:cs="仿宋_GB2312"/>
          <w:color w:val="000000" w:themeColor="text1"/>
          <w:sz w:val="24"/>
          <w14:textFill>
            <w14:solidFill>
              <w14:schemeClr w14:val="tx1"/>
            </w14:solidFill>
          </w14:textFill>
        </w:rPr>
        <w:t>当班队长为吊装工作的第一责任人，第一责任人负责大件吊装工作的管理、指挥、协调，现场无第一责任人时，严禁吊装。</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大件起吊时，严禁单人作业必须由施工负责人统一指挥，起吊地点应保证支护完好，后路畅通，无安全隐患，作业人员应先确认自己操作地点的后路要畅通并站在安全地点进行操作，避开在重物可能突然下落或歪倒方向，确认安全后方可使用。</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3、作业人员</w:t>
      </w:r>
      <w:r>
        <w:rPr>
          <w:rFonts w:ascii="仿宋" w:hAnsi="仿宋" w:eastAsia="仿宋" w:cs="仿宋_GB2312"/>
          <w:color w:val="000000" w:themeColor="text1"/>
          <w:sz w:val="24"/>
          <w14:textFill>
            <w14:solidFill>
              <w14:schemeClr w14:val="tx1"/>
            </w14:solidFill>
          </w14:textFill>
        </w:rPr>
        <w:t>要了解</w:t>
      </w:r>
      <w:r>
        <w:rPr>
          <w:rFonts w:hint="eastAsia" w:ascii="仿宋" w:hAnsi="仿宋" w:eastAsia="仿宋" w:cs="仿宋_GB2312"/>
          <w:color w:val="000000" w:themeColor="text1"/>
          <w:sz w:val="24"/>
          <w14:textFill>
            <w14:solidFill>
              <w14:schemeClr w14:val="tx1"/>
            </w14:solidFill>
          </w14:textFill>
        </w:rPr>
        <w:t>重物</w:t>
      </w:r>
      <w:r>
        <w:rPr>
          <w:rFonts w:ascii="仿宋" w:hAnsi="仿宋" w:eastAsia="仿宋" w:cs="仿宋_GB2312"/>
          <w:color w:val="000000" w:themeColor="text1"/>
          <w:sz w:val="24"/>
          <w14:textFill>
            <w14:solidFill>
              <w14:schemeClr w14:val="tx1"/>
            </w14:solidFill>
          </w14:textFill>
        </w:rPr>
        <w:t>的重量和几何中心，</w:t>
      </w:r>
      <w:r>
        <w:rPr>
          <w:rFonts w:hint="eastAsia" w:ascii="仿宋" w:hAnsi="仿宋" w:eastAsia="仿宋" w:cs="仿宋_GB2312"/>
          <w:color w:val="000000" w:themeColor="text1"/>
          <w:sz w:val="24"/>
          <w14:textFill>
            <w14:solidFill>
              <w14:schemeClr w14:val="tx1"/>
            </w14:solidFill>
          </w14:textFill>
        </w:rPr>
        <w:t>重物及大件起吊和装卸车时，必须保持重物或大件重心平衡，不得出现歪斜。</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重物及大件</w:t>
      </w:r>
      <w:r>
        <w:rPr>
          <w:rFonts w:ascii="仿宋" w:hAnsi="仿宋" w:eastAsia="仿宋" w:cs="仿宋_GB2312"/>
          <w:color w:val="000000" w:themeColor="text1"/>
          <w:sz w:val="24"/>
          <w14:textFill>
            <w14:solidFill>
              <w14:schemeClr w14:val="tx1"/>
            </w14:solidFill>
          </w14:textFill>
        </w:rPr>
        <w:t>装车时要安放平稳，封车可靠，无滑动部件，不超宽超高。</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r>
        <w:rPr>
          <w:rFonts w:ascii="仿宋" w:hAnsi="仿宋" w:eastAsia="仿宋" w:cs="仿宋_GB2312"/>
          <w:color w:val="000000" w:themeColor="text1"/>
          <w:sz w:val="24"/>
          <w14:textFill>
            <w14:solidFill>
              <w14:schemeClr w14:val="tx1"/>
            </w14:solidFill>
          </w14:textFill>
        </w:rPr>
        <w:t>、选择符合要求的起吊</w:t>
      </w:r>
      <w:r>
        <w:rPr>
          <w:rFonts w:hint="eastAsia" w:ascii="仿宋" w:hAnsi="仿宋" w:eastAsia="仿宋" w:cs="仿宋_GB2312"/>
          <w:color w:val="000000" w:themeColor="text1"/>
          <w:sz w:val="24"/>
          <w14:textFill>
            <w14:solidFill>
              <w14:schemeClr w14:val="tx1"/>
            </w14:solidFill>
          </w14:textFill>
        </w:rPr>
        <w:t>工具和连接件，起吊工具额定起重量必须大于大件重量、连接件的强度必须满足要求，并认真检查起吊工具和连接件完好情况，坚持正确使用。</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设备大件起吊前应在距起吊地点一定距离处设置警戒牌，并明确标识，起吊作业前，除操作人员外的其他人员必须撤至警戒范围以外。平巷起吊时，起吊点前后警戒距离不小于10m；斜巷起吊时，作业人员必须站在起吊地点上方，起吊地点下方严禁有人，并在5～10m范围内应设置防设备大件滚落设施，起吊点上方警戒距离不小于10m，下方不小于20m。</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7、起吊生根规定</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（1）采用起吊锚杆或锚索生根的，每个起吊点不少于两根，锚固力满足设计要求，吊挂绳之间的夹角应小于12°，严禁使用支护锚杆、锚索或其他护表构件进行起吊。</w:t>
      </w:r>
    </w:p>
    <w:p>
      <w:pPr>
        <w:widowControl/>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①起吊锚杆采用左旋无纵筋螺纹钢锚杆，端部滚丝长度150mm，规格为Ф×L=22×2400mm；每根锚杆使用1卷Z2335和1卷K2370树脂药卷，锚固力不小于120KN，可起吊重物的最大重量为12t。</w:t>
      </w:r>
    </w:p>
    <w:p>
      <w:pPr>
        <w:widowControl/>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②起吊锚索采用1×19型高强度低松弛钢绞线，规格为Ф×L=21.8mm×6200mm；每根锚索使用2支Z2370和1支K2335树脂药卷，锚固力不小于210kN，可起吊重物的最大重量为21t。</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（2）工作面内起吊大件时，起吊工具应生根在支架顶梁专用起吊孔（环）处，支架要升足劲，初撑力不小于24MPa。</w:t>
      </w:r>
    </w:p>
    <w:p>
      <w:pPr>
        <w:snapToGrid w:val="0"/>
        <w:ind w:firstLine="480"/>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8、</w:t>
      </w:r>
      <w:r>
        <w:rPr>
          <w:rFonts w:hint="eastAsia" w:ascii="仿宋" w:hAnsi="仿宋" w:eastAsia="仿宋" w:cs="仿宋_GB2312"/>
          <w:color w:val="000000" w:themeColor="text1"/>
          <w:sz w:val="24"/>
          <w14:textFill>
            <w14:solidFill>
              <w14:schemeClr w14:val="tx1"/>
            </w14:solidFill>
          </w14:textFill>
        </w:rPr>
        <w:t>起吊连接件规定</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r>
        <w:rPr>
          <w:rFonts w:ascii="仿宋" w:hAnsi="仿宋" w:eastAsia="仿宋" w:cs="仿宋_GB2312"/>
          <w:color w:val="000000" w:themeColor="text1"/>
          <w:sz w:val="24"/>
          <w14:textFill>
            <w14:solidFill>
              <w14:schemeClr w14:val="tx1"/>
            </w14:solidFill>
          </w14:textFill>
        </w:rPr>
        <w:t>起吊</w:t>
      </w:r>
      <w:r>
        <w:rPr>
          <w:rFonts w:hint="eastAsia" w:ascii="仿宋" w:hAnsi="仿宋" w:eastAsia="仿宋" w:cs="仿宋_GB2312"/>
          <w:color w:val="000000" w:themeColor="text1"/>
          <w:sz w:val="24"/>
          <w14:textFill>
            <w14:solidFill>
              <w14:schemeClr w14:val="tx1"/>
            </w14:solidFill>
          </w14:textFill>
        </w:rPr>
        <w:t>连接件使用钢丝绳时，</w:t>
      </w:r>
      <w:r>
        <w:rPr>
          <w:rFonts w:ascii="仿宋" w:hAnsi="仿宋" w:eastAsia="仿宋" w:cs="仿宋_GB2312"/>
          <w:color w:val="000000" w:themeColor="text1"/>
          <w:sz w:val="24"/>
          <w14:textFill>
            <w14:solidFill>
              <w14:schemeClr w14:val="tx1"/>
            </w14:solidFill>
          </w14:textFill>
        </w:rPr>
        <w:t>每次起吊前都必须检查</w:t>
      </w:r>
      <w:r>
        <w:rPr>
          <w:rFonts w:hint="eastAsia" w:ascii="仿宋" w:hAnsi="仿宋" w:eastAsia="仿宋" w:cs="仿宋_GB2312"/>
          <w:color w:val="000000" w:themeColor="text1"/>
          <w:sz w:val="24"/>
          <w14:textFill>
            <w14:solidFill>
              <w14:schemeClr w14:val="tx1"/>
            </w14:solidFill>
          </w14:textFill>
        </w:rPr>
        <w:t>钢丝绳</w:t>
      </w:r>
      <w:r>
        <w:rPr>
          <w:rFonts w:ascii="仿宋" w:hAnsi="仿宋" w:eastAsia="仿宋" w:cs="仿宋_GB2312"/>
          <w:color w:val="000000" w:themeColor="text1"/>
          <w:sz w:val="24"/>
          <w14:textFill>
            <w14:solidFill>
              <w14:schemeClr w14:val="tx1"/>
            </w14:solidFill>
          </w14:textFill>
        </w:rPr>
        <w:t>的完好状况，如出现断丝、断股、锈蚀或</w:t>
      </w:r>
      <w:r>
        <w:rPr>
          <w:rFonts w:hint="eastAsia" w:ascii="仿宋" w:hAnsi="仿宋" w:eastAsia="仿宋" w:cs="仿宋_GB2312"/>
          <w:color w:val="000000" w:themeColor="text1"/>
          <w:sz w:val="24"/>
          <w14:textFill>
            <w14:solidFill>
              <w14:schemeClr w14:val="tx1"/>
            </w14:solidFill>
          </w14:textFill>
        </w:rPr>
        <w:t>绳头</w:t>
      </w:r>
      <w:r>
        <w:rPr>
          <w:rFonts w:ascii="仿宋" w:hAnsi="仿宋" w:eastAsia="仿宋" w:cs="仿宋_GB2312"/>
          <w:color w:val="000000" w:themeColor="text1"/>
          <w:sz w:val="24"/>
          <w14:textFill>
            <w14:solidFill>
              <w14:schemeClr w14:val="tx1"/>
            </w14:solidFill>
          </w14:textFill>
        </w:rPr>
        <w:t>穿插不牢等</w:t>
      </w:r>
      <w:r>
        <w:rPr>
          <w:rFonts w:hint="eastAsia" w:ascii="仿宋" w:hAnsi="仿宋" w:eastAsia="仿宋" w:cs="仿宋_GB2312"/>
          <w:color w:val="000000" w:themeColor="text1"/>
          <w:sz w:val="24"/>
          <w14:textFill>
            <w14:solidFill>
              <w14:schemeClr w14:val="tx1"/>
            </w14:solidFill>
          </w14:textFill>
        </w:rPr>
        <w:t>情况时严禁使</w:t>
      </w:r>
      <w:r>
        <w:rPr>
          <w:rFonts w:ascii="仿宋" w:hAnsi="仿宋" w:eastAsia="仿宋" w:cs="仿宋_GB2312"/>
          <w:color w:val="000000" w:themeColor="text1"/>
          <w:sz w:val="24"/>
          <w14:textFill>
            <w14:solidFill>
              <w14:schemeClr w14:val="tx1"/>
            </w14:solidFill>
          </w14:textFill>
        </w:rPr>
        <w:t>用</w:t>
      </w:r>
      <w:r>
        <w:rPr>
          <w:rFonts w:hint="eastAsia" w:ascii="仿宋" w:hAnsi="仿宋" w:eastAsia="仿宋" w:cs="仿宋_GB2312"/>
          <w:color w:val="000000" w:themeColor="text1"/>
          <w:sz w:val="24"/>
          <w14:textFill>
            <w14:solidFill>
              <w14:schemeClr w14:val="tx1"/>
            </w14:solidFill>
          </w14:textFill>
        </w:rPr>
        <w:t>。</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（2）起吊连接件使用圆环链时</w:t>
      </w:r>
      <w:r>
        <w:rPr>
          <w:rFonts w:ascii="仿宋" w:hAnsi="仿宋" w:eastAsia="仿宋" w:cs="仿宋_GB2312"/>
          <w:color w:val="000000" w:themeColor="text1"/>
          <w:sz w:val="24"/>
          <w14:textFill>
            <w14:solidFill>
              <w14:schemeClr w14:val="tx1"/>
            </w14:solidFill>
          </w14:textFill>
        </w:rPr>
        <w:t>，每次起吊前必须检查链条的完好状况，如出现伤痕或开焊等现象禁止使用</w:t>
      </w:r>
      <w:r>
        <w:rPr>
          <w:rFonts w:hint="eastAsia" w:ascii="仿宋" w:hAnsi="仿宋" w:eastAsia="仿宋" w:cs="仿宋_GB2312"/>
          <w:color w:val="000000" w:themeColor="text1"/>
          <w:sz w:val="24"/>
          <w14:textFill>
            <w14:solidFill>
              <w14:schemeClr w14:val="tx1"/>
            </w14:solidFill>
          </w14:textFill>
        </w:rPr>
        <w:t>。</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（3）严禁使用铁丝作为起吊工具连接件。</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（4）起吊连接件最大允许起吊重量：</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①起吊连接件选用钢丝绳时，根据钢丝绳许用拉力计算经验公式：</w:t>
      </w:r>
    </w:p>
    <w:p>
      <w:pPr>
        <w:snapToGrid w:val="0"/>
        <w:ind w:firstLine="960" w:firstLineChars="4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P=0.1×D</w:t>
      </w:r>
      <w:r>
        <w:rPr>
          <w:rFonts w:hint="eastAsia" w:ascii="仿宋" w:hAnsi="仿宋" w:eastAsia="仿宋" w:cs="仿宋_GB2312"/>
          <w:color w:val="000000" w:themeColor="text1"/>
          <w:sz w:val="24"/>
          <w:vertAlign w:val="superscript"/>
          <w14:textFill>
            <w14:solidFill>
              <w14:schemeClr w14:val="tx1"/>
            </w14:solidFill>
          </w14:textFill>
        </w:rPr>
        <w:t>2</w:t>
      </w:r>
    </w:p>
    <w:p>
      <w:pPr>
        <w:snapToGrid w:val="0"/>
        <w:ind w:left="420"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式中：P—5倍安全系数下钢丝绳许用拉力；</w:t>
      </w:r>
    </w:p>
    <w:p>
      <w:pPr>
        <w:snapToGrid w:val="0"/>
        <w:ind w:left="420" w:leftChars="200" w:firstLine="1080" w:firstLineChars="45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 D—钢丝绳直径；</w:t>
      </w:r>
    </w:p>
    <w:tbl>
      <w:tblPr>
        <w:tblStyle w:val="36"/>
        <w:tblW w:w="4772" w:type="dxa"/>
        <w:jc w:val="center"/>
        <w:tblLayout w:type="fixed"/>
        <w:tblCellMar>
          <w:top w:w="0" w:type="dxa"/>
          <w:left w:w="108" w:type="dxa"/>
          <w:bottom w:w="0" w:type="dxa"/>
          <w:right w:w="108" w:type="dxa"/>
        </w:tblCellMar>
      </w:tblPr>
      <w:tblGrid>
        <w:gridCol w:w="1857"/>
        <w:gridCol w:w="2915"/>
      </w:tblGrid>
      <w:tr>
        <w:tblPrEx>
          <w:tblCellMar>
            <w:top w:w="0" w:type="dxa"/>
            <w:left w:w="108" w:type="dxa"/>
            <w:bottom w:w="0" w:type="dxa"/>
            <w:right w:w="108" w:type="dxa"/>
          </w:tblCellMar>
        </w:tblPrEx>
        <w:trPr>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钢丝绳直径</w:t>
            </w:r>
          </w:p>
        </w:tc>
        <w:tc>
          <w:tcPr>
            <w:tcW w:w="2915"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允许最大起吊重量</w:t>
            </w:r>
          </w:p>
        </w:tc>
      </w:tr>
      <w:tr>
        <w:tblPrEx>
          <w:tblCellMar>
            <w:top w:w="0" w:type="dxa"/>
            <w:left w:w="108" w:type="dxa"/>
            <w:bottom w:w="0" w:type="dxa"/>
            <w:right w:w="108" w:type="dxa"/>
          </w:tblCellMar>
        </w:tblPrEx>
        <w:trPr>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φ12.5mm（4分）</w:t>
            </w:r>
          </w:p>
        </w:tc>
        <w:tc>
          <w:tcPr>
            <w:tcW w:w="2915"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1600Kg</w:t>
            </w:r>
          </w:p>
        </w:tc>
      </w:tr>
      <w:tr>
        <w:tblPrEx>
          <w:tblCellMar>
            <w:top w:w="0" w:type="dxa"/>
            <w:left w:w="108" w:type="dxa"/>
            <w:bottom w:w="0" w:type="dxa"/>
            <w:right w:w="108" w:type="dxa"/>
          </w:tblCellMar>
        </w:tblPrEx>
        <w:trPr>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φ15.5mm（5分）</w:t>
            </w:r>
          </w:p>
        </w:tc>
        <w:tc>
          <w:tcPr>
            <w:tcW w:w="2915"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2500Kg</w:t>
            </w:r>
          </w:p>
        </w:tc>
      </w:tr>
      <w:tr>
        <w:tblPrEx>
          <w:tblCellMar>
            <w:top w:w="0" w:type="dxa"/>
            <w:left w:w="108" w:type="dxa"/>
            <w:bottom w:w="0" w:type="dxa"/>
            <w:right w:w="108" w:type="dxa"/>
          </w:tblCellMar>
        </w:tblPrEx>
        <w:trPr>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φ18.5mm（6分）</w:t>
            </w:r>
          </w:p>
        </w:tc>
        <w:tc>
          <w:tcPr>
            <w:tcW w:w="2915"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0" w:firstLineChars="0"/>
              <w:jc w:val="center"/>
              <w:rPr>
                <w:rFonts w:ascii="仿宋" w:hAnsi="仿宋" w:eastAsia="仿宋" w:cs="仿宋_GB2312"/>
                <w:color w:val="000000" w:themeColor="text1"/>
                <w:szCs w:val="21"/>
                <w14:textFill>
                  <w14:solidFill>
                    <w14:schemeClr w14:val="tx1"/>
                  </w14:solidFill>
                </w14:textFill>
              </w:rPr>
            </w:pPr>
            <w:r>
              <w:rPr>
                <w:rFonts w:hint="eastAsia" w:ascii="仿宋" w:hAnsi="仿宋" w:eastAsia="仿宋" w:cs="仿宋_GB2312"/>
                <w:color w:val="000000" w:themeColor="text1"/>
                <w:szCs w:val="21"/>
                <w14:textFill>
                  <w14:solidFill>
                    <w14:schemeClr w14:val="tx1"/>
                  </w14:solidFill>
                </w14:textFill>
              </w:rPr>
              <w:t>3600Kg</w:t>
            </w:r>
          </w:p>
        </w:tc>
      </w:tr>
    </w:tbl>
    <w:p>
      <w:pPr>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②起吊连接件选用圆环链时，</w:t>
      </w:r>
      <w:r>
        <w:rPr>
          <w:rFonts w:hint="eastAsia" w:ascii="仿宋" w:hAnsi="仿宋" w:eastAsia="仿宋" w:cs="仿宋"/>
          <w:color w:val="000000" w:themeColor="text1"/>
          <w:sz w:val="24"/>
          <w14:textFill>
            <w14:solidFill>
              <w14:schemeClr w14:val="tx1"/>
            </w14:solidFill>
          </w14:textFill>
        </w:rPr>
        <w:t>校验：</w:t>
      </w:r>
    </w:p>
    <w:p>
      <w:pPr>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Φ18×64C级性能链条最小破断力：Qp=410kN；</w:t>
      </w:r>
    </w:p>
    <w:p>
      <w:pPr>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 =Qp/Fmax =410/6.0=68KN（6.8吨）</w:t>
      </w:r>
    </w:p>
    <w:p>
      <w:pPr>
        <w:adjustRightInd w:val="0"/>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安全系数为6.0，该链条（单股）最大起吊能力满足6.8吨。</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Φ22×92D级性能链条最小破断力Qp =610kN；</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 =Qp/Fmax =610/6.0=101.6KN（10.16吨）</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安全系数为6.0，该链条（单根单股）最大起吊能力满足10.16吨。</w:t>
      </w:r>
    </w:p>
    <w:p>
      <w:pPr>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9、设备大件起吊时，捆绑必须牢固可靠、重心平稳，绳链所经过的棱角处应加衬垫，严禁使用铁丝捆绑设备大件。</w:t>
      </w:r>
      <w:r>
        <w:rPr>
          <w:rFonts w:ascii="仿宋" w:hAnsi="仿宋" w:eastAsia="仿宋" w:cs="仿宋_GB2312"/>
          <w:color w:val="000000" w:themeColor="text1"/>
          <w:sz w:val="24"/>
          <w14:textFill>
            <w14:solidFill>
              <w14:schemeClr w14:val="tx1"/>
            </w14:solidFill>
          </w14:textFill>
        </w:rPr>
        <w:t>捆绑易滑动的部件时，应对滑动的部件进行固定，防止因滑动碰坏部件或碰伤人员。使用手拉葫芦</w:t>
      </w:r>
      <w:r>
        <w:rPr>
          <w:rFonts w:hint="eastAsia" w:ascii="仿宋" w:hAnsi="仿宋" w:eastAsia="仿宋" w:cs="仿宋_GB2312"/>
          <w:color w:val="000000" w:themeColor="text1"/>
          <w:sz w:val="24"/>
          <w14:textFill>
            <w14:solidFill>
              <w14:schemeClr w14:val="tx1"/>
            </w14:solidFill>
          </w14:textFill>
        </w:rPr>
        <w:t>起重</w:t>
      </w:r>
      <w:r>
        <w:rPr>
          <w:rFonts w:ascii="仿宋" w:hAnsi="仿宋" w:eastAsia="仿宋" w:cs="仿宋_GB2312"/>
          <w:color w:val="000000" w:themeColor="text1"/>
          <w:sz w:val="24"/>
          <w14:textFill>
            <w14:solidFill>
              <w14:schemeClr w14:val="tx1"/>
            </w14:solidFill>
          </w14:textFill>
        </w:rPr>
        <w:t>链</w:t>
      </w:r>
      <w:r>
        <w:rPr>
          <w:rFonts w:hint="eastAsia" w:ascii="仿宋" w:hAnsi="仿宋" w:eastAsia="仿宋" w:cs="仿宋_GB2312"/>
          <w:color w:val="000000" w:themeColor="text1"/>
          <w:sz w:val="24"/>
          <w14:textFill>
            <w14:solidFill>
              <w14:schemeClr w14:val="tx1"/>
            </w14:solidFill>
          </w14:textFill>
        </w:rPr>
        <w:t>捆绑</w:t>
      </w:r>
      <w:r>
        <w:rPr>
          <w:rFonts w:ascii="仿宋" w:hAnsi="仿宋" w:eastAsia="仿宋" w:cs="仿宋_GB2312"/>
          <w:color w:val="000000" w:themeColor="text1"/>
          <w:sz w:val="24"/>
          <w14:textFill>
            <w14:solidFill>
              <w14:schemeClr w14:val="tx1"/>
            </w14:solidFill>
          </w14:textFill>
        </w:rPr>
        <w:t>时，链花扭结处必须用双股8#铁丝系牢，防止滑脱。</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10、设备大件起吊操作应遵守下列规定：</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（1）起吊前应先试吊，试吊高度为100～200mm。</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（2）设备大件应垂直起吊，严禁斜拉、斜吊。</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（3）设备大件起吊应连续作业。</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（4）严禁使用人体重量来平衡被吊设备大件。严禁操作人员站在被吊设备大件上起吊。严禁用手直接校正已涨紧的起吊工具。吊运中如发现捆绑松动或吊运工具出现异样，应立即停止操作进行检查。</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（5）在任何情况下都禁止将吊运的重物从人员头上越过，人员不准在重物下停留或行走。</w:t>
      </w:r>
    </w:p>
    <w:p>
      <w:pPr>
        <w:pBdr>
          <w:top w:val="none" w:color="auto" w:sz="0" w:space="1"/>
          <w:left w:val="none" w:color="auto" w:sz="0" w:space="4"/>
          <w:bottom w:val="none" w:color="auto" w:sz="0" w:space="1"/>
          <w:right w:val="none" w:color="auto" w:sz="0" w:space="4"/>
        </w:pBdr>
        <w:snapToGrid w:val="0"/>
        <w:ind w:firstLine="480"/>
        <w:textAlignment w:val="baseline"/>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11、采用手拉葫芦起吊设备大件时，拉动手拉链用力应均匀缓和，不得过快过猛，起吊设备大件悬空停留时，应将手拉葫芦的手拉链固定在起重链上，严禁滑动。</w:t>
      </w:r>
    </w:p>
    <w:p>
      <w:pPr>
        <w:pStyle w:val="12"/>
        <w:snapToGrid w:val="0"/>
        <w:spacing w:after="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（八）转载机段卧底施工安全技术措施</w:t>
      </w:r>
    </w:p>
    <w:p>
      <w:pPr>
        <w:pStyle w:val="12"/>
        <w:snapToGrid w:val="0"/>
        <w:spacing w:after="0"/>
        <w:ind w:firstLine="480"/>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随着工作面正常推进，机巷转载机段因巷道围岩变化出现底鼓，为了确保工作面正常推进，需对转载机桥部段进行日常卧底施工，卧底长度为当班推进长度。</w:t>
      </w:r>
    </w:p>
    <w:p>
      <w:pPr>
        <w:pStyle w:val="12"/>
        <w:snapToGrid w:val="0"/>
        <w:spacing w:after="0"/>
        <w:ind w:firstLine="48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1、施工前，施工人员必须对施工现场进行全面检查，</w:t>
      </w:r>
      <w:r>
        <w:rPr>
          <w:rFonts w:hint="eastAsia" w:ascii="仿宋" w:hAnsi="仿宋" w:eastAsia="仿宋" w:cs="仿宋"/>
          <w:color w:val="000000" w:themeColor="text1"/>
          <w:kern w:val="0"/>
          <w:sz w:val="24"/>
          <w:lang w:val="en-US" w:eastAsia="zh-CN"/>
          <w14:textFill>
            <w14:solidFill>
              <w14:schemeClr w14:val="tx1"/>
            </w14:solidFill>
          </w14:textFill>
        </w:rPr>
        <w:t>排除</w:t>
      </w:r>
      <w:r>
        <w:rPr>
          <w:rFonts w:hint="eastAsia" w:ascii="仿宋" w:hAnsi="仿宋" w:eastAsia="仿宋" w:cs="仿宋"/>
          <w:color w:val="000000" w:themeColor="text1"/>
          <w:kern w:val="0"/>
          <w:sz w:val="24"/>
          <w14:textFill>
            <w14:solidFill>
              <w14:schemeClr w14:val="tx1"/>
            </w14:solidFill>
          </w14:textFill>
        </w:rPr>
        <w:t>隐患，在确保安全的情况下施工。清理卧底工作使用风镐、手镐人工镐刨、铲攉及使用巷道修复机卧底的方式进行，卧底的煤人工装入转载机运出。</w:t>
      </w:r>
    </w:p>
    <w:p>
      <w:pPr>
        <w:pStyle w:val="12"/>
        <w:snapToGrid w:val="0"/>
        <w:spacing w:after="0"/>
        <w:ind w:firstLine="0" w:firstLineChars="0"/>
        <w:rPr>
          <w:rFonts w:ascii="仿宋" w:hAnsi="仿宋" w:eastAsia="仿宋" w:cs="仿宋"/>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  2、使用风镐前，风管路连接必须使用U型销保证牢固可靠。严禁使用铁丝代替U型销，防止脱节伤人。</w:t>
      </w:r>
      <w:r>
        <w:rPr>
          <w:rFonts w:hint="eastAsia" w:ascii="仿宋" w:hAnsi="仿宋" w:eastAsia="仿宋" w:cs="仿宋"/>
          <w:color w:val="000000" w:themeColor="text1"/>
          <w:sz w:val="24"/>
          <w:shd w:val="clear" w:color="auto" w:fill="FFFFFF"/>
          <w14:textFill>
            <w14:solidFill>
              <w14:schemeClr w14:val="tx1"/>
            </w14:solidFill>
          </w14:textFill>
        </w:rPr>
        <w:br w:type="textWrapping"/>
      </w:r>
      <w:r>
        <w:rPr>
          <w:rFonts w:hint="eastAsia" w:ascii="仿宋" w:hAnsi="仿宋" w:eastAsia="仿宋" w:cs="仿宋"/>
          <w:color w:val="000000" w:themeColor="text1"/>
          <w:sz w:val="24"/>
          <w:shd w:val="clear" w:color="auto" w:fill="FFFFFF"/>
          <w14:textFill>
            <w14:solidFill>
              <w14:schemeClr w14:val="tx1"/>
            </w14:solidFill>
          </w14:textFill>
        </w:rPr>
        <w:t>  3、施工结束后，对人行道侧进行平整细化，达到质量标准化要求，收拾好工具，统一放到指定地点，现场严格执行交接班制度。</w:t>
      </w:r>
    </w:p>
    <w:p>
      <w:pPr>
        <w:tabs>
          <w:tab w:val="left" w:pos="4560"/>
        </w:tabs>
        <w:autoSpaceDE w:val="0"/>
        <w:autoSpaceDN w:val="0"/>
        <w:adjustRightInd w:val="0"/>
        <w:snapToGrid w:val="0"/>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4、转载机落地段卧底作业时，若</w:t>
      </w:r>
      <w:r>
        <w:rPr>
          <w:rFonts w:hint="eastAsia" w:ascii="仿宋" w:hAnsi="仿宋" w:eastAsia="仿宋" w:cs="仿宋"/>
          <w:color w:val="000000" w:themeColor="text1"/>
          <w:sz w:val="24"/>
          <w14:textFill>
            <w14:solidFill>
              <w14:schemeClr w14:val="tx1"/>
            </w14:solidFill>
          </w14:textFill>
        </w:rPr>
        <w:t>一次连续卧底距离超过5m，深度超过1.0m时，必须及时在转载机溜槽下方垫设道木或打单体支撑转载机，单体必须穿柱鞋、柱头与转载机接触地方垫木板，防止卧底高度过大，造成设备受损或人员伤害。</w:t>
      </w:r>
      <w:bookmarkStart w:id="271" w:name="_Toc496212773"/>
    </w:p>
    <w:p>
      <w:pPr>
        <w:pStyle w:val="12"/>
        <w:snapToGrid w:val="0"/>
        <w:ind w:firstLine="420"/>
        <w:rPr>
          <w:color w:val="FF0000"/>
        </w:rPr>
      </w:pPr>
    </w:p>
    <w:p>
      <w:pPr>
        <w:pStyle w:val="4"/>
        <w:keepNext w:val="0"/>
        <w:keepLines w:val="0"/>
        <w:snapToGrid w:val="0"/>
        <w:spacing w:before="0" w:after="0"/>
        <w:ind w:firstLine="0" w:firstLineChars="0"/>
        <w:rPr>
          <w:rFonts w:ascii="仿宋" w:hAnsi="仿宋" w:eastAsia="仿宋" w:cs="仿宋_GB2312"/>
          <w:color w:val="000000" w:themeColor="text1"/>
          <w:spacing w:val="10"/>
          <w:kern w:val="10"/>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第二节   顶板管理</w:t>
      </w:r>
      <w:bookmarkEnd w:id="271"/>
    </w:p>
    <w:p>
      <w:pPr>
        <w:snapToGrid w:val="0"/>
        <w:ind w:firstLine="0" w:firstLineChars="0"/>
        <w:rPr>
          <w:rFonts w:ascii="仿宋" w:hAnsi="仿宋" w:eastAsia="仿宋" w:cs="仿宋_GB2312"/>
          <w:b/>
          <w:color w:val="000000" w:themeColor="text1"/>
          <w:spacing w:val="10"/>
          <w:kern w:val="10"/>
          <w:sz w:val="24"/>
          <w14:textFill>
            <w14:solidFill>
              <w14:schemeClr w14:val="tx1"/>
            </w14:solidFill>
          </w14:textFill>
        </w:rPr>
      </w:pPr>
      <w:r>
        <w:rPr>
          <w:rFonts w:hint="eastAsia" w:ascii="仿宋" w:hAnsi="仿宋" w:eastAsia="仿宋" w:cs="仿宋_GB2312"/>
          <w:b/>
          <w:color w:val="000000" w:themeColor="text1"/>
          <w:spacing w:val="10"/>
          <w:kern w:val="10"/>
          <w:sz w:val="24"/>
          <w14:textFill>
            <w14:solidFill>
              <w14:schemeClr w14:val="tx1"/>
            </w14:solidFill>
          </w14:textFill>
        </w:rPr>
        <w:t>一、初次放顶安全技术措施</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初放前，成立以采煤副总经理为首的初放领导小组，严格监督初放措施落实情况，初次放顶结束应以老顶初次来压为标准，并经初放领导小组鉴定同意后，方可进入正常回采。</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初放前，初放领导小组成员必须认真检查装面措施执行情况，工作面上下出口、两巷超前支护、工作面规格质量及生产系统，不具备初放条件，禁止放顶。</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初放前，</w:t>
      </w:r>
      <w:r>
        <w:rPr>
          <w:rFonts w:ascii="仿宋" w:hAnsi="仿宋" w:eastAsia="仿宋"/>
          <w:color w:val="000000" w:themeColor="text1"/>
          <w:sz w:val="24"/>
          <w14:textFill>
            <w14:solidFill>
              <w14:schemeClr w14:val="tx1"/>
            </w14:solidFill>
          </w14:textFill>
        </w:rPr>
        <w:t>所有进入工作面作业的职工都必须熟悉工作面避灾路线，并且实地行走不少于2次</w:t>
      </w:r>
      <w:r>
        <w:rPr>
          <w:rFonts w:hint="eastAsia" w:ascii="仿宋" w:hAnsi="仿宋" w:eastAsia="仿宋"/>
          <w:color w:val="000000" w:themeColor="text1"/>
          <w:sz w:val="24"/>
          <w14:textFill>
            <w14:solidFill>
              <w14:schemeClr w14:val="tx1"/>
            </w14:solidFill>
          </w14:textFill>
        </w:rPr>
        <w:t>，机、风巷内</w:t>
      </w:r>
      <w:r>
        <w:rPr>
          <w:rFonts w:hint="eastAsia" w:ascii="仿宋" w:hAnsi="仿宋" w:eastAsia="仿宋"/>
          <w:color w:val="000000" w:themeColor="text1"/>
          <w:sz w:val="24"/>
          <w:lang w:val="en-US" w:eastAsia="zh-CN"/>
          <w14:textFill>
            <w14:solidFill>
              <w14:schemeClr w14:val="tx1"/>
            </w14:solidFill>
          </w14:textFill>
        </w:rPr>
        <w:t>每隔200m及巷道交叉点</w:t>
      </w:r>
      <w:r>
        <w:rPr>
          <w:rFonts w:ascii="仿宋" w:hAnsi="仿宋" w:eastAsia="仿宋"/>
          <w:color w:val="000000" w:themeColor="text1"/>
          <w:sz w:val="24"/>
          <w14:textFill>
            <w14:solidFill>
              <w14:schemeClr w14:val="tx1"/>
            </w14:solidFill>
          </w14:textFill>
        </w:rPr>
        <w:t>设置避灾路线指示牌。</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初放期间，必须有初放领导小组成员、采煤部跟班人员跟班到现场，全面认真检查，无小组成员跟班不得放顶。不具备放顶条件，禁止放顶。</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、初放期间，安排专人负责工作面的矿压、水情、顶板冒落、煤壁片帮等情况的观测与记录，及时分析、整理、总结，发现异常情况及时向初放领导小组汇报。</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初放前，两巷</w:t>
      </w:r>
      <w:r>
        <w:rPr>
          <w:rFonts w:ascii="仿宋" w:hAnsi="仿宋" w:eastAsia="仿宋"/>
          <w:color w:val="000000" w:themeColor="text1"/>
          <w:sz w:val="24"/>
          <w14:textFill>
            <w14:solidFill>
              <w14:schemeClr w14:val="tx1"/>
            </w14:solidFill>
          </w14:textFill>
        </w:rPr>
        <w:t>备用足够数量的</w:t>
      </w:r>
      <w:r>
        <w:rPr>
          <w:rFonts w:hint="eastAsia" w:ascii="仿宋" w:hAnsi="仿宋" w:eastAsia="仿宋"/>
          <w:color w:val="000000" w:themeColor="text1"/>
          <w:sz w:val="24"/>
          <w14:textFill>
            <w14:solidFill>
              <w14:schemeClr w14:val="tx1"/>
            </w14:solidFill>
          </w14:textFill>
        </w:rPr>
        <w:t>单体、木料等备用</w:t>
      </w:r>
      <w:r>
        <w:rPr>
          <w:rFonts w:ascii="仿宋" w:hAnsi="仿宋" w:eastAsia="仿宋"/>
          <w:color w:val="000000" w:themeColor="text1"/>
          <w:sz w:val="24"/>
          <w14:textFill>
            <w14:solidFill>
              <w14:schemeClr w14:val="tx1"/>
            </w14:solidFill>
          </w14:textFill>
        </w:rPr>
        <w:t>材料。</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初次割煤时，提前回收煤帮和上下端头的金属网片、锚杆和托盘等杂物，清理净运输机机道内杂物，杂物严禁进入运煤系统；运输机司机和转载机司机在出煤过程中务必仔细观察煤流中是否有金属网、锚杆等杂物，若发现异常后应立即停车闭锁进行处理。</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8、初放期间，要加强机电设备检修，每班要安排专人检查工作面支架、三机、采煤机等设备工作状态，运输机、转载机搭接合理，出煤顺畅、不拉回头煤，保证机电设备正常运行，坚持正规循环，确保</w:t>
      </w:r>
      <w:r>
        <w:rPr>
          <w:rFonts w:ascii="仿宋" w:hAnsi="仿宋" w:eastAsia="仿宋"/>
          <w:color w:val="000000" w:themeColor="text1"/>
          <w:sz w:val="24"/>
          <w14:textFill>
            <w14:solidFill>
              <w14:schemeClr w14:val="tx1"/>
            </w14:solidFill>
          </w14:textFill>
        </w:rPr>
        <w:t>工作面连续、均衡推进</w:t>
      </w:r>
      <w:r>
        <w:rPr>
          <w:rFonts w:hint="eastAsia" w:ascii="仿宋" w:hAnsi="仿宋" w:eastAsia="仿宋"/>
          <w:color w:val="000000" w:themeColor="text1"/>
          <w:sz w:val="24"/>
          <w14:textFill>
            <w14:solidFill>
              <w14:schemeClr w14:val="tx1"/>
            </w14:solidFill>
          </w14:textFill>
        </w:rPr>
        <w:t>，避免矿压集中</w:t>
      </w:r>
      <w:r>
        <w:rPr>
          <w:rFonts w:ascii="仿宋" w:hAnsi="仿宋" w:eastAsia="仿宋"/>
          <w:color w:val="000000" w:themeColor="text1"/>
          <w:sz w:val="24"/>
          <w14:textFill>
            <w14:solidFill>
              <w14:schemeClr w14:val="tx1"/>
            </w14:solidFill>
          </w14:textFill>
        </w:rPr>
        <w:t>。</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9、工作面初采期间严格控制工作面的采高，支架高度控制在3.2-3.5m，严禁超高回采。</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10、初放期间，</w:t>
      </w:r>
      <w:r>
        <w:rPr>
          <w:rFonts w:ascii="仿宋" w:hAnsi="仿宋" w:eastAsia="仿宋"/>
          <w:color w:val="000000" w:themeColor="text1"/>
          <w:sz w:val="24"/>
          <w14:textFill>
            <w14:solidFill>
              <w14:schemeClr w14:val="tx1"/>
            </w14:solidFill>
          </w14:textFill>
        </w:rPr>
        <w:t>加强顶板支护管理，</w:t>
      </w:r>
      <w:r>
        <w:rPr>
          <w:rFonts w:hint="eastAsia" w:ascii="仿宋" w:hAnsi="仿宋" w:eastAsia="仿宋"/>
          <w:color w:val="000000" w:themeColor="text1"/>
          <w:sz w:val="24"/>
          <w14:textFill>
            <w14:solidFill>
              <w14:schemeClr w14:val="tx1"/>
            </w14:solidFill>
          </w14:textFill>
        </w:rPr>
        <w:t>必要时</w:t>
      </w:r>
      <w:r>
        <w:rPr>
          <w:rFonts w:ascii="仿宋" w:hAnsi="仿宋" w:eastAsia="仿宋"/>
          <w:color w:val="000000" w:themeColor="text1"/>
          <w:sz w:val="24"/>
          <w14:textFill>
            <w14:solidFill>
              <w14:schemeClr w14:val="tx1"/>
            </w14:solidFill>
          </w14:textFill>
        </w:rPr>
        <w:t>提前拉架超前支护顶板，且接顶严密，泵站压力不得小于3</w:t>
      </w:r>
      <w:r>
        <w:rPr>
          <w:rFonts w:hint="eastAsia" w:ascii="仿宋" w:hAnsi="仿宋" w:eastAsia="仿宋"/>
          <w:color w:val="000000" w:themeColor="text1"/>
          <w:sz w:val="24"/>
          <w14:textFill>
            <w14:solidFill>
              <w14:schemeClr w14:val="tx1"/>
            </w14:solidFill>
          </w14:textFill>
        </w:rPr>
        <w:t>0</w:t>
      </w:r>
      <w:r>
        <w:rPr>
          <w:rFonts w:ascii="仿宋" w:hAnsi="仿宋" w:eastAsia="仿宋"/>
          <w:color w:val="000000" w:themeColor="text1"/>
          <w:sz w:val="24"/>
          <w14:textFill>
            <w14:solidFill>
              <w14:schemeClr w14:val="tx1"/>
            </w14:solidFill>
          </w14:textFill>
        </w:rPr>
        <w:t>MPa</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支架初撑力不小于24Mpa</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 xml:space="preserve"> </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r>
        <w:rPr>
          <w:rFonts w:ascii="仿宋" w:hAnsi="仿宋" w:eastAsia="仿宋"/>
          <w:color w:val="000000" w:themeColor="text1"/>
          <w:sz w:val="24"/>
          <w14:textFill>
            <w14:solidFill>
              <w14:schemeClr w14:val="tx1"/>
            </w14:solidFill>
          </w14:textFill>
        </w:rPr>
        <w:t>、初</w:t>
      </w:r>
      <w:r>
        <w:rPr>
          <w:rFonts w:hint="eastAsia" w:ascii="仿宋" w:hAnsi="仿宋" w:eastAsia="仿宋"/>
          <w:color w:val="000000" w:themeColor="text1"/>
          <w:sz w:val="24"/>
          <w14:textFill>
            <w14:solidFill>
              <w14:schemeClr w14:val="tx1"/>
            </w14:solidFill>
          </w14:textFill>
        </w:rPr>
        <w:t>放</w:t>
      </w:r>
      <w:r>
        <w:rPr>
          <w:rFonts w:ascii="仿宋" w:hAnsi="仿宋" w:eastAsia="仿宋"/>
          <w:color w:val="000000" w:themeColor="text1"/>
          <w:sz w:val="24"/>
          <w14:textFill>
            <w14:solidFill>
              <w14:schemeClr w14:val="tx1"/>
            </w14:solidFill>
          </w14:textFill>
        </w:rPr>
        <w:t>期间，</w:t>
      </w:r>
      <w:r>
        <w:rPr>
          <w:rFonts w:hint="eastAsia" w:ascii="仿宋" w:hAnsi="仿宋" w:eastAsia="仿宋"/>
          <w:color w:val="000000" w:themeColor="text1"/>
          <w:sz w:val="24"/>
          <w14:textFill>
            <w14:solidFill>
              <w14:schemeClr w14:val="tx1"/>
            </w14:solidFill>
          </w14:textFill>
        </w:rPr>
        <w:t>加强</w:t>
      </w:r>
      <w:r>
        <w:rPr>
          <w:rFonts w:ascii="仿宋" w:hAnsi="仿宋" w:eastAsia="仿宋"/>
          <w:color w:val="000000" w:themeColor="text1"/>
          <w:sz w:val="24"/>
          <w14:textFill>
            <w14:solidFill>
              <w14:schemeClr w14:val="tx1"/>
            </w14:solidFill>
          </w14:textFill>
        </w:rPr>
        <w:t>工作面上下</w:t>
      </w:r>
      <w:r>
        <w:rPr>
          <w:rFonts w:hint="eastAsia" w:ascii="仿宋" w:hAnsi="仿宋" w:eastAsia="仿宋"/>
          <w:color w:val="000000" w:themeColor="text1"/>
          <w:sz w:val="24"/>
          <w14:textFill>
            <w14:solidFill>
              <w14:schemeClr w14:val="tx1"/>
            </w14:solidFill>
          </w14:textFill>
        </w:rPr>
        <w:t>安全</w:t>
      </w:r>
      <w:r>
        <w:rPr>
          <w:rFonts w:ascii="仿宋" w:hAnsi="仿宋" w:eastAsia="仿宋"/>
          <w:color w:val="000000" w:themeColor="text1"/>
          <w:sz w:val="24"/>
          <w14:textFill>
            <w14:solidFill>
              <w14:schemeClr w14:val="tx1"/>
            </w14:solidFill>
          </w14:textFill>
        </w:rPr>
        <w:t>出口处及超前支护范围内</w:t>
      </w:r>
      <w:r>
        <w:rPr>
          <w:rFonts w:hint="eastAsia" w:ascii="仿宋" w:hAnsi="仿宋" w:eastAsia="仿宋"/>
          <w:color w:val="000000" w:themeColor="text1"/>
          <w:sz w:val="24"/>
          <w14:textFill>
            <w14:solidFill>
              <w14:schemeClr w14:val="tx1"/>
            </w14:solidFill>
          </w14:textFill>
        </w:rPr>
        <w:t>的顶板管理</w:t>
      </w:r>
      <w:r>
        <w:rPr>
          <w:rFonts w:ascii="仿宋" w:hAnsi="仿宋" w:eastAsia="仿宋"/>
          <w:color w:val="000000" w:themeColor="text1"/>
          <w:sz w:val="24"/>
          <w14:textFill>
            <w14:solidFill>
              <w14:schemeClr w14:val="tx1"/>
            </w14:solidFill>
          </w14:textFill>
        </w:rPr>
        <w:t>，确保安全出口畅通。</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初放期间，</w:t>
      </w:r>
      <w:r>
        <w:rPr>
          <w:rFonts w:ascii="仿宋" w:hAnsi="仿宋" w:eastAsia="仿宋"/>
          <w:color w:val="000000" w:themeColor="text1"/>
          <w:sz w:val="24"/>
          <w14:textFill>
            <w14:solidFill>
              <w14:schemeClr w14:val="tx1"/>
            </w14:solidFill>
          </w14:textFill>
        </w:rPr>
        <w:t>支架工在拉架时要及时带压</w:t>
      </w:r>
      <w:r>
        <w:rPr>
          <w:rFonts w:hint="eastAsia" w:ascii="仿宋" w:hAnsi="仿宋" w:eastAsia="仿宋"/>
          <w:color w:val="000000" w:themeColor="text1"/>
          <w:sz w:val="24"/>
          <w14:textFill>
            <w14:solidFill>
              <w14:schemeClr w14:val="tx1"/>
            </w14:solidFill>
          </w14:textFill>
        </w:rPr>
        <w:t>擦顶</w:t>
      </w:r>
      <w:r>
        <w:rPr>
          <w:rFonts w:ascii="仿宋" w:hAnsi="仿宋" w:eastAsia="仿宋"/>
          <w:color w:val="000000" w:themeColor="text1"/>
          <w:sz w:val="24"/>
          <w14:textFill>
            <w14:solidFill>
              <w14:schemeClr w14:val="tx1"/>
            </w14:solidFill>
          </w14:textFill>
        </w:rPr>
        <w:t>拉架，</w:t>
      </w:r>
      <w:r>
        <w:rPr>
          <w:rFonts w:hint="eastAsia" w:ascii="仿宋" w:hAnsi="仿宋" w:eastAsia="仿宋"/>
          <w:color w:val="000000" w:themeColor="text1"/>
          <w:sz w:val="24"/>
          <w14:textFill>
            <w14:solidFill>
              <w14:schemeClr w14:val="tx1"/>
            </w14:solidFill>
          </w14:textFill>
        </w:rPr>
        <w:t>少降快拉，</w:t>
      </w:r>
      <w:r>
        <w:rPr>
          <w:rFonts w:ascii="仿宋" w:hAnsi="仿宋" w:eastAsia="仿宋"/>
          <w:color w:val="000000" w:themeColor="text1"/>
          <w:sz w:val="24"/>
          <w14:textFill>
            <w14:solidFill>
              <w14:schemeClr w14:val="tx1"/>
            </w14:solidFill>
          </w14:textFill>
        </w:rPr>
        <w:t>升足劲，并及时打开护帮板，严防</w:t>
      </w:r>
      <w:r>
        <w:rPr>
          <w:rFonts w:hint="eastAsia" w:ascii="仿宋" w:hAnsi="仿宋" w:eastAsia="仿宋"/>
          <w:color w:val="000000" w:themeColor="text1"/>
          <w:sz w:val="24"/>
          <w14:textFill>
            <w14:solidFill>
              <w14:schemeClr w14:val="tx1"/>
            </w14:solidFill>
          </w14:textFill>
        </w:rPr>
        <w:t>片帮掉顶</w:t>
      </w:r>
      <w:r>
        <w:rPr>
          <w:rFonts w:ascii="仿宋" w:hAnsi="仿宋" w:eastAsia="仿宋"/>
          <w:color w:val="000000" w:themeColor="text1"/>
          <w:sz w:val="24"/>
          <w14:textFill>
            <w14:solidFill>
              <w14:schemeClr w14:val="tx1"/>
            </w14:solidFill>
          </w14:textFill>
        </w:rPr>
        <w:t>。</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w:t>
      </w:r>
      <w:r>
        <w:rPr>
          <w:rFonts w:hint="eastAsia" w:ascii="仿宋" w:hAnsi="仿宋" w:eastAsia="仿宋"/>
          <w:color w:val="000000" w:themeColor="text1"/>
          <w:sz w:val="24"/>
          <w:lang w:val="en-US" w:eastAsia="zh-CN"/>
          <w14:textFill>
            <w14:solidFill>
              <w14:schemeClr w14:val="tx1"/>
            </w14:solidFill>
          </w14:textFill>
        </w:rPr>
        <w:t>在巷道超高段，若</w:t>
      </w:r>
      <w:r>
        <w:rPr>
          <w:rFonts w:hint="eastAsia" w:ascii="仿宋" w:hAnsi="仿宋" w:eastAsia="仿宋"/>
          <w:color w:val="000000" w:themeColor="text1"/>
          <w:sz w:val="24"/>
          <w14:textFill>
            <w14:solidFill>
              <w14:schemeClr w14:val="tx1"/>
            </w14:solidFill>
          </w14:textFill>
        </w:rPr>
        <w:t>超前支架出现空顶时，及时在超前支架上打木垛接实顶板，接顶之后必须确保高度不低于3.3m。移架时，操作人员应注意架间落矸，防止伤人，移架要擦顶带压移架，避免支架大起大落破坏顶板。顶梁要平整接顶，严实有力。过超高段期间，若出现漏顶，应在队长的现场指挥下，先清理好后路并保证畅通，然后安排有经验的老工人，对漏顶区域，采用打撞楔、打插梁的方法管理好顶板，用木料、板皮等过严实。</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w:t>
      </w:r>
      <w:r>
        <w:rPr>
          <w:rFonts w:hint="eastAsia" w:ascii="仿宋" w:hAnsi="仿宋" w:eastAsia="仿宋"/>
          <w:color w:val="000000" w:themeColor="text1"/>
          <w:sz w:val="24"/>
          <w:lang w:val="en-US" w:eastAsia="zh-CN"/>
          <w14:textFill>
            <w14:solidFill>
              <w14:schemeClr w14:val="tx1"/>
            </w14:solidFill>
          </w14:textFill>
        </w:rPr>
        <w:t>其他</w:t>
      </w:r>
      <w:r>
        <w:rPr>
          <w:rFonts w:hint="eastAsia" w:ascii="仿宋" w:hAnsi="仿宋" w:eastAsia="仿宋"/>
          <w:color w:val="000000" w:themeColor="text1"/>
          <w:sz w:val="24"/>
          <w14:textFill>
            <w14:solidFill>
              <w14:schemeClr w14:val="tx1"/>
            </w14:solidFill>
          </w14:textFill>
        </w:rPr>
        <w:t>严格按照《1303工作面初采初放安全技术措施》执行。</w:t>
      </w:r>
    </w:p>
    <w:p>
      <w:pPr>
        <w:pStyle w:val="60"/>
        <w:snapToGrid w:val="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二、正常回采期间的顶板管理措施</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1、工作面正常回采期间，严格控制采高，支架高度控制在3.3-3.</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m。</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2、要加强工作面顶板管理，液压支架必须接实顶板，空顶处要及时用木料接实顶板，相邻支架顶梁要保持平整，架间隙符合要求。</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3、顶板破碎或压力较大时，要及时移架，片帮严重、端面距超宽时，要及时拉超前架，伸缩梁要抵紧煤帮、护帮板及时伸开，保证顶板完整，防止支架前方出现漏顶现象。</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4、正常回采期间，</w:t>
      </w:r>
      <w:r>
        <w:rPr>
          <w:rFonts w:ascii="仿宋" w:hAnsi="仿宋" w:eastAsia="仿宋"/>
          <w:color w:val="000000" w:themeColor="text1"/>
          <w:sz w:val="24"/>
          <w14:textFill>
            <w14:solidFill>
              <w14:schemeClr w14:val="tx1"/>
            </w14:solidFill>
          </w14:textFill>
        </w:rPr>
        <w:t>泵站压力不得小于3</w:t>
      </w:r>
      <w:r>
        <w:rPr>
          <w:rFonts w:hint="eastAsia" w:ascii="仿宋" w:hAnsi="仿宋" w:eastAsia="仿宋"/>
          <w:color w:val="000000" w:themeColor="text1"/>
          <w:sz w:val="24"/>
          <w14:textFill>
            <w14:solidFill>
              <w14:schemeClr w14:val="tx1"/>
            </w14:solidFill>
          </w14:textFill>
        </w:rPr>
        <w:t>0</w:t>
      </w:r>
      <w:r>
        <w:rPr>
          <w:rFonts w:ascii="仿宋" w:hAnsi="仿宋" w:eastAsia="仿宋"/>
          <w:color w:val="000000" w:themeColor="text1"/>
          <w:sz w:val="24"/>
          <w14:textFill>
            <w14:solidFill>
              <w14:schemeClr w14:val="tx1"/>
            </w14:solidFill>
          </w14:textFill>
        </w:rPr>
        <w:t>MPa</w:t>
      </w:r>
      <w:r>
        <w:rPr>
          <w:rFonts w:hint="eastAsia" w:ascii="仿宋" w:hAnsi="仿宋" w:eastAsia="仿宋"/>
          <w:color w:val="000000" w:themeColor="text1"/>
          <w:sz w:val="24"/>
          <w14:textFill>
            <w14:solidFill>
              <w14:schemeClr w14:val="tx1"/>
            </w14:solidFill>
          </w14:textFill>
        </w:rPr>
        <w:t>，支架升起后，必须达到规定的初撑力要求：工作面支架初撑力不低于24Mpa，巷道超前支架及单元式支架初撑力不低于24</w:t>
      </w:r>
      <w:r>
        <w:rPr>
          <w:rFonts w:ascii="仿宋" w:hAnsi="仿宋" w:eastAsia="仿宋"/>
          <w:color w:val="000000" w:themeColor="text1"/>
          <w:sz w:val="24"/>
          <w14:textFill>
            <w14:solidFill>
              <w14:schemeClr w14:val="tx1"/>
            </w14:solidFill>
          </w14:textFill>
        </w:rPr>
        <w:t>MPa</w:t>
      </w:r>
      <w:r>
        <w:rPr>
          <w:rFonts w:hint="eastAsia" w:ascii="仿宋" w:hAnsi="仿宋" w:eastAsia="仿宋"/>
          <w:color w:val="000000" w:themeColor="text1"/>
          <w:sz w:val="24"/>
          <w14:textFill>
            <w14:solidFill>
              <w14:schemeClr w14:val="tx1"/>
            </w14:solidFill>
          </w14:textFill>
        </w:rPr>
        <w:t>。</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5、工作面前部运输机机头（尾）距离支架顶梁最小高度不得低于0.</w:t>
      </w: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m，支架尾梁摆起距后部运输机机头（尾）上端不低于0.</w:t>
      </w: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m，以维护上下端头出口处的顶板。</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6、严禁任何人员进入上、下隅角悬顶区或采空区进行作业，所有人员必须位于支护良好地点。</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7、工作面正常回采期间，要对机风巷的各种管线等及时回收。</w:t>
      </w:r>
    </w:p>
    <w:p>
      <w:pPr>
        <w:keepNext w:val="0"/>
        <w:keepLines w:val="0"/>
        <w:pageBreakBefore w:val="0"/>
        <w:widowControl w:val="0"/>
        <w:tabs>
          <w:tab w:val="left" w:pos="532"/>
        </w:tabs>
        <w:kinsoku/>
        <w:wordWrap/>
        <w:overflowPunct/>
        <w:topLinePunct w:val="0"/>
        <w:autoSpaceDE w:val="0"/>
        <w:autoSpaceDN w:val="0"/>
        <w:bidi w:val="0"/>
        <w:adjustRightInd w:val="0"/>
        <w:snapToGrid w:val="0"/>
        <w:spacing w:line="480" w:lineRule="exact"/>
        <w:ind w:firstLine="0" w:firstLineChars="0"/>
        <w:textAlignment w:val="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三、工作面片帮、冒顶处理安全技术措施</w:t>
      </w:r>
    </w:p>
    <w:p>
      <w:pPr>
        <w:keepNext w:val="0"/>
        <w:keepLines w:val="0"/>
        <w:pageBreakBefore w:val="0"/>
        <w:widowControl w:val="0"/>
        <w:kinsoku/>
        <w:wordWrap/>
        <w:overflowPunct/>
        <w:topLinePunct w:val="0"/>
        <w:bidi w:val="0"/>
        <w:snapToGrid w:val="0"/>
        <w:spacing w:line="480" w:lineRule="exact"/>
        <w:ind w:firstLine="0" w:firstLineChars="0"/>
        <w:textAlignment w:val="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（一）片帮处理</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1、片帮处必须及时管理，坚持追机移架，防止造成掉顶。</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2、工作面片帮时，应采取超前移架、伸缩梁、护帮板进行超前支护，移架后支架要及时升足劲。</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、为防止片帮伤人，所有人员在工作面行走时必须在支架档内，严禁架前行走。</w:t>
      </w:r>
    </w:p>
    <w:p>
      <w:pPr>
        <w:keepNext w:val="0"/>
        <w:keepLines w:val="0"/>
        <w:pageBreakBefore w:val="0"/>
        <w:widowControl w:val="0"/>
        <w:kinsoku/>
        <w:wordWrap/>
        <w:overflowPunct/>
        <w:topLinePunct w:val="0"/>
        <w:bidi w:val="0"/>
        <w:snapToGrid w:val="0"/>
        <w:spacing w:line="480" w:lineRule="exact"/>
        <w:ind w:firstLine="0" w:firstLineChars="0"/>
        <w:textAlignment w:val="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（二）冒顶处理</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处理冒顶时，必须有班队长现场统一协调指挥，严把安全关和工程质量关。</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工作面冒顶时，首先检查冒顶情况，冒顶的宽度、高度、上方顶板的稳定情况等，</w:t>
      </w:r>
      <w:r>
        <w:rPr>
          <w:rFonts w:ascii="仿宋" w:hAnsi="仿宋" w:eastAsia="仿宋"/>
          <w:color w:val="000000" w:themeColor="text1"/>
          <w:sz w:val="24"/>
          <w14:textFill>
            <w14:solidFill>
              <w14:schemeClr w14:val="tx1"/>
            </w14:solidFill>
          </w14:textFill>
        </w:rPr>
        <w:t>处理冒顶只有在顶板稳定状态下，才能进行顶板支护，严禁在顶板活动时进行支护作业。</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先整改、加强冒顶区域周边支架，保证正规有劲，防止冒顶范围进一步扩大。</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4、安排有经验的老工人处理冒顶，处理冒顶时，严格执行经常性敲帮问顶制度，及时找净活矸危岩，并设专人观察顶板及周围安全情况，清理好退路，并时刻保持退路畅通，发现危险，及时撤离。</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5、处理冒顶时，冒顶区下方10m范围内严禁有人。</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6、处理冒顶时，所有人员必须在有支护的安全地点进行操作，严禁空顶作业。</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7、处理冒顶时，工作面运输机必须停电闭锁，冒顶未处理好严禁开车。</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8、处理冒顶时必须遵循由上向下逐架进行的顺序。</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9、冒顶处必须用木料等接实顶，具体方法如下：</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（1）如上方顶板已稳定，矸石已掉空，可采用直接装木垛的方法处理，木垛要接顶，最上一排要用木料排严，防止掉矸伤人，顶板来压掉渣时人员必须立即撤离到安全位置，必须等待顶板稳定后方可施工。</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（2）如掉落的矸石较为破碎，不易直接装木垛时，可采用打撞楔、刹木料的方法，托住破碎岩层，</w:t>
      </w:r>
      <w:r>
        <w:rPr>
          <w:rFonts w:ascii="仿宋" w:hAnsi="仿宋" w:eastAsia="仿宋"/>
          <w:color w:val="000000" w:themeColor="text1"/>
          <w:sz w:val="24"/>
          <w14:textFill>
            <w14:solidFill>
              <w14:schemeClr w14:val="tx1"/>
            </w14:solidFill>
          </w14:textFill>
        </w:rPr>
        <w:t>使其不再继续冒落</w:t>
      </w:r>
      <w:r>
        <w:rPr>
          <w:rFonts w:hint="eastAsia" w:ascii="仿宋" w:hAnsi="仿宋" w:eastAsia="仿宋"/>
          <w:color w:val="000000" w:themeColor="text1"/>
          <w:sz w:val="24"/>
          <w14:textFill>
            <w14:solidFill>
              <w14:schemeClr w14:val="tx1"/>
            </w14:solidFill>
          </w14:textFill>
        </w:rPr>
        <w:t>，用木料过严过实顶板。</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当工作面发生</w:t>
      </w:r>
      <w:r>
        <w:rPr>
          <w:rFonts w:hint="eastAsia" w:ascii="仿宋" w:hAnsi="仿宋" w:eastAsia="仿宋"/>
          <w:color w:val="000000" w:themeColor="text1"/>
          <w:sz w:val="24"/>
          <w14:textFill>
            <w14:solidFill>
              <w14:schemeClr w14:val="tx1"/>
            </w14:solidFill>
          </w14:textFill>
        </w:rPr>
        <w:t>严重</w:t>
      </w:r>
      <w:r>
        <w:rPr>
          <w:rFonts w:ascii="仿宋" w:hAnsi="仿宋" w:eastAsia="仿宋"/>
          <w:color w:val="000000" w:themeColor="text1"/>
          <w:sz w:val="24"/>
          <w14:textFill>
            <w14:solidFill>
              <w14:schemeClr w14:val="tx1"/>
            </w14:solidFill>
          </w14:textFill>
        </w:rPr>
        <w:t>片帮、冒顶时，必须</w:t>
      </w:r>
      <w:r>
        <w:rPr>
          <w:rFonts w:hint="eastAsia" w:ascii="仿宋" w:hAnsi="仿宋" w:eastAsia="仿宋"/>
          <w:color w:val="000000" w:themeColor="text1"/>
          <w:sz w:val="24"/>
          <w14:textFill>
            <w14:solidFill>
              <w14:schemeClr w14:val="tx1"/>
            </w14:solidFill>
          </w14:textFill>
        </w:rPr>
        <w:t>立即</w:t>
      </w:r>
      <w:r>
        <w:rPr>
          <w:rFonts w:ascii="仿宋" w:hAnsi="仿宋" w:eastAsia="仿宋"/>
          <w:color w:val="000000" w:themeColor="text1"/>
          <w:sz w:val="24"/>
          <w14:textFill>
            <w14:solidFill>
              <w14:schemeClr w14:val="tx1"/>
            </w14:solidFill>
          </w14:textFill>
        </w:rPr>
        <w:t>停止并闭锁工作面采煤机和</w:t>
      </w:r>
      <w:r>
        <w:rPr>
          <w:rFonts w:hint="eastAsia" w:ascii="仿宋" w:hAnsi="仿宋" w:eastAsia="仿宋"/>
          <w:color w:val="000000" w:themeColor="text1"/>
          <w:sz w:val="24"/>
          <w14:textFill>
            <w14:solidFill>
              <w14:schemeClr w14:val="tx1"/>
            </w14:solidFill>
          </w14:textFill>
        </w:rPr>
        <w:t>运输</w:t>
      </w:r>
      <w:r>
        <w:rPr>
          <w:rFonts w:ascii="仿宋" w:hAnsi="仿宋" w:eastAsia="仿宋"/>
          <w:color w:val="000000" w:themeColor="text1"/>
          <w:sz w:val="24"/>
          <w14:textFill>
            <w14:solidFill>
              <w14:schemeClr w14:val="tx1"/>
            </w14:solidFill>
          </w14:textFill>
        </w:rPr>
        <w:t>机</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等冒顶区顶板稳定后，根据冒落情况选用半圆木</w:t>
      </w:r>
      <w:r>
        <w:rPr>
          <w:rFonts w:hint="eastAsia" w:ascii="仿宋" w:hAnsi="仿宋" w:eastAsia="仿宋"/>
          <w:color w:val="000000" w:themeColor="text1"/>
          <w:sz w:val="24"/>
          <w14:textFill>
            <w14:solidFill>
              <w14:schemeClr w14:val="tx1"/>
            </w14:solidFill>
          </w14:textFill>
        </w:rPr>
        <w:t>或矿用11#工字钢</w:t>
      </w:r>
      <w:r>
        <w:rPr>
          <w:rFonts w:ascii="仿宋" w:hAnsi="仿宋" w:eastAsia="仿宋"/>
          <w:color w:val="000000" w:themeColor="text1"/>
          <w:sz w:val="24"/>
          <w14:textFill>
            <w14:solidFill>
              <w14:schemeClr w14:val="tx1"/>
            </w14:solidFill>
          </w14:textFill>
        </w:rPr>
        <w:t>沿走向将其一端搭在支架顶梁上，搭接长度不小于300mm，另一端用单体液压支柱支撑，每架支架上</w:t>
      </w:r>
      <w:r>
        <w:rPr>
          <w:rFonts w:hint="eastAsia" w:ascii="仿宋" w:hAnsi="仿宋" w:eastAsia="仿宋"/>
          <w:color w:val="000000" w:themeColor="text1"/>
          <w:sz w:val="24"/>
          <w14:textFill>
            <w14:solidFill>
              <w14:schemeClr w14:val="tx1"/>
            </w14:solidFill>
          </w14:textFill>
        </w:rPr>
        <w:t>方均匀放置</w:t>
      </w:r>
      <w:r>
        <w:rPr>
          <w:rFonts w:ascii="仿宋" w:hAnsi="仿宋" w:eastAsia="仿宋"/>
          <w:color w:val="000000" w:themeColor="text1"/>
          <w:sz w:val="24"/>
          <w14:textFill>
            <w14:solidFill>
              <w14:schemeClr w14:val="tx1"/>
            </w14:solidFill>
          </w14:textFill>
        </w:rPr>
        <w:t>两根，</w:t>
      </w:r>
      <w:r>
        <w:rPr>
          <w:rFonts w:hint="eastAsia" w:ascii="仿宋" w:hAnsi="仿宋" w:eastAsia="仿宋"/>
          <w:color w:val="000000" w:themeColor="text1"/>
          <w:sz w:val="24"/>
          <w14:textFill>
            <w14:solidFill>
              <w14:schemeClr w14:val="tx1"/>
            </w14:solidFill>
          </w14:textFill>
        </w:rPr>
        <w:t>工字钢上方使</w:t>
      </w:r>
      <w:r>
        <w:rPr>
          <w:rFonts w:ascii="仿宋" w:hAnsi="仿宋" w:eastAsia="仿宋"/>
          <w:color w:val="000000" w:themeColor="text1"/>
          <w:sz w:val="24"/>
          <w14:textFill>
            <w14:solidFill>
              <w14:schemeClr w14:val="tx1"/>
            </w14:solidFill>
          </w14:textFill>
        </w:rPr>
        <w:t>用木料</w:t>
      </w:r>
      <w:r>
        <w:rPr>
          <w:rFonts w:hint="eastAsia" w:ascii="仿宋" w:hAnsi="仿宋" w:eastAsia="仿宋"/>
          <w:color w:val="000000" w:themeColor="text1"/>
          <w:sz w:val="24"/>
          <w14:textFill>
            <w14:solidFill>
              <w14:schemeClr w14:val="tx1"/>
            </w14:solidFill>
          </w14:textFill>
        </w:rPr>
        <w:t>等</w:t>
      </w:r>
      <w:r>
        <w:rPr>
          <w:rFonts w:ascii="仿宋" w:hAnsi="仿宋" w:eastAsia="仿宋"/>
          <w:color w:val="000000" w:themeColor="text1"/>
          <w:sz w:val="24"/>
          <w14:textFill>
            <w14:solidFill>
              <w14:schemeClr w14:val="tx1"/>
            </w14:solidFill>
          </w14:textFill>
        </w:rPr>
        <w:t>接实顶板</w:t>
      </w:r>
      <w:r>
        <w:rPr>
          <w:rFonts w:hint="eastAsia" w:ascii="仿宋" w:hAnsi="仿宋" w:eastAsia="仿宋"/>
          <w:color w:val="000000" w:themeColor="text1"/>
          <w:sz w:val="24"/>
          <w14:textFill>
            <w14:solidFill>
              <w14:schemeClr w14:val="tx1"/>
            </w14:solidFill>
          </w14:textFill>
        </w:rPr>
        <w:t>，及时移架升劲</w:t>
      </w:r>
      <w:r>
        <w:rPr>
          <w:rFonts w:ascii="仿宋" w:hAnsi="仿宋" w:eastAsia="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10、冒顶处</w:t>
      </w:r>
      <w:r>
        <w:rPr>
          <w:rFonts w:ascii="仿宋" w:hAnsi="仿宋" w:eastAsia="仿宋"/>
          <w:color w:val="000000" w:themeColor="text1"/>
          <w:sz w:val="24"/>
          <w14:textFill>
            <w14:solidFill>
              <w14:schemeClr w14:val="tx1"/>
            </w14:solidFill>
          </w14:textFill>
        </w:rPr>
        <w:t>支架在拉架过程中，应注意观察顶板、煤帮及临时支护情况，</w:t>
      </w:r>
      <w:r>
        <w:rPr>
          <w:rFonts w:hint="eastAsia" w:ascii="仿宋" w:hAnsi="仿宋" w:eastAsia="仿宋"/>
          <w:color w:val="000000" w:themeColor="text1"/>
          <w:sz w:val="24"/>
          <w14:textFill>
            <w14:solidFill>
              <w14:schemeClr w14:val="tx1"/>
            </w14:solidFill>
          </w14:textFill>
        </w:rPr>
        <w:t>发现问题及时整改。</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r>
        <w:rPr>
          <w:rFonts w:ascii="仿宋" w:hAnsi="仿宋" w:eastAsia="仿宋"/>
          <w:color w:val="000000" w:themeColor="text1"/>
          <w:sz w:val="24"/>
          <w14:textFill>
            <w14:solidFill>
              <w14:schemeClr w14:val="tx1"/>
            </w14:solidFill>
          </w14:textFill>
        </w:rPr>
        <w:t>冒顶处煤帮应及时背帮，以防冒顶面积增大</w:t>
      </w:r>
      <w:r>
        <w:rPr>
          <w:rFonts w:hint="eastAsia" w:ascii="仿宋" w:hAnsi="仿宋" w:eastAsia="仿宋"/>
          <w:color w:val="000000" w:themeColor="text1"/>
          <w:sz w:val="24"/>
          <w14:textFill>
            <w14:solidFill>
              <w14:schemeClr w14:val="tx1"/>
            </w14:solidFill>
          </w14:textFill>
        </w:rPr>
        <w:t>，背帮可采用半圆木（或板皮）配合单体支柱（或支架护帮板）进行。</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12、加强煤质管理，严禁矸石进入运煤系统。</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13、处理冒顶期间，瓦检员现场认真检查冒顶处氧气和瓦斯浓度，必要时采取相应措施，确保施工安全。</w:t>
      </w:r>
    </w:p>
    <w:p>
      <w:pPr>
        <w:pStyle w:val="60"/>
        <w:keepNext w:val="0"/>
        <w:keepLines w:val="0"/>
        <w:pageBreakBefore w:val="0"/>
        <w:widowControl w:val="0"/>
        <w:kinsoku/>
        <w:wordWrap/>
        <w:overflowPunct/>
        <w:topLinePunct w:val="0"/>
        <w:bidi w:val="0"/>
        <w:adjustRightInd w:val="0"/>
        <w:snapToGrid w:val="0"/>
        <w:spacing w:line="48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四、两巷维护</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、煤壁线向外20m范围内，</w:t>
      </w:r>
      <w:r>
        <w:rPr>
          <w:rFonts w:hint="eastAsia" w:ascii="仿宋" w:hAnsi="仿宋" w:eastAsia="仿宋" w:cs="仿宋"/>
          <w:color w:val="000000" w:themeColor="text1"/>
          <w:sz w:val="24"/>
          <w14:textFill>
            <w14:solidFill>
              <w14:schemeClr w14:val="tx1"/>
            </w14:solidFill>
          </w14:textFill>
        </w:rPr>
        <w:t>进、回风巷实际断面不小于设计断面的</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2、加强对巷道的维护，每班均要由班队长对巷道的支护情况进行全面巡查，发现巷道变形、支护失效、有片帮掉顶等现象时，必须及时安排专人进行维护，确保支护完好、正规有劲。</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jc w:val="left"/>
        <w:textAlignment w:val="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3、维护巷道每组至少两人操作，不准一人单独作业；维护时，严格执行经常性敲帮问顶制度，及时找净活矸危岩，</w:t>
      </w:r>
      <w:r>
        <w:rPr>
          <w:rFonts w:hint="eastAsia" w:ascii="仿宋" w:hAnsi="仿宋" w:eastAsia="仿宋" w:cs="仿宋_GB2312"/>
          <w:color w:val="000000" w:themeColor="text1"/>
          <w:kern w:val="0"/>
          <w:sz w:val="24"/>
          <w:lang w:val="zh-CN"/>
          <w14:textFill>
            <w14:solidFill>
              <w14:schemeClr w14:val="tx1"/>
            </w14:solidFill>
          </w14:textFill>
        </w:rPr>
        <w:t>随时注意观察顶帮情况，</w:t>
      </w:r>
      <w:r>
        <w:rPr>
          <w:rFonts w:hint="eastAsia" w:ascii="仿宋" w:hAnsi="仿宋" w:eastAsia="仿宋"/>
          <w:color w:val="000000" w:themeColor="text1"/>
          <w:sz w:val="24"/>
          <w14:textFill>
            <w14:solidFill>
              <w14:schemeClr w14:val="tx1"/>
            </w14:solidFill>
          </w14:textFill>
        </w:rPr>
        <w:t>严防片帮掉顶伤人，</w:t>
      </w:r>
      <w:r>
        <w:rPr>
          <w:rFonts w:hint="eastAsia" w:ascii="仿宋" w:hAnsi="仿宋" w:eastAsia="仿宋" w:cs="仿宋_GB2312"/>
          <w:color w:val="000000" w:themeColor="text1"/>
          <w:kern w:val="0"/>
          <w:sz w:val="24"/>
          <w:lang w:val="zh-CN"/>
          <w14:textFill>
            <w14:solidFill>
              <w14:schemeClr w14:val="tx1"/>
            </w14:solidFill>
          </w14:textFill>
        </w:rPr>
        <w:t>必要时打临时支护；遇到冒顶时，必须有班队长现场指挥。</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4、人员需在皮带机（转载机）里侧施工时，皮带机（转载机）必须停电闭锁，人员严禁站在皮带机上进行施工。</w:t>
      </w:r>
    </w:p>
    <w:p>
      <w:pPr>
        <w:keepNext w:val="0"/>
        <w:keepLines w:val="0"/>
        <w:pageBreakBefore w:val="0"/>
        <w:widowControl w:val="0"/>
        <w:kinsoku/>
        <w:wordWrap/>
        <w:overflowPunct/>
        <w:topLinePunct w:val="0"/>
        <w:bidi w:val="0"/>
        <w:snapToGrid w:val="0"/>
        <w:spacing w:line="480" w:lineRule="exact"/>
        <w:ind w:firstLine="480"/>
        <w:textAlignment w:val="auto"/>
        <w:rPr>
          <w:rFonts w:hint="eastAsia"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回采过程中，若巷道压力显现较为明显，为减小巷道变形量，可采用DW型单体支柱配合木料架设多排一梁三柱走向棚，单体横竖上线，迎山有劲，初撑力不低于6.4MPa，单体及时拴紧拴牢防倒绳。所架设的走向棚不得影响正常</w:t>
      </w:r>
    </w:p>
    <w:p>
      <w:pPr>
        <w:keepNext w:val="0"/>
        <w:keepLines w:val="0"/>
        <w:pageBreakBefore w:val="0"/>
        <w:widowControl w:val="0"/>
        <w:kinsoku/>
        <w:wordWrap/>
        <w:overflowPunct/>
        <w:topLinePunct w:val="0"/>
        <w:bidi w:val="0"/>
        <w:snapToGrid w:val="0"/>
        <w:spacing w:line="480" w:lineRule="exact"/>
        <w:ind w:left="0" w:leftChars="0" w:firstLine="0" w:firstLineChars="0"/>
        <w:textAlignment w:val="auto"/>
        <w:rPr>
          <w:rFonts w:hint="eastAsia" w:ascii="仿宋" w:hAnsi="仿宋" w:eastAsia="仿宋" w:cs="仿宋_GB2312"/>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bidi w:val="0"/>
        <w:snapToGrid w:val="0"/>
        <w:spacing w:line="480" w:lineRule="exact"/>
        <w:ind w:left="0" w:leftChars="0"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行人、运输、设备运转等。</w:t>
      </w:r>
    </w:p>
    <w:p>
      <w:pPr>
        <w:keepNext w:val="0"/>
        <w:keepLines w:val="0"/>
        <w:pageBreakBefore w:val="0"/>
        <w:widowControl w:val="0"/>
        <w:kinsoku/>
        <w:wordWrap/>
        <w:overflowPunct/>
        <w:topLinePunct w:val="0"/>
        <w:bidi w:val="0"/>
        <w:snapToGrid w:val="0"/>
        <w:spacing w:line="480" w:lineRule="exact"/>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6、巷道压力较大、变形严重处，使用1</w:t>
      </w:r>
      <w:r>
        <w:rPr>
          <w:rFonts w:ascii="仿宋" w:hAnsi="仿宋" w:eastAsia="仿宋" w:cs="仿宋_GB2312"/>
          <w:color w:val="000000" w:themeColor="text1"/>
          <w:kern w:val="0"/>
          <w:sz w:val="24"/>
          <w14:textFill>
            <w14:solidFill>
              <w14:schemeClr w14:val="tx1"/>
            </w14:solidFill>
          </w14:textFill>
        </w:rPr>
        <w:t>0</w:t>
      </w:r>
      <w:r>
        <w:rPr>
          <w:rFonts w:hint="eastAsia" w:ascii="仿宋" w:hAnsi="仿宋" w:eastAsia="仿宋" w:cs="仿宋_GB2312"/>
          <w:color w:val="000000" w:themeColor="text1"/>
          <w:kern w:val="0"/>
          <w:sz w:val="24"/>
          <w14:textFill>
            <w14:solidFill>
              <w14:schemeClr w14:val="tx1"/>
            </w14:solidFill>
          </w14:textFill>
        </w:rPr>
        <w:t>#铁丝将巷道顶帮锚索头捆扎固定牢固，或采取</w:t>
      </w:r>
      <w:r>
        <w:rPr>
          <w:rFonts w:hint="eastAsia" w:ascii="仿宋" w:hAnsi="仿宋" w:eastAsia="仿宋" w:cs="仿宋_GB2312"/>
          <w:color w:val="000000" w:themeColor="text1"/>
          <w:kern w:val="0"/>
          <w:sz w:val="24"/>
          <w:lang w:val="en-US" w:eastAsia="zh-CN"/>
          <w14:textFill>
            <w14:solidFill>
              <w14:schemeClr w14:val="tx1"/>
            </w14:solidFill>
          </w14:textFill>
        </w:rPr>
        <w:t>其他</w:t>
      </w:r>
      <w:r>
        <w:rPr>
          <w:rFonts w:hint="eastAsia" w:ascii="仿宋" w:hAnsi="仿宋" w:eastAsia="仿宋" w:cs="仿宋_GB2312"/>
          <w:color w:val="000000" w:themeColor="text1"/>
          <w:kern w:val="0"/>
          <w:sz w:val="24"/>
          <w14:textFill>
            <w14:solidFill>
              <w14:schemeClr w14:val="tx1"/>
            </w14:solidFill>
          </w14:textFill>
        </w:rPr>
        <w:t>可靠有效的防护措施，防止崩出伤人。</w:t>
      </w:r>
    </w:p>
    <w:p>
      <w:pPr>
        <w:autoSpaceDE w:val="0"/>
        <w:autoSpaceDN w:val="0"/>
        <w:adjustRightInd w:val="0"/>
        <w:snapToGrid w:val="0"/>
        <w:ind w:firstLine="48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7、巷道如果出现片帮时，必须使用单体支柱打好背帮柱，用木料背帮严实，必要时挂金属网进行背帮。</w:t>
      </w:r>
    </w:p>
    <w:p>
      <w:pPr>
        <w:autoSpaceDE w:val="0"/>
        <w:autoSpaceDN w:val="0"/>
        <w:adjustRightInd w:val="0"/>
        <w:snapToGrid w:val="0"/>
        <w:ind w:firstLine="48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8、巷道维护时，要保护好施工地点的各种电缆、管线以及防尘、通风、防灭火等设施，防止破坏；维修工作结束后，要把现场杂物、浮煤清理干净。</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9、巷道文明标准：文明清洁整齐，专人承包，无积水、无污泥杂物，管路吊挂整齐，材料分类码放整齐，并挂牌管理，牌板、安全标语齐全清晰醒目，吊挂整齐。具体规定如下：</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巷道清理到底到边、保持底板平整干净，巷道内无杂物、无淤泥、无积水(不大于1㎡)，皮带机里外侧清洁、浮煤不得超过H架底脚。锚网支护无失锚现象，人行道侧顶板锚索、锚杆头距底板不低于1.8m。作业范围内无失修巷道，安全距离符合规定，设备上方与顶板距离不小于0.3m。</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电缆应采用标准电缆勾吊挂，不同规格型号不准交叉使用，电缆勾垂直顶底板，电缆吊挂最低一根高度不低于1.2m，吊挂点间距不超过3m，电缆与电缆、电缆与管子之间间距符合《煤矿安全规程》要求。管路（风、水、注氮、注浆等）采用3分钢丝绳吊挂，吊挂平直，管间距均匀，管路每节必须吊挂，且吊挂点间距不得大于6m。</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管路吊挂强度校核：</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3分钢丝绳破断力F破=44.2KN，6m范围内吊挂风、水、注氮、注浆、排水管路最大总重F=5.3KN,</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M=F破/F=44.2/5.3=8.3＞6，安全系数满足要求。</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（3）泵站、休息地点、油脂库等场所有照明。电气(器)设备卫生清洁，照明灯吊挂成线，统一高度不低于1.8m，灯间距均匀。</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（4）安全设施、电气(电器)设备等按统一规定刷漆防腐。</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（5）所有材料配件按品种、分区域码放整齐、标志牌齐全，材料牌板符合规定，排列整齐。</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（6）各种油脂要分类摆放，挂牌管理，油脂存放地点要按照规定配齐灭火材料和器材；用过的棉纱、布头和纸，放在盖严的铁桶内，送地面处理，不得乱扔。</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（7）施工牌板齐全（</w:t>
      </w:r>
      <w:r>
        <w:rPr>
          <w:rFonts w:hint="eastAsia" w:ascii="仿宋" w:hAnsi="仿宋" w:eastAsia="仿宋" w:cs="仿宋"/>
          <w:color w:val="000000" w:themeColor="text1"/>
          <w:sz w:val="24"/>
          <w14:textFill>
            <w14:solidFill>
              <w14:schemeClr w14:val="tx1"/>
            </w14:solidFill>
          </w14:textFill>
        </w:rPr>
        <w:t>工作面布置图、设备布置图、通风系统图、监测通信系统图、供电系统图、工作面支护示意图、正规作业循环图表、避灾路线图等</w:t>
      </w:r>
      <w:r>
        <w:rPr>
          <w:rFonts w:hint="eastAsia" w:ascii="仿宋" w:hAnsi="仿宋" w:eastAsia="仿宋"/>
          <w:color w:val="000000" w:themeColor="text1"/>
          <w:sz w:val="24"/>
          <w14:textFill>
            <w14:solidFill>
              <w14:schemeClr w14:val="tx1"/>
            </w14:solidFill>
          </w14:textFill>
        </w:rPr>
        <w:t>），吊挂地点合理，其它设备、材料的相关牌板挂在相应位置，所有牌板吊挂位置在顶板完整，无淋滴水的地方，牌板下沿距底板不低于1m。</w:t>
      </w:r>
    </w:p>
    <w:p>
      <w:pPr>
        <w:pStyle w:val="60"/>
        <w:snapToGrid w:val="0"/>
        <w:rPr>
          <w:rFonts w:ascii="仿宋" w:hAnsi="仿宋" w:eastAsia="仿宋"/>
          <w:b w:val="0"/>
          <w:color w:val="000000" w:themeColor="text1"/>
          <w:sz w:val="24"/>
          <w:lang w:val="zh-CN"/>
          <w14:textFill>
            <w14:solidFill>
              <w14:schemeClr w14:val="tx1"/>
            </w14:solidFill>
          </w14:textFill>
        </w:rPr>
      </w:pPr>
      <w:r>
        <w:rPr>
          <w:rFonts w:hint="eastAsia" w:ascii="仿宋" w:hAnsi="仿宋" w:eastAsia="仿宋"/>
          <w:b w:val="0"/>
          <w:color w:val="000000" w:themeColor="text1"/>
          <w:sz w:val="24"/>
          <w:lang w:val="zh-CN"/>
          <w14:textFill>
            <w14:solidFill>
              <w14:schemeClr w14:val="tx1"/>
            </w14:solidFill>
          </w14:textFill>
        </w:rPr>
        <w:t>五、工作面过机、风巷超高段安全技术措施</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1、机、风巷超前支架推进至巷道超高段、支架出现空顶时，及时在超前支架上打木垛接实顶板。</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2、施工前，必须由班队长对施工区域的顶帮、支护等情况进行全面检查，发现安全隐患必须及时处理，隐患未排除不得进行</w:t>
      </w:r>
      <w:r>
        <w:rPr>
          <w:rFonts w:hint="eastAsia" w:ascii="仿宋" w:hAnsi="仿宋" w:eastAsia="仿宋"/>
          <w:color w:val="000000" w:themeColor="text1"/>
          <w:sz w:val="24"/>
          <w:lang w:val="en-US" w:eastAsia="zh-CN"/>
          <w14:textFill>
            <w14:solidFill>
              <w14:schemeClr w14:val="tx1"/>
            </w14:solidFill>
          </w14:textFill>
        </w:rPr>
        <w:t>其他</w:t>
      </w:r>
      <w:r>
        <w:rPr>
          <w:rFonts w:hint="eastAsia" w:ascii="仿宋" w:hAnsi="仿宋" w:eastAsia="仿宋"/>
          <w:color w:val="000000" w:themeColor="text1"/>
          <w:sz w:val="24"/>
          <w14:textFill>
            <w14:solidFill>
              <w14:schemeClr w14:val="tx1"/>
            </w14:solidFill>
          </w14:textFill>
        </w:rPr>
        <w:t>作业，保证巷道安全畅通。</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3、施工期间，必须有班队长现场统一指挥协调，确保安全生产；施工时每组不得少于3人，并安排专人观察顶板及木垛情况，发现异常时，及时通知所</w:t>
      </w:r>
    </w:p>
    <w:p>
      <w:pPr>
        <w:snapToGrid w:val="0"/>
        <w:ind w:firstLine="0" w:firstLineChars="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有人员撤至安全地点。</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4、施工前及施工过程中必须严格执行经常性敲帮问顶制度，及时找净活矸危岩，防止片帮掉顶伤人。</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5、施工期间，作业地点附近严禁闲杂人员逗留，确实需要通过施工地点时，必须经过施工负责人同意，并确认安全后方可通过。</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6、接顶时，按以下规定进行：</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（1）接顶前首先将支架降到适当位置，每架木垛下方使用2根矿用11#工字钢（废旧</w:t>
      </w:r>
      <w:r>
        <w:rPr>
          <w:rFonts w:ascii="仿宋" w:hAnsi="仿宋" w:eastAsia="仿宋"/>
          <w:color w:val="000000" w:themeColor="text1"/>
          <w:sz w:val="24"/>
          <w14:textFill>
            <w14:solidFill>
              <w14:schemeClr w14:val="tx1"/>
            </w14:solidFill>
          </w14:textFill>
        </w:rPr>
        <w:t>杠杆</w:t>
      </w:r>
      <w:r>
        <w:rPr>
          <w:rFonts w:hint="eastAsia" w:ascii="仿宋" w:hAnsi="仿宋" w:eastAsia="仿宋"/>
          <w:color w:val="000000" w:themeColor="text1"/>
          <w:sz w:val="24"/>
          <w14:textFill>
            <w14:solidFill>
              <w14:schemeClr w14:val="tx1"/>
            </w14:solidFill>
          </w14:textFill>
        </w:rPr>
        <w:t>）垂直巷道两帮搭在支架顶梁上方，有效搭接长度不小于300mm，并使用直径不小于15.5mm钢丝绳，一端捆扎在距工字钢端头约500mm处，另一端捆扎在巷道顶板钢带上，两端捆扎牢固，每根工字钢使用不少于2根钢丝绳捆扎，钢丝绳长度与需接顶高度保持一致。</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（2）在工字钢上方使用木料架设“井”</w:t>
      </w:r>
      <w:r>
        <w:rPr>
          <w:rFonts w:hint="eastAsia" w:ascii="仿宋" w:hAnsi="仿宋" w:eastAsia="仿宋"/>
          <w:color w:val="000000" w:themeColor="text1"/>
          <w:sz w:val="24"/>
          <w:lang w:val="en-US" w:eastAsia="zh-CN"/>
          <w14:textFill>
            <w14:solidFill>
              <w14:schemeClr w14:val="tx1"/>
            </w14:solidFill>
          </w14:textFill>
        </w:rPr>
        <w:t>字形</w:t>
      </w:r>
      <w:r>
        <w:rPr>
          <w:rFonts w:hint="eastAsia" w:ascii="仿宋" w:hAnsi="仿宋" w:eastAsia="仿宋"/>
          <w:color w:val="000000" w:themeColor="text1"/>
          <w:sz w:val="24"/>
          <w14:textFill>
            <w14:solidFill>
              <w14:schemeClr w14:val="tx1"/>
            </w14:solidFill>
          </w14:textFill>
        </w:rPr>
        <w:t>木垛，木垛要接到原巷道顶板，每根木料两端露出均不少于100mm；最上方一层必须使用木料铺严实，木料与木料之间使用耙钉或14#铁丝连接牢固，防止失稳。</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（3）装木垛时，施工人员应站在安全地点进行作业，下方的人员必须避开木料下滑趋势方向，严禁站在木垛正下方施工，并有专人观察顶板，防止木料掉落伤人；施工人员要</w:t>
      </w:r>
      <w:r>
        <w:rPr>
          <w:rFonts w:ascii="仿宋" w:hAnsi="仿宋" w:eastAsia="仿宋"/>
          <w:color w:val="000000" w:themeColor="text1"/>
          <w:sz w:val="24"/>
          <w14:textFill>
            <w14:solidFill>
              <w14:schemeClr w14:val="tx1"/>
            </w14:solidFill>
          </w14:textFill>
        </w:rPr>
        <w:t>互相配合好，</w:t>
      </w:r>
      <w:r>
        <w:rPr>
          <w:rFonts w:hint="eastAsia" w:ascii="仿宋" w:hAnsi="仿宋" w:eastAsia="仿宋"/>
          <w:color w:val="000000" w:themeColor="text1"/>
          <w:sz w:val="24"/>
          <w14:textFill>
            <w14:solidFill>
              <w14:schemeClr w14:val="tx1"/>
            </w14:solidFill>
          </w14:textFill>
        </w:rPr>
        <w:t>递接木料要</w:t>
      </w:r>
      <w:r>
        <w:rPr>
          <w:rFonts w:ascii="仿宋" w:hAnsi="仿宋" w:eastAsia="仿宋"/>
          <w:color w:val="000000" w:themeColor="text1"/>
          <w:sz w:val="24"/>
          <w14:textFill>
            <w14:solidFill>
              <w14:schemeClr w14:val="tx1"/>
            </w14:solidFill>
          </w14:textFill>
        </w:rPr>
        <w:t>拿牢、拿稳，严防木料坠落伤人</w:t>
      </w:r>
      <w:r>
        <w:rPr>
          <w:rFonts w:hint="eastAsia" w:ascii="仿宋" w:hAnsi="仿宋" w:eastAsia="仿宋"/>
          <w:color w:val="000000" w:themeColor="text1"/>
          <w:sz w:val="24"/>
          <w14:textFill>
            <w14:solidFill>
              <w14:schemeClr w14:val="tx1"/>
            </w14:solidFill>
          </w14:textFill>
        </w:rPr>
        <w:t>。</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（4）接顶后，要保证接顶段巷道高度与正常巷道保持一致，平缓过渡，严禁出现台阶式落差。</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（5）接顶期间，严禁任何人操作施工巷道内的超前支架，在机巷施工时，必须将转载机停电闭锁，操作端头支架及拉移转载机严禁与接顶平行作业，并安排专人看护。</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（6）施工期间应时刻保持退路畅通，如发现木垛失稳、顶板突然来压、巷道变形严重等异常情况时，人员应立即撤至安全地点，在顶板压力稳定、妥善处理确保安全后，方可继续作业。</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（7）人员登高作业严格按照本作业规程内相关规定执行。</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7、木垛接好后，待所有人员撤至安全地点，经班队长确认安全后，及时将支架升足劲。</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操作接顶的支架时，除操作人员外，支架附近5m范围内禁止其他人员逗留或通过，操作人员应站在安全地点，注意观察顶板，防止架间煤矸掉落或木垛失稳伤人，移架要带压擦顶移架，避免支架大起大落破坏顶板，顶梁要平整接顶，正规有劲。</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9、工作面过接顶段时，要加强工作面接顶段端头顶板管理，保证支架初撑力，每班应安排专人整改，确保安全出口畅通。</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10、过接顶段期间</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为防止采煤机割到顶板处的木料、工字钢等，可适当控制采高，防止损坏采煤机或滚筒甩出物料伤人。</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当采煤机割至距接顶处10m范围内时，采煤机司机发出警告信号，放慢牵引速度（不超过3m/min），集中注意力，班队长要指定专人观察周围情况，人员严禁通过，只有在人员躲到安全位置（至少距滚筒10m以外）后方可截割；所有人员严禁对着滚筒，防止甩出物品伤人，同时严禁其他人员在煤机附近行走。</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12、接顶段附近顶板破碎、压力较大时，可以采用在工作面支架上方打穿插梁的方式超前管理好顶板。</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13、过接顶段期间，应将工作面顶板与巷道顶板衬平，平缓过渡，严禁出现台阶式落差。</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14、要加强接顶段通风管理，认真检查接顶段氧气和瓦斯浓度，必要时采取导风措施，确保施工安全。</w:t>
      </w:r>
    </w:p>
    <w:p>
      <w:pPr>
        <w:snapToGrid w:val="0"/>
        <w:ind w:firstLine="480"/>
        <w:rPr>
          <w:rFonts w:ascii="黑体" w:hAnsi="黑体" w:eastAsia="黑体" w:cs="仿宋_GB2312"/>
          <w:color w:val="000000" w:themeColor="text1"/>
          <w:sz w:val="28"/>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15、对于能够回收的木料等，人员必须站在支护良好的安全地点使用长把工具钩出，严禁人员将身体任何部位伸进采空区。</w:t>
      </w:r>
      <w:bookmarkStart w:id="272" w:name="_Toc496212774"/>
    </w:p>
    <w:p>
      <w:pPr>
        <w:pStyle w:val="4"/>
        <w:keepNext w:val="0"/>
        <w:keepLines w:val="0"/>
        <w:snapToGrid w:val="0"/>
        <w:spacing w:before="0" w:after="0"/>
        <w:ind w:firstLine="562"/>
        <w:rPr>
          <w:rFonts w:ascii="黑体" w:hAnsi="黑体" w:eastAsia="黑体" w:cs="仿宋_GB2312"/>
          <w:color w:val="FF0000"/>
          <w:sz w:val="28"/>
          <w:szCs w:val="28"/>
        </w:rPr>
      </w:pPr>
    </w:p>
    <w:p>
      <w:pPr>
        <w:pStyle w:val="4"/>
        <w:keepNext w:val="0"/>
        <w:keepLines w:val="0"/>
        <w:pageBreakBefore w:val="0"/>
        <w:kinsoku/>
        <w:wordWrap/>
        <w:overflowPunct/>
        <w:topLinePunct w:val="0"/>
        <w:autoSpaceDE/>
        <w:autoSpaceDN/>
        <w:bidi w:val="0"/>
        <w:adjustRightInd/>
        <w:snapToGrid w:val="0"/>
        <w:spacing w:before="0" w:after="0" w:line="360" w:lineRule="auto"/>
        <w:ind w:firstLine="0" w:firstLineChars="0"/>
        <w:textAlignment w:val="auto"/>
        <w:rPr>
          <w:rFonts w:ascii="仿宋" w:hAnsi="仿宋" w:eastAsia="仿宋"/>
          <w:color w:val="000000" w:themeColor="text1"/>
          <w:sz w:val="28"/>
          <w:szCs w:val="28"/>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第三节   防治水</w:t>
      </w:r>
      <w:bookmarkEnd w:id="272"/>
      <w:bookmarkStart w:id="273" w:name="_Toc28613"/>
      <w:bookmarkStart w:id="274" w:name="_Toc5691"/>
      <w:bookmarkStart w:id="275" w:name="_Toc9305"/>
      <w:bookmarkStart w:id="276" w:name="_Toc32203"/>
      <w:bookmarkStart w:id="277" w:name="_Toc22929"/>
      <w:bookmarkStart w:id="278" w:name="_Toc6405"/>
      <w:bookmarkStart w:id="279" w:name="_Toc6967"/>
      <w:bookmarkStart w:id="280" w:name="_Toc1313"/>
      <w:bookmarkStart w:id="281" w:name="_Toc861"/>
      <w:bookmarkStart w:id="282" w:name="_Toc2047"/>
      <w:bookmarkStart w:id="283" w:name="_Toc15184"/>
      <w:bookmarkStart w:id="284" w:name="_Toc7626"/>
      <w:bookmarkStart w:id="285" w:name="_Toc18250"/>
      <w:bookmarkStart w:id="286" w:name="_Toc9437"/>
      <w:bookmarkStart w:id="287" w:name="_Toc390102612"/>
      <w:bookmarkStart w:id="288" w:name="_Toc10599"/>
      <w:bookmarkStart w:id="289" w:name="_Toc21619"/>
      <w:bookmarkStart w:id="290" w:name="_Toc4910"/>
      <w:bookmarkStart w:id="291" w:name="_Toc948"/>
      <w:bookmarkStart w:id="292" w:name="_Toc769"/>
      <w:bookmarkStart w:id="293" w:name="_Toc6569"/>
      <w:bookmarkStart w:id="294" w:name="_Toc29234"/>
    </w:p>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Pr>
        <w:pStyle w:val="33"/>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textAlignment w:val="auto"/>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1303工作面正常涌水量</w:t>
      </w:r>
      <w:r>
        <w:rPr>
          <w:rFonts w:hint="eastAsia" w:ascii="仿宋" w:hAnsi="仿宋" w:eastAsia="仿宋" w:cs="仿宋_GB2312"/>
          <w:color w:val="000000" w:themeColor="text1"/>
          <w:lang w:val="en-US" w:eastAsia="zh-CN"/>
          <w14:textFill>
            <w14:solidFill>
              <w14:schemeClr w14:val="tx1"/>
            </w14:solidFill>
          </w14:textFill>
        </w:rPr>
        <w:t>150.15</w:t>
      </w:r>
      <w:r>
        <w:rPr>
          <w:rFonts w:hint="eastAsia" w:ascii="仿宋" w:hAnsi="仿宋" w:eastAsia="仿宋" w:cs="仿宋_GB2312"/>
          <w:color w:val="000000" w:themeColor="text1"/>
          <w14:textFill>
            <w14:solidFill>
              <w14:schemeClr w14:val="tx1"/>
            </w14:solidFill>
          </w14:textFill>
        </w:rPr>
        <w:t>m</w:t>
      </w:r>
      <w:r>
        <w:rPr>
          <w:rFonts w:hint="eastAsia" w:ascii="仿宋" w:hAnsi="仿宋" w:eastAsia="仿宋" w:cs="仿宋_GB2312"/>
          <w:color w:val="000000" w:themeColor="text1"/>
          <w:vertAlign w:val="superscript"/>
          <w14:textFill>
            <w14:solidFill>
              <w14:schemeClr w14:val="tx1"/>
            </w14:solidFill>
          </w14:textFill>
        </w:rPr>
        <w:t>3</w:t>
      </w:r>
      <w:r>
        <w:rPr>
          <w:rFonts w:hint="eastAsia" w:ascii="仿宋" w:hAnsi="仿宋" w:eastAsia="仿宋" w:cs="仿宋_GB2312"/>
          <w:color w:val="000000" w:themeColor="text1"/>
          <w14:textFill>
            <w14:solidFill>
              <w14:schemeClr w14:val="tx1"/>
            </w14:solidFill>
          </w14:textFill>
        </w:rPr>
        <w:t>/h，工作面考虑离层积水均匀下泄的1303工作面最大涌水量为</w:t>
      </w:r>
      <w:r>
        <w:rPr>
          <w:rFonts w:hint="eastAsia" w:ascii="仿宋" w:hAnsi="仿宋" w:eastAsia="仿宋" w:cs="仿宋_GB2312"/>
          <w:color w:val="000000" w:themeColor="text1"/>
          <w:lang w:val="en-US" w:eastAsia="zh-CN"/>
          <w14:textFill>
            <w14:solidFill>
              <w14:schemeClr w14:val="tx1"/>
            </w14:solidFill>
          </w14:textFill>
        </w:rPr>
        <w:t>412.70</w:t>
      </w:r>
      <w:r>
        <w:rPr>
          <w:rFonts w:hint="eastAsia" w:ascii="仿宋" w:hAnsi="仿宋" w:eastAsia="仿宋" w:cs="仿宋_GB2312"/>
          <w:color w:val="000000" w:themeColor="text1"/>
          <w14:textFill>
            <w14:solidFill>
              <w14:schemeClr w14:val="tx1"/>
            </w14:solidFill>
          </w14:textFill>
        </w:rPr>
        <w:t>m</w:t>
      </w:r>
      <w:r>
        <w:rPr>
          <w:rFonts w:hint="eastAsia" w:ascii="仿宋" w:hAnsi="仿宋" w:eastAsia="仿宋" w:cs="仿宋_GB2312"/>
          <w:color w:val="000000" w:themeColor="text1"/>
          <w:vertAlign w:val="superscript"/>
          <w14:textFill>
            <w14:solidFill>
              <w14:schemeClr w14:val="tx1"/>
            </w14:solidFill>
          </w14:textFill>
        </w:rPr>
        <w:t>3</w:t>
      </w:r>
      <w:r>
        <w:rPr>
          <w:rFonts w:hint="eastAsia" w:ascii="仿宋" w:hAnsi="仿宋" w:eastAsia="仿宋" w:cs="仿宋_GB2312"/>
          <w:color w:val="000000" w:themeColor="text1"/>
          <w14:textFill>
            <w14:solidFill>
              <w14:schemeClr w14:val="tx1"/>
            </w14:solidFill>
          </w14:textFill>
        </w:rPr>
        <w:t>/h；考虑到1303工作面在实际回采过程中的不可抗力（离层或导高发育异常），确定1303工作面离层灾变涌水量约为420m</w:t>
      </w:r>
      <w:r>
        <w:rPr>
          <w:rFonts w:hint="eastAsia" w:ascii="仿宋" w:hAnsi="仿宋" w:eastAsia="仿宋" w:cs="仿宋_GB2312"/>
          <w:color w:val="000000" w:themeColor="text1"/>
          <w:vertAlign w:val="superscript"/>
          <w14:textFill>
            <w14:solidFill>
              <w14:schemeClr w14:val="tx1"/>
            </w14:solidFill>
          </w14:textFill>
        </w:rPr>
        <w:t>3</w:t>
      </w:r>
      <w:r>
        <w:rPr>
          <w:rFonts w:hint="eastAsia" w:ascii="仿宋" w:hAnsi="仿宋" w:eastAsia="仿宋" w:cs="仿宋_GB2312"/>
          <w:color w:val="000000" w:themeColor="text1"/>
          <w14:textFill>
            <w14:solidFill>
              <w14:schemeClr w14:val="tx1"/>
            </w14:solidFill>
          </w14:textFill>
        </w:rPr>
        <w:t>/h。</w:t>
      </w:r>
    </w:p>
    <w:p>
      <w:pPr>
        <w:pStyle w:val="46"/>
        <w:keepNext w:val="0"/>
        <w:keepLines w:val="0"/>
        <w:pageBreakBefore w:val="0"/>
        <w:kinsoku/>
        <w:wordWrap/>
        <w:overflowPunct/>
        <w:topLinePunct w:val="0"/>
        <w:autoSpaceDE/>
        <w:autoSpaceDN/>
        <w:bidi w:val="0"/>
        <w:adjustRightInd/>
        <w:snapToGrid w:val="0"/>
        <w:spacing w:line="360" w:lineRule="auto"/>
        <w:ind w:firstLine="0" w:firstLineChars="0"/>
        <w:textAlignment w:val="auto"/>
        <w:rPr>
          <w:rFonts w:ascii="仿宋" w:hAnsi="仿宋" w:eastAsia="仿宋"/>
          <w:b/>
          <w:color w:val="000000" w:themeColor="text1"/>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一、</w:t>
      </w:r>
      <w:r>
        <w:rPr>
          <w:rFonts w:hint="eastAsia" w:ascii="仿宋" w:hAnsi="仿宋" w:eastAsia="仿宋"/>
          <w:b/>
          <w:color w:val="000000" w:themeColor="text1"/>
          <w14:textFill>
            <w14:solidFill>
              <w14:schemeClr w14:val="tx1"/>
            </w14:solidFill>
          </w14:textFill>
        </w:rPr>
        <w:t>防治水措施</w:t>
      </w:r>
    </w:p>
    <w:p>
      <w:pPr>
        <w:pStyle w:val="46"/>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1、坚持“预测预报、有疑必探、先探后掘、先治后采”的防治水原则，严格按《1303工作面防治水设计》要求，落实物探工程、地面抽排孔、顶板预裂爆破等防治水措施。</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严格按设计要求完善工作面排水系统，做好水泵管路的日常检修和维护工作；加强回采期间的排水设施、沉淀池及水仓管理，安排专人负责，做好日常清理和维护工作，保证排水系统畅通。</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3、工作面形成后进行综合物理探查，圈定顶板富水异常区域并进行钻探验证，提前探查疏放顶板水。</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4、合理调整采煤工艺，保持连续、稳定的推进速度，加强工作面初撑力管理，尤其“见方”来压期间，严格控制工作面放煤量，避免因见方来压造成架前切顶、涌水事故。</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5、加强工作面周期来压和周边水文孔水位观测，认真分析和总结，做好水害预警工作。</w:t>
      </w:r>
    </w:p>
    <w:p>
      <w:pPr>
        <w:pStyle w:val="60"/>
        <w:keepNext w:val="0"/>
        <w:keepLines w:val="0"/>
        <w:pageBreakBefore w:val="0"/>
        <w:kinsoku/>
        <w:wordWrap/>
        <w:overflowPunct/>
        <w:topLinePunct w:val="0"/>
        <w:autoSpaceDE/>
        <w:autoSpaceDN/>
        <w:bidi w:val="0"/>
        <w:adjustRightInd/>
        <w:snapToGrid w:val="0"/>
        <w:spacing w:line="360" w:lineRule="auto"/>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二、工作面透水预兆</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1、挂红。因地下水中含有铁的氧化物，在水压作用下，通过煤（岩）裂隙时，附着在裂隙表面，出现暗红色铁锈。</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挂汗。当工作面接近积水区时，水在压力作用下，通过煤岩裂隙而在煤岩壁上凝结成许多水珠，但有时空气中的水分遇到低温煤（岩）壁也可凝结为水珠。因此，遇到挂汗现象，首先辨别真伪，辨别方法是剥去表面层，观察新暴露面是否也有潮气，如果煤岩潮湿则是透水征兆。      </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3、空气变冷。工作面接近大量积水时，气温骤然降低，煤壁发凉，人一进去就有凉爽感，时间越长越感阴凉。</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4、出现雾气。当巷道内温度较高时，积水渗到煤壁后引起蒸发而迅速形成雾气。</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5、水叫。井下高压积水，向煤岩裂隙强烈挤压与两壁摩擦而发出嘶嘶叫声，说明工作面离积水区已经很近，则透水即将发生。</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6、顶板淋水加大，原有裂隙淋水突然增大，应视作透水前兆。</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7、顶板来压，底板鼓起。在地下水压作用下，顶底板弯曲变形，有时伴有潮湿，渗水现象。</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8、水色发浑，有臭味。老空水一般发红，味涩，断层水一般发黄，味甜，溶洞水一般带有臭味。</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9、有害气体增加，积水区向外散发瓦斯，二氧化碳和硫化氢等有害气体。</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10、裂隙出现渗水。水清则离积水区尚远，若出现浑浊，则离积水区已近。</w:t>
      </w:r>
    </w:p>
    <w:p>
      <w:pPr>
        <w:pStyle w:val="60"/>
        <w:keepNext w:val="0"/>
        <w:keepLines w:val="0"/>
        <w:pageBreakBefore w:val="0"/>
        <w:kinsoku/>
        <w:wordWrap/>
        <w:overflowPunct/>
        <w:topLinePunct w:val="0"/>
        <w:autoSpaceDE/>
        <w:autoSpaceDN/>
        <w:bidi w:val="0"/>
        <w:adjustRightInd/>
        <w:snapToGrid w:val="0"/>
        <w:spacing w:line="360" w:lineRule="auto"/>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三、工作面透水事故的应对措施</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1、当工作面出现透水征兆时，必须立即</w:t>
      </w:r>
      <w:r>
        <w:rPr>
          <w:rFonts w:ascii="仿宋" w:hAnsi="仿宋" w:eastAsia="仿宋"/>
          <w:color w:val="000000" w:themeColor="text1"/>
          <w:sz w:val="24"/>
          <w14:textFill>
            <w14:solidFill>
              <w14:schemeClr w14:val="tx1"/>
            </w14:solidFill>
          </w14:textFill>
        </w:rPr>
        <w:t>停止作业，</w:t>
      </w:r>
      <w:r>
        <w:rPr>
          <w:rFonts w:hint="eastAsia" w:ascii="仿宋" w:hAnsi="仿宋" w:eastAsia="仿宋"/>
          <w:color w:val="000000" w:themeColor="text1"/>
          <w:sz w:val="24"/>
          <w14:textFill>
            <w14:solidFill>
              <w14:schemeClr w14:val="tx1"/>
            </w14:solidFill>
          </w14:textFill>
        </w:rPr>
        <w:t>并</w:t>
      </w:r>
      <w:r>
        <w:rPr>
          <w:rFonts w:ascii="仿宋" w:hAnsi="仿宋" w:eastAsia="仿宋"/>
          <w:color w:val="000000" w:themeColor="text1"/>
          <w:sz w:val="24"/>
          <w14:textFill>
            <w14:solidFill>
              <w14:schemeClr w14:val="tx1"/>
            </w14:solidFill>
          </w14:textFill>
        </w:rPr>
        <w:t>发出警报</w:t>
      </w:r>
      <w:r>
        <w:rPr>
          <w:rFonts w:hint="eastAsia" w:ascii="仿宋" w:hAnsi="仿宋" w:eastAsia="仿宋"/>
          <w:color w:val="000000" w:themeColor="text1"/>
          <w:sz w:val="24"/>
          <w14:textFill>
            <w14:solidFill>
              <w14:schemeClr w14:val="tx1"/>
            </w14:solidFill>
          </w14:textFill>
        </w:rPr>
        <w:t>，沿避灾路线</w:t>
      </w:r>
      <w:r>
        <w:rPr>
          <w:rFonts w:ascii="仿宋" w:hAnsi="仿宋" w:eastAsia="仿宋"/>
          <w:color w:val="000000" w:themeColor="text1"/>
          <w:sz w:val="24"/>
          <w14:textFill>
            <w14:solidFill>
              <w14:schemeClr w14:val="tx1"/>
            </w14:solidFill>
          </w14:textFill>
        </w:rPr>
        <w:t>撤出所有受</w:t>
      </w:r>
      <w:r>
        <w:rPr>
          <w:rFonts w:hint="eastAsia" w:ascii="仿宋" w:hAnsi="仿宋" w:eastAsia="仿宋"/>
          <w:color w:val="000000" w:themeColor="text1"/>
          <w:sz w:val="24"/>
          <w14:textFill>
            <w14:solidFill>
              <w14:schemeClr w14:val="tx1"/>
            </w14:solidFill>
          </w14:textFill>
        </w:rPr>
        <w:t>水患</w:t>
      </w:r>
      <w:r>
        <w:rPr>
          <w:rFonts w:ascii="仿宋" w:hAnsi="仿宋" w:eastAsia="仿宋"/>
          <w:color w:val="000000" w:themeColor="text1"/>
          <w:sz w:val="24"/>
          <w14:textFill>
            <w14:solidFill>
              <w14:schemeClr w14:val="tx1"/>
            </w14:solidFill>
          </w14:textFill>
        </w:rPr>
        <w:t>威胁</w:t>
      </w:r>
      <w:r>
        <w:rPr>
          <w:rFonts w:hint="eastAsia" w:ascii="仿宋" w:hAnsi="仿宋" w:eastAsia="仿宋"/>
          <w:color w:val="000000" w:themeColor="text1"/>
          <w:sz w:val="24"/>
          <w14:textFill>
            <w14:solidFill>
              <w14:schemeClr w14:val="tx1"/>
            </w14:solidFill>
          </w14:textFill>
        </w:rPr>
        <w:t>地点的</w:t>
      </w:r>
      <w:r>
        <w:rPr>
          <w:rFonts w:ascii="仿宋" w:hAnsi="仿宋" w:eastAsia="仿宋"/>
          <w:color w:val="000000" w:themeColor="text1"/>
          <w:sz w:val="24"/>
          <w14:textFill>
            <w14:solidFill>
              <w14:schemeClr w14:val="tx1"/>
            </w14:solidFill>
          </w14:textFill>
        </w:rPr>
        <w:t>人员</w:t>
      </w:r>
      <w:r>
        <w:rPr>
          <w:rFonts w:hint="eastAsia" w:ascii="仿宋" w:hAnsi="仿宋" w:eastAsia="仿宋"/>
          <w:color w:val="000000" w:themeColor="text1"/>
          <w:sz w:val="24"/>
          <w14:textFill>
            <w14:solidFill>
              <w14:schemeClr w14:val="tx1"/>
            </w14:solidFill>
          </w14:textFill>
        </w:rPr>
        <w:t>，报告矿</w:t>
      </w:r>
      <w:r>
        <w:rPr>
          <w:rFonts w:ascii="仿宋" w:hAnsi="仿宋" w:eastAsia="仿宋"/>
          <w:color w:val="000000" w:themeColor="text1"/>
          <w:sz w:val="24"/>
          <w14:textFill>
            <w14:solidFill>
              <w14:schemeClr w14:val="tx1"/>
            </w14:solidFill>
          </w14:textFill>
        </w:rPr>
        <w:t>调度</w:t>
      </w:r>
      <w:r>
        <w:rPr>
          <w:rFonts w:hint="eastAsia" w:ascii="仿宋" w:hAnsi="仿宋" w:eastAsia="仿宋"/>
          <w:color w:val="000000" w:themeColor="text1"/>
          <w:sz w:val="24"/>
          <w14:textFill>
            <w14:solidFill>
              <w14:schemeClr w14:val="tx1"/>
            </w14:solidFill>
          </w14:textFill>
        </w:rPr>
        <w:t>中心；在原因未查清、隐患未排除之前，不得进行任何采掘活动。</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当工作面发生透水事故时，应迅速判断突水的地点、性质、水量、影响范围、突水水源及灾区范围内的基本情况（如人员分布情况，进出该地点的可能通道等），有组织的沿着规定的避灾路线，迅速向出水点的上部水平或地面</w:t>
      </w:r>
      <w:r>
        <w:rPr>
          <w:rFonts w:hint="eastAsia" w:ascii="仿宋" w:hAnsi="仿宋" w:eastAsia="仿宋"/>
          <w:color w:val="000000" w:themeColor="text1"/>
          <w:sz w:val="24"/>
          <w:lang w:val="en-US" w:eastAsia="zh-CN"/>
          <w14:textFill>
            <w14:solidFill>
              <w14:schemeClr w14:val="tx1"/>
            </w14:solidFill>
          </w14:textFill>
        </w:rPr>
        <w:t>87</w:t>
      </w:r>
      <w:r>
        <w:rPr>
          <w:rFonts w:hint="eastAsia" w:ascii="仿宋" w:hAnsi="仿宋" w:eastAsia="仿宋"/>
          <w:color w:val="000000" w:themeColor="text1"/>
          <w:sz w:val="24"/>
          <w14:textFill>
            <w14:solidFill>
              <w14:schemeClr w14:val="tx1"/>
            </w14:solidFill>
          </w14:textFill>
        </w:rPr>
        <w:t>撤退。</w:t>
      </w:r>
    </w:p>
    <w:p>
      <w:pPr>
        <w:pStyle w:val="12"/>
        <w:keepNext w:val="0"/>
        <w:keepLines w:val="0"/>
        <w:pageBreakBefore w:val="0"/>
        <w:kinsoku/>
        <w:wordWrap/>
        <w:overflowPunct/>
        <w:topLinePunct w:val="0"/>
        <w:autoSpaceDE/>
        <w:autoSpaceDN/>
        <w:bidi w:val="0"/>
        <w:adjustRightInd/>
        <w:snapToGrid w:val="0"/>
        <w:spacing w:line="360" w:lineRule="auto"/>
        <w:ind w:firstLine="420"/>
        <w:textAlignment w:val="auto"/>
      </w:pPr>
    </w:p>
    <w:p>
      <w:pPr>
        <w:pStyle w:val="4"/>
        <w:keepNext w:val="0"/>
        <w:keepLines w:val="0"/>
        <w:pageBreakBefore w:val="0"/>
        <w:kinsoku/>
        <w:wordWrap/>
        <w:overflowPunct/>
        <w:topLinePunct w:val="0"/>
        <w:autoSpaceDE/>
        <w:autoSpaceDN/>
        <w:bidi w:val="0"/>
        <w:snapToGrid w:val="0"/>
        <w:spacing w:before="0" w:after="0" w:line="360" w:lineRule="auto"/>
        <w:ind w:firstLine="0" w:firstLineChars="0"/>
        <w:textAlignment w:val="auto"/>
        <w:rPr>
          <w:rFonts w:ascii="黑体" w:hAnsi="黑体" w:eastAsia="黑体"/>
          <w:color w:val="000000" w:themeColor="text1"/>
          <w:sz w:val="28"/>
          <w:szCs w:val="28"/>
          <w14:textFill>
            <w14:solidFill>
              <w14:schemeClr w14:val="tx1"/>
            </w14:solidFill>
          </w14:textFill>
        </w:rPr>
      </w:pPr>
      <w:bookmarkStart w:id="295" w:name="_Toc496212775"/>
      <w:r>
        <w:rPr>
          <w:rFonts w:hint="eastAsia" w:ascii="黑体" w:hAnsi="黑体" w:eastAsia="黑体"/>
          <w:color w:val="000000" w:themeColor="text1"/>
          <w:sz w:val="28"/>
          <w:szCs w:val="28"/>
          <w14:textFill>
            <w14:solidFill>
              <w14:schemeClr w14:val="tx1"/>
            </w14:solidFill>
          </w14:textFill>
        </w:rPr>
        <w:t>第四节  一通三防</w:t>
      </w:r>
      <w:bookmarkEnd w:id="295"/>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ascii="仿宋" w:hAnsi="仿宋" w:eastAsia="仿宋"/>
          <w:b/>
          <w:color w:val="000000" w:themeColor="text1"/>
          <w:sz w:val="24"/>
          <w14:textFill>
            <w14:solidFill>
              <w14:schemeClr w14:val="tx1"/>
            </w14:solidFill>
          </w14:textFill>
        </w:rPr>
      </w:pPr>
      <w:bookmarkStart w:id="296" w:name="_Toc496212776"/>
      <w:r>
        <w:rPr>
          <w:rFonts w:hint="eastAsia" w:ascii="仿宋" w:hAnsi="仿宋" w:eastAsia="仿宋"/>
          <w:b/>
          <w:color w:val="000000" w:themeColor="text1"/>
          <w:sz w:val="24"/>
          <w14:textFill>
            <w14:solidFill>
              <w14:schemeClr w14:val="tx1"/>
            </w14:solidFill>
          </w14:textFill>
        </w:rPr>
        <w:t>一、通风管理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1、加强通风系统管理，保证通风系统可靠，通风设施完好。风量、风速稳定，符合《煤矿安全规程》要求，防止瓦斯超限，杜绝微风、无风作业。</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2、确保工作区域内空气成分满足要求，工作面进风流中氧气浓度不低于20%、二氧化碳浓度不超过0.5%、一氧化碳浓度不超过24ppm，其他气体浓度符合《煤矿安全规程》要求。</w:t>
      </w:r>
    </w:p>
    <w:p>
      <w:pPr>
        <w:keepNext w:val="0"/>
        <w:keepLines w:val="0"/>
        <w:pageBreakBefore w:val="0"/>
        <w:widowControl w:val="0"/>
        <w:kinsoku/>
        <w:wordWrap/>
        <w:overflowPunct/>
        <w:topLinePunct w:val="0"/>
        <w:autoSpaceDE/>
        <w:autoSpaceDN/>
        <w:bidi w:val="0"/>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3、通防部按规定给工作面回采配足风量，定期进行测风工作，根据实际情况及时调整，但风量不得小于工作面需风量。</w:t>
      </w:r>
    </w:p>
    <w:p>
      <w:pPr>
        <w:keepNext w:val="0"/>
        <w:keepLines w:val="0"/>
        <w:pageBreakBefore w:val="0"/>
        <w:widowControl w:val="0"/>
        <w:kinsoku/>
        <w:wordWrap/>
        <w:overflowPunct/>
        <w:topLinePunct w:val="0"/>
        <w:autoSpaceDE/>
        <w:autoSpaceDN/>
        <w:bidi w:val="0"/>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4、加强巷道的维护工作，工作面向外20m范围内进、回风巷实际断面不小于设计断面的</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。当实际断面受顶底板压力等原因少于上述规定值时，必须立即采取措施进行处理。</w:t>
      </w:r>
    </w:p>
    <w:p>
      <w:pPr>
        <w:pStyle w:val="12"/>
        <w:keepNext w:val="0"/>
        <w:keepLines w:val="0"/>
        <w:pageBreakBefore w:val="0"/>
        <w:widowControl w:val="0"/>
        <w:kinsoku/>
        <w:wordWrap/>
        <w:overflowPunct/>
        <w:topLinePunct w:val="0"/>
        <w:autoSpaceDE/>
        <w:autoSpaceDN/>
        <w:bidi w:val="0"/>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5、工作面两端安全出口与巷道连接处超前压力影响范围内必须加强支护，巷道高度不得低于1.8m，综合机械化采煤工作面断面不得低于6</w:t>
      </w:r>
      <w:r>
        <w:rPr>
          <w:rFonts w:hint="eastAsia" w:ascii="仿宋" w:hAnsi="仿宋" w:eastAsia="仿宋" w:cs="仿宋"/>
          <w:color w:val="000000" w:themeColor="text1"/>
          <w:sz w:val="24"/>
          <w:lang w:val="en-US"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，回风巷断面不得低于设计断面的2/3</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煤壁20m外，综合机械化采煤工作面巷道高度不得低于2.0m。确保风流畅通，有效降低通风阻力，保证工作面供风量。因巷道顶板离层、变形、底鼓、冒顶或其它原因达不到上述要求的，立即进行整改，整改完毕后方可恢复正常生产。</w:t>
      </w:r>
    </w:p>
    <w:p>
      <w:pPr>
        <w:keepNext w:val="0"/>
        <w:keepLines w:val="0"/>
        <w:pageBreakBefore w:val="0"/>
        <w:widowControl w:val="0"/>
        <w:kinsoku/>
        <w:wordWrap/>
        <w:overflowPunct/>
        <w:topLinePunct w:val="0"/>
        <w:autoSpaceDE/>
        <w:autoSpaceDN/>
        <w:bidi w:val="0"/>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6、所有人员必须爱护通风设施，风门做到随开随关，严禁两道风门同时打开，风门前后5m范围内支护良好，无杂物、积水和淤泥，无</w:t>
      </w:r>
      <w:r>
        <w:rPr>
          <w:rFonts w:hint="eastAsia" w:ascii="仿宋" w:hAnsi="仿宋" w:eastAsia="仿宋" w:cs="仿宋"/>
          <w:color w:val="000000" w:themeColor="text1"/>
          <w:sz w:val="24"/>
          <w:lang w:val="en-US" w:eastAsia="zh-C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材料、设备堆积。</w:t>
      </w:r>
    </w:p>
    <w:p>
      <w:pPr>
        <w:keepNext w:val="0"/>
        <w:keepLines w:val="0"/>
        <w:pageBreakBefore w:val="0"/>
        <w:widowControl w:val="0"/>
        <w:kinsoku/>
        <w:wordWrap/>
        <w:overflowPunct/>
        <w:topLinePunct w:val="0"/>
        <w:autoSpaceDE/>
        <w:autoSpaceDN/>
        <w:bidi w:val="0"/>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7、测风站及其前后各10m内支护良好，水沟盖板齐全，无片帮、冒顶，无杂物、积水和淤泥和材料堆积。</w:t>
      </w: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二、瓦斯管理</w:t>
      </w: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（一）一般规定</w:t>
      </w:r>
    </w:p>
    <w:p>
      <w:pPr>
        <w:keepNext w:val="0"/>
        <w:keepLines w:val="0"/>
        <w:pageBreakBefore w:val="0"/>
        <w:widowControl w:val="0"/>
        <w:kinsoku/>
        <w:wordWrap/>
        <w:overflowPunct/>
        <w:topLinePunct w:val="0"/>
        <w:autoSpaceDE/>
        <w:autoSpaceDN/>
        <w:bidi w:val="0"/>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瓦斯检查工上岗前，必须经过培训，取得特种作业操作证。上岗后还应定期进行复训和考核。瓦斯检查工必须携带便携式甲烷检测报警仪和甲烷光学检测仪，安全监测工必须携带便携式甲烷检测报警仪或便携式光学甲烷检测仪。瓦斯检查仪器要定期校正、定期进行计量检定，及时维修，确保完好。</w:t>
      </w:r>
    </w:p>
    <w:p>
      <w:pPr>
        <w:keepNext w:val="0"/>
        <w:keepLines w:val="0"/>
        <w:pageBreakBefore w:val="0"/>
        <w:widowControl w:val="0"/>
        <w:kinsoku/>
        <w:wordWrap/>
        <w:overflowPunct/>
        <w:topLinePunct w:val="0"/>
        <w:autoSpaceDE/>
        <w:autoSpaceDN/>
        <w:bidi w:val="0"/>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每月必须编制瓦斯、防灭火检查点设置计划，对各工作地点及巷道、硐室的瓦斯（二氧化碳）的检查次数、时间和瓦斯检查工责任区域的划分、巡回检查的形式、交接班地点以及专职瓦斯检查工的设置等必须在瓦斯检查点设置计划中明确规定。瓦斯检查地点发生变化时，要</w:t>
      </w:r>
      <w:r>
        <w:rPr>
          <w:rFonts w:hint="eastAsia" w:ascii="仿宋" w:hAnsi="仿宋" w:eastAsia="仿宋" w:cs="仿宋"/>
          <w:color w:val="000000" w:themeColor="text1"/>
          <w:sz w:val="24"/>
          <w:lang w:val="en-US" w:eastAsia="zh-CN"/>
          <w14:textFill>
            <w14:solidFill>
              <w14:schemeClr w14:val="tx1"/>
            </w14:solidFill>
          </w14:textFill>
        </w:rPr>
        <w:t>及时</w:t>
      </w:r>
      <w:r>
        <w:rPr>
          <w:rFonts w:hint="eastAsia" w:ascii="仿宋" w:hAnsi="仿宋" w:eastAsia="仿宋" w:cs="仿宋"/>
          <w:color w:val="000000" w:themeColor="text1"/>
          <w:sz w:val="24"/>
          <w14:textFill>
            <w14:solidFill>
              <w14:schemeClr w14:val="tx1"/>
            </w14:solidFill>
          </w14:textFill>
        </w:rPr>
        <w:t>增补，严禁空班漏检。</w:t>
      </w:r>
    </w:p>
    <w:p>
      <w:pPr>
        <w:keepNext w:val="0"/>
        <w:keepLines w:val="0"/>
        <w:pageBreakBefore w:val="0"/>
        <w:widowControl w:val="0"/>
        <w:kinsoku/>
        <w:wordWrap/>
        <w:overflowPunct/>
        <w:topLinePunct w:val="0"/>
        <w:autoSpaceDE/>
        <w:autoSpaceDN/>
        <w:bidi w:val="0"/>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采煤工作面瓦斯检查点设置及检查次数要求：</w:t>
      </w:r>
    </w:p>
    <w:p>
      <w:pPr>
        <w:keepNext w:val="0"/>
        <w:keepLines w:val="0"/>
        <w:pageBreakBefore w:val="0"/>
        <w:widowControl w:val="0"/>
        <w:kinsoku/>
        <w:wordWrap/>
        <w:overflowPunct/>
        <w:topLinePunct w:val="0"/>
        <w:autoSpaceDE/>
        <w:autoSpaceDN/>
        <w:bidi w:val="0"/>
        <w:snapToGrid w:val="0"/>
        <w:spacing w:line="44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进风流中机电设备、硐室、高冒处测点----工作面回风流进入采区回风巷前10—15米处的回风流中测点----回风流中机电设备、硐室、高冒处测点----距工作面10米处回风流中测点----</w:t>
      </w:r>
      <w:r>
        <w:rPr>
          <w:rFonts w:hint="eastAsia" w:ascii="仿宋" w:hAnsi="仿宋" w:eastAsia="仿宋" w:cs="仿宋"/>
          <w:color w:val="000000" w:themeColor="text1"/>
          <w:sz w:val="24"/>
          <w:lang w:val="en-US" w:eastAsia="zh-CN"/>
          <w14:textFill>
            <w14:solidFill>
              <w14:schemeClr w14:val="tx1"/>
            </w14:solidFill>
          </w14:textFill>
        </w:rPr>
        <w:t>回风隅角检查</w:t>
      </w:r>
      <w:r>
        <w:rPr>
          <w:rFonts w:hint="eastAsia" w:ascii="仿宋" w:hAnsi="仿宋" w:eastAsia="仿宋" w:cs="仿宋"/>
          <w:color w:val="000000" w:themeColor="text1"/>
          <w:sz w:val="24"/>
          <w14:textFill>
            <w14:solidFill>
              <w14:schemeClr w14:val="tx1"/>
            </w14:solidFill>
          </w14:textFill>
        </w:rPr>
        <w:t>测点----顶板落差点处测点----距工作面10米处的进风流中测点。</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瓦斯检查工必须按瓦斯检查点设置计划及瓦斯循环检查图表所规定的路线和时间，严格执行巡回检查、请示报告和交接班制度。通风调度实行跟踪调度。每次检查结果都必须记入瓦斯检查手册和检查地点的记录牌上，通知现场工作人员，并及时向通风调度汇报。做到井下记录牌、瓦斯检查手册和瓦斯</w:t>
      </w:r>
      <w:r>
        <w:rPr>
          <w:rFonts w:hint="eastAsia" w:ascii="仿宋" w:hAnsi="仿宋" w:eastAsia="仿宋" w:cs="仿宋"/>
          <w:color w:val="000000" w:themeColor="text1"/>
          <w:sz w:val="24"/>
          <w:lang w:val="en-US" w:eastAsia="zh-CN"/>
          <w14:textFill>
            <w14:solidFill>
              <w14:schemeClr w14:val="tx1"/>
            </w14:solidFill>
          </w14:textFill>
        </w:rPr>
        <w:t>台账</w:t>
      </w:r>
      <w:r>
        <w:rPr>
          <w:rFonts w:hint="eastAsia" w:ascii="仿宋" w:hAnsi="仿宋" w:eastAsia="仿宋" w:cs="仿宋"/>
          <w:color w:val="000000" w:themeColor="text1"/>
          <w:sz w:val="24"/>
          <w14:textFill>
            <w14:solidFill>
              <w14:schemeClr w14:val="tx1"/>
            </w14:solidFill>
          </w14:textFill>
        </w:rPr>
        <w:t>“三对口”。</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当班电钳工、班队长、煤机司机要随身携带便携式甲烷检测报警仪，随时对工作地点进行瓦斯检测。所有进入井下的矿长、矿总工程师、爆破工、采掘区队长、通风区队长、工程技术人员、班长、流动电钳工必须携带便携式甲烷检测报警仪。</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5、凡井下有瓦斯涌出或有可能积存瓦斯的区域和地点，都应进行瓦斯检查。采掘工作面等各瓦斯检查点必须悬挂瓦斯检查记录牌。</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井下所有地点爆破，都必须执行“一炮三检”和“三人连锁”爆破制度，作业地点必须悬挂一炮三检记录牌和三人连锁记录牌，一炮三检记录牌和瓦斯检查记录牌悬挂在一起，三人连锁记录牌悬挂在警戒网附近，警戒区域外。</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7、甲烷浓度超过《煤矿安全规程》有关规定时，瓦斯检查工有权责令现场人员停止工作，并撤到安全地点。</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8、瓦斯检查必须符合下列规定：</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有人作业的采掘工作面每班检查3次瓦斯和二氧化碳；临时停工、无人作业的采掘工作面，每班至少到工作面检查1次甲烷和二氧化碳；可能涌出或积聚瓦斯或二氧化碳的硐室和巷道的瓦斯或二氧化碳应每班至少检查1次；临时停工停风的采掘工作面，栅栏处每小班检查1次瓦斯、二氧化碳和氧气。</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（2）被贯通巷道地点及回风流每次爆破前至少检查一次瓦斯。</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（3）处于回风流中停止运转的电器设备及开关在每次启动前附近应进行瓦斯检查。加强机电设备维修和管理，井下杜绝电气设备失爆。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（4）爆破地点20m 范围内，在每次装药前、爆破前、爆破后都必须进行1次瓦斯检查，起爆前检查1次起爆地点甲烷浓度。</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9、井下杜绝瓦斯超限作业。当瓦斯浓度超过下列规定时，必须采取相应的措施进行处理。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（1）工作面回风巷风流中甲烷浓度超过1.0%或二氧化碳浓度超过1.5%时，必须停止工作，撤出人员，采取措施进行处理。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（2）工作面电动机或其开关安设附近20m以内风流中及其他作业地点风流中甲烷浓度达到1.5%时，必须停止工作，撤出人员，切断电源，进行处理。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（3）工作面及其他巷道内局部瓦斯积聚(体积大于0.5m</w:t>
      </w:r>
      <w:r>
        <w:rPr>
          <w:rFonts w:hint="eastAsia" w:ascii="仿宋" w:hAnsi="仿宋" w:eastAsia="仿宋" w:cs="仿宋"/>
          <w:color w:val="000000" w:themeColor="text1"/>
          <w:sz w:val="24"/>
          <w:vertAlign w:val="superscript"/>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的空间内积聚的瓦斯浓度达到2.0%时)附近20m内，必须停止工作，撤出人员，切断电源，进行处理。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（4）因甲烷浓度超过规定而切断电源的电气设备，必须在甲烷浓度降到1.0%以下，方可开动。</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10、工作面支架顶板必须保持平整连续，不出现错茬，以减小风阻，避免甲烷、CO积聚。支架架型不正，利用单体调架时，加垫木塞，防止产生火花。</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工作面进、回风隅角移挪支架时，移挪区域必须先洒水湿透。瓦斯超限时严禁移挪。回风隅角移驾及时，保证没有风流死角，过度支架不得滞后尾梁。移驾后及时沿切顶线垛袋，减少采空区漏风，防止采空区瓦斯涌出。严禁人员进入老塘。</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12、工作面回风隅角除悬挂T</w:t>
      </w:r>
      <w:r>
        <w:rPr>
          <w:rFonts w:hint="eastAsia" w:ascii="仿宋" w:hAnsi="仿宋" w:eastAsia="仿宋" w:cs="仿宋"/>
          <w:color w:val="000000" w:themeColor="text1"/>
          <w:sz w:val="24"/>
          <w:vertAlign w:val="subscript"/>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传感器外，还要悬挂便携式甲烷监测报警仪，便携式甲烷监测报警仪距顶部不大于300mm，距帮部不大于200mm,距巷帮和采空区侧垛袋处均不大于800mm。</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13、由于放顶煤工作面采空区空间范围大，可能积聚较大量瓦斯，老顶初次来压和周期来压、顶板大面积垮落及采空区漏风等都可能造成瓦斯大量涌出，采取以下措施，加强有毒有害气体检查：</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（1）加强工作面尤其是回风隅角的瓦斯检测。</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工作面顶板初次来压、周期来压及顶板大面积垮落期间要加强瓦斯检查和安全防护工作，防止采空区内有害有毒气体大量涌出。发现异常时，瓦斯检查工有权停止作业，汇报矿调度指挥中心，组织所有人员按照规定的避灾路线有序撤出。</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14、对高冒区有害气体的处理方法</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在回采过程中工作面及两巷若有高冒区产生，对高冒区瓦斯积聚的处理方法一般采用通风排放法处理。工作面高冒区处理：在巷道顶部悬挂风筒布导风，稀释高冒区积聚的瓦斯；两巷高冒区处理：连接压风管路至高冒区，稀释积聚的瓦斯。</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（2）两巷高冒区处理完毕后，根据实际，进行涂抹封闭材料、喷浆等处理后，用水泥等不燃性材料进行充填，最后拆除风筒布。</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（3）处理瓦斯积聚或其他有毒有害气体时，瓦斯检查工必须在现场指导，处理积聚的瓦斯前必须遵守以下原则：</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①切断附近20m范围内的动力电源，附近20m范围内严禁有人工作。</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②待人员作业地点的瓦斯浓度降到1.0%以下时，再进行接顶、喷浆等工作。</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③若巷道内一氧化碳浓度达到24ppm(炮烟、柴油机车尾气除外)或二氧化碳浓度超过1.5%或其他有毒有害气体超限时，必须将巷道内所有人员撤至新鲜风流中，并汇报矿调度，等待处理。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（4）检查高冒区瓦斯浓度时，检查人员严禁进入瓦斯积聚区内，必须用木棍或长柄工具把光学甲烷检测仪进气皮托管或便携式甲烷检测报警仪伸入高浓度瓦斯地点进行检查。</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（5）对高冒区要建立</w:t>
      </w:r>
      <w:r>
        <w:rPr>
          <w:rFonts w:hint="eastAsia" w:ascii="仿宋" w:hAnsi="仿宋" w:eastAsia="仿宋" w:cs="仿宋"/>
          <w:color w:val="000000" w:themeColor="text1"/>
          <w:sz w:val="24"/>
          <w:lang w:val="en-US" w:eastAsia="zh-CN"/>
          <w14:textFill>
            <w14:solidFill>
              <w14:schemeClr w14:val="tx1"/>
            </w14:solidFill>
          </w14:textFill>
        </w:rPr>
        <w:t>台账</w:t>
      </w:r>
      <w:r>
        <w:rPr>
          <w:rFonts w:hint="eastAsia" w:ascii="仿宋" w:hAnsi="仿宋" w:eastAsia="仿宋" w:cs="仿宋"/>
          <w:color w:val="000000" w:themeColor="text1"/>
          <w:sz w:val="24"/>
          <w14:textFill>
            <w14:solidFill>
              <w14:schemeClr w14:val="tx1"/>
            </w14:solidFill>
          </w14:textFill>
        </w:rPr>
        <w:t>，现场挂牌管理。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（6）对已封闭的高冒区，瓦斯检查工依照规定定期进行气体检查。</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停风区中瓦斯浓度超过1.0%或二氧化碳浓度超过1.5%，最高瓦斯浓度和二氧化碳浓度不超过3%时，由通防部采取安全措施，经矿总工程师审批，由矿山救护队控制风流排放瓦斯。若瓦斯浓度或二氧化碳浓度超过3%时，必须制定排放瓦斯措施，经矿总工程师审批，由矿负责组织，由矿山救护队负责排放瓦斯。</w:t>
      </w:r>
    </w:p>
    <w:p>
      <w:pPr>
        <w:keepNext w:val="0"/>
        <w:keepLines w:val="0"/>
        <w:pageBreakBefore w:val="0"/>
        <w:kinsoku/>
        <w:wordWrap/>
        <w:overflowPunct/>
        <w:topLinePunct w:val="0"/>
        <w:autoSpaceDE/>
        <w:autoSpaceDN/>
        <w:bidi w:val="0"/>
        <w:snapToGrid w:val="0"/>
        <w:spacing w:line="360" w:lineRule="auto"/>
        <w:ind w:firstLine="0" w:firstLineChars="0"/>
        <w:textAlignment w:val="auto"/>
        <w:rPr>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（二）瓦斯抽放系统</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1303工作面瓦斯来源为本煤层和邻近层瓦斯。根据该工作面瓦斯煤层赋存及巷道布置情况，采用“抽采为主、风排为辅”的瓦斯治理原则；设计采取顺层钻孔预抽本煤层瓦斯，隅角预埋管路及布置高位钻孔抽采采空区瓦斯和风排相结合的综合措施治理工作面瓦斯。</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回采前，在1303机巷施工定向长距离顺层钻孔结合1303机巷、风巷施工顺层钻孔（普钻）预抽回采区域煤层瓦斯；工作面回采过程中采空区瓦斯治理采用隅角埋管及布置高位钻孔泄压抽采。</w:t>
      </w:r>
      <w:bookmarkStart w:id="297" w:name="_Hlk100155429"/>
      <w:r>
        <w:rPr>
          <w:rFonts w:hint="eastAsia" w:ascii="仿宋" w:hAnsi="仿宋" w:eastAsia="仿宋" w:cs="仿宋"/>
          <w:color w:val="000000" w:themeColor="text1"/>
          <w:sz w:val="24"/>
          <w14:textFill>
            <w14:solidFill>
              <w14:schemeClr w14:val="tx1"/>
            </w14:solidFill>
          </w14:textFill>
        </w:rPr>
        <w:t>当1303工作面预抽时间满足要求，抽采效果评价合格后，1303机巷、风巷预抽钻孔可停止抽采,抽采管路可用于隅角及后期高位钻孔抽放采空区瓦斯。采空区瓦斯与煤层预抽钻孔瓦斯应分开抽采，实现高、低负压系统分源抽采。</w:t>
      </w:r>
    </w:p>
    <w:bookmarkEnd w:id="297"/>
    <w:p>
      <w:pPr>
        <w:keepNext w:val="0"/>
        <w:keepLines w:val="0"/>
        <w:pageBreakBefore w:val="0"/>
        <w:widowControl/>
        <w:kinsoku/>
        <w:wordWrap/>
        <w:overflowPunct/>
        <w:topLinePunct w:val="0"/>
        <w:autoSpaceDE/>
        <w:autoSpaceDN/>
        <w:bidi w:val="0"/>
        <w:snapToGrid w:val="0"/>
        <w:spacing w:line="360" w:lineRule="auto"/>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1、顺层钻孔设计</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本工作面预抽钻孔采用普钻与定向钻结合方式进行预抽回采区域瓦斯。</w:t>
      </w:r>
    </w:p>
    <w:p>
      <w:pPr>
        <w:keepNext w:val="0"/>
        <w:keepLines w:val="0"/>
        <w:pageBreakBefore w:val="0"/>
        <w:widowControl/>
        <w:kinsoku/>
        <w:wordWrap/>
        <w:overflowPunct/>
        <w:topLinePunct w:val="0"/>
        <w:autoSpaceDE/>
        <w:autoSpaceDN/>
        <w:bidi w:val="0"/>
        <w:snapToGrid w:val="0"/>
        <w:spacing w:line="360" w:lineRule="auto"/>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（1）普钻设计</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1303工作面机巷、风巷预抽钻孔均采用顺层平行钻孔，沿巷帮布置，垂直巷道壁开孔，钻孔长度160m，孔径113mm，开孔高度距离巷道底板约1.6m，钻孔间距为9m，机巷钻孔终孔位置位于煤层底板以上4.5m，风巷钻孔终孔位置位于煤层顶板处。</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1303机巷、风巷掘进期间，顺层钻孔（普钻）在掘进工作面迎头进尺超过工作面设计停采线150m时，由外向里施工。1303机巷预抽钻孔从停采线开始施工，施工至距停采线距离243m的位置停止施工，孔间距9m，共设计钻孔约28个，钻孔进尺约4480m；1303风巷预抽钻孔从停采线开始施工，施工至距停采线距离315m的位置停止施工，孔间距9m，共设计钻孔约36个，钻孔进尺约5760m。（2）定向钻设计</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bookmarkStart w:id="298" w:name="_Hlk105170022"/>
      <w:r>
        <w:rPr>
          <w:rFonts w:hint="eastAsia" w:ascii="仿宋" w:hAnsi="仿宋" w:eastAsia="仿宋" w:cs="仿宋"/>
          <w:color w:val="000000" w:themeColor="text1"/>
          <w:sz w:val="24"/>
          <w14:textFill>
            <w14:solidFill>
              <w14:schemeClr w14:val="tx1"/>
            </w14:solidFill>
          </w14:textFill>
        </w:rPr>
        <w:t>①钻机选用ZLD12000L型煤矿用全液压坑道钻机，Φ89mm中心通缆钻杆，Φ120mm钻头，正常钻进用Φ120mm平底定向钻头钻至终孔，定向钻孔开孔间距不小于0.5m。</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②在1303工作面机巷内布置1个定向抽采钻场（J8测点以里12.2m位置）,设计钻孔数量为34个（9个主孔，每个主孔开2～4个分支孔），钻孔选用Φ120mm钻头，孔间距9m，定向钻孔平均孔深566m，总尺约19270m。钻孔设计上下2层布置，每层布置17个定向长钻孔；第一层定向钻孔编号为JD1-1#/3#～JD8-1/3#,JD9-1；钻孔终孔层位位于煤层顶板以下4.5m。第二层定向钻孔编号为JD1-2#/4#～JD8-2/4#,JD9-2#；钻孔终孔层位位于煤层底板以上4.5m（其中JD1-1#/2#钻孔距1303机巷右帮平距18m，JD9-1#/2##钻孔距1303风巷左帮平距18m），钻孔终孔点距工作面设计开切眼以里18m位置。定向钻孔开孔间距不小于0.5m，</w:t>
      </w:r>
      <w:bookmarkEnd w:id="298"/>
      <w:r>
        <w:rPr>
          <w:rFonts w:hint="eastAsia" w:ascii="仿宋" w:hAnsi="仿宋" w:eastAsia="仿宋" w:cs="仿宋"/>
          <w:color w:val="000000" w:themeColor="text1"/>
          <w:sz w:val="24"/>
          <w14:textFill>
            <w14:solidFill>
              <w14:schemeClr w14:val="tx1"/>
            </w14:solidFill>
          </w14:textFill>
        </w:rPr>
        <w:t>封孔长度不小于20m。</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在1303机、风巷各布置一趟DN300抽采管路进行预抽钻孔瓦斯并将抽放管路与矿井高负压抽采系统并网抽放。</w:t>
      </w:r>
    </w:p>
    <w:p>
      <w:pPr>
        <w:keepNext w:val="0"/>
        <w:keepLines w:val="0"/>
        <w:pageBreakBefore w:val="0"/>
        <w:widowControl/>
        <w:kinsoku/>
        <w:wordWrap/>
        <w:overflowPunct/>
        <w:topLinePunct w:val="0"/>
        <w:autoSpaceDE/>
        <w:autoSpaceDN/>
        <w:bidi w:val="0"/>
        <w:snapToGrid w:val="0"/>
        <w:spacing w:line="360" w:lineRule="auto"/>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2、钻孔封孔注浆工艺</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1303综采工作面所有抽采钻孔均采用“两堵一注”专用封孔器</w:t>
      </w:r>
      <w:bookmarkStart w:id="299" w:name="_Hlk105170081"/>
      <w:r>
        <w:rPr>
          <w:rFonts w:hint="eastAsia" w:ascii="仿宋" w:hAnsi="仿宋" w:eastAsia="仿宋" w:cs="仿宋"/>
          <w:color w:val="000000" w:themeColor="text1"/>
          <w:sz w:val="24"/>
          <w14:textFill>
            <w14:solidFill>
              <w14:schemeClr w14:val="tx1"/>
            </w14:solidFill>
          </w14:textFill>
        </w:rPr>
        <w:t>或</w:t>
      </w:r>
      <w:r>
        <w:rPr>
          <w:rFonts w:hint="eastAsia" w:ascii="仿宋" w:hAnsi="仿宋" w:eastAsia="仿宋" w:cs="仿宋"/>
          <w:color w:val="000000" w:themeColor="text1"/>
          <w:sz w:val="24"/>
          <w:lang w:eastAsia="zh-CN"/>
          <w14:textFill>
            <w14:solidFill>
              <w14:schemeClr w14:val="tx1"/>
            </w14:solidFill>
          </w14:textFill>
        </w:rPr>
        <w:t>封孔材料</w:t>
      </w:r>
      <w:r>
        <w:rPr>
          <w:rFonts w:hint="eastAsia" w:ascii="仿宋" w:hAnsi="仿宋" w:eastAsia="仿宋" w:cs="仿宋"/>
          <w:color w:val="000000" w:themeColor="text1"/>
          <w:sz w:val="24"/>
          <w14:textFill>
            <w14:solidFill>
              <w14:schemeClr w14:val="tx1"/>
            </w14:solidFill>
          </w14:textFill>
        </w:rPr>
        <w:t>带压注浆封孔，封孔深度为20m。</w:t>
      </w:r>
      <w:bookmarkEnd w:id="299"/>
      <w:r>
        <w:rPr>
          <w:rFonts w:hint="eastAsia" w:ascii="仿宋" w:hAnsi="仿宋" w:eastAsia="仿宋" w:cs="仿宋"/>
          <w:color w:val="000000" w:themeColor="text1"/>
          <w:sz w:val="24"/>
          <w14:textFill>
            <w14:solidFill>
              <w14:schemeClr w14:val="tx1"/>
            </w14:solidFill>
          </w14:textFill>
        </w:rPr>
        <w:t>封孔管长度为2m/根的PE或铁套管，距里端孔口1m～1.5m处绑扎第一组囊袋，距外端孔口1m～1.5m处绑扎第二组囊袋，封孔注浆段长度不低于20米，封孔管孔口外露煤壁外0.15m。普钻封孔管为φ63mm套管，</w:t>
      </w:r>
      <w:bookmarkStart w:id="300" w:name="_Hlk105170100"/>
      <w:r>
        <w:rPr>
          <w:rFonts w:hint="eastAsia" w:ascii="仿宋" w:hAnsi="仿宋" w:eastAsia="仿宋" w:cs="仿宋"/>
          <w:color w:val="000000" w:themeColor="text1"/>
          <w:sz w:val="24"/>
          <w14:textFill>
            <w14:solidFill>
              <w14:schemeClr w14:val="tx1"/>
            </w14:solidFill>
          </w14:textFill>
        </w:rPr>
        <w:t>定向钻封孔管为φ108mm套管。</w:t>
      </w:r>
      <w:bookmarkEnd w:id="300"/>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封孔工艺步骤：</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（1）冲孔：钻孔成孔后，需用清水或压风清扫钻孔，排除钻孔中残余煤（岩）细屑。</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（2）下封孔管及封孔器。</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（3）注浆：预先混合满足一定要求的浆液，将注浆泵的吸浆口放入浆液池，出浆口连接封孔装置的注浆管快速接头，启动注浆泵，开始注浆。</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（4）连网抽采：钻孔注浆48h后，对抽采钻孔进行合茬连网抽采。</w:t>
      </w:r>
    </w:p>
    <w:p>
      <w:pPr>
        <w:keepNext w:val="0"/>
        <w:keepLines w:val="0"/>
        <w:pageBreakBefore w:val="0"/>
        <w:widowControl/>
        <w:kinsoku/>
        <w:wordWrap/>
        <w:overflowPunct/>
        <w:topLinePunct w:val="0"/>
        <w:autoSpaceDE/>
        <w:autoSpaceDN/>
        <w:bidi w:val="0"/>
        <w:snapToGrid w:val="0"/>
        <w:spacing w:line="360" w:lineRule="auto"/>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3、顺层钻孔合茬抽采</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顺层钻孔施工完成后必须及时封孔合茬抽采，钻孔要求预抽时间不少于6个月，单孔抽采负压不低于13Kpa，当1303工作面预抽时间满足要求，抽采效果评价合格后，1303工作面预抽钻孔可停止抽采。</w:t>
      </w:r>
    </w:p>
    <w:p>
      <w:pPr>
        <w:keepNext w:val="0"/>
        <w:keepLines w:val="0"/>
        <w:pageBreakBefore w:val="0"/>
        <w:widowControl/>
        <w:kinsoku/>
        <w:wordWrap/>
        <w:overflowPunct/>
        <w:topLinePunct w:val="0"/>
        <w:autoSpaceDE/>
        <w:autoSpaceDN/>
        <w:bidi w:val="0"/>
        <w:snapToGrid w:val="0"/>
        <w:spacing w:line="360" w:lineRule="auto"/>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（二）高位钻孔抽采采空区瓦斯</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1、钻场布置方式</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根据U型通风形式下采空区瓦斯积聚及涌出特点，并结合邻近煤矿高位钻孔抽采采空区瓦斯经验，在1303工作面机、风巷内每隔80-100m布置一个钻场，钻场净尺寸（长×宽×高）5000×4500×3500mm。</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2、钻孔布置方式</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计钻孔使用Φ113mm钻头，每个钻场不低于15个高位钻孔，终孔间距5-8m，最内侧终孔位置距机、风巷的水平距离不低于30m，最大水平长度130m。为了保证工作面采空区连续抽采，设计每组钻孔间水平投影的搭接距离不小于20m。钻孔终孔层位位于煤层顶板10-</w:t>
      </w:r>
      <w:r>
        <w:rPr>
          <w:rFonts w:hint="eastAsia" w:ascii="仿宋" w:hAnsi="仿宋" w:eastAsia="仿宋" w:cs="仿宋"/>
          <w:color w:val="000000" w:themeColor="text1"/>
          <w:sz w:val="24"/>
          <w:lang w:val="en-US" w:eastAsia="zh-CN"/>
          <w14:textFill>
            <w14:solidFill>
              <w14:schemeClr w14:val="tx1"/>
            </w14:solidFill>
          </w14:textFill>
        </w:rPr>
        <w:t>65</w:t>
      </w:r>
      <w:r>
        <w:rPr>
          <w:rFonts w:hint="eastAsia" w:ascii="仿宋" w:hAnsi="仿宋" w:eastAsia="仿宋" w:cs="仿宋"/>
          <w:color w:val="000000" w:themeColor="text1"/>
          <w:sz w:val="24"/>
          <w14:textFill>
            <w14:solidFill>
              <w14:schemeClr w14:val="tx1"/>
            </w14:solidFill>
          </w14:textFill>
        </w:rPr>
        <w:t>m范围。</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3、高位钻孔抽采管路布置及高位钻孔封孔工艺</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回采前，在1303机巷、风巷各布置一趟DN300抽采管路与低负压永久抽采系统并网。从1303机、风巷巷口至工作面在每个钻场附近设置短接炮头，用以连接高位钻孔。抽采主管路与钻场炮头之间使用不低于3根φ100mm抽放软管进行连接。高位钻孔封孔采用“两堵一注”方式，钻孔封孔管为φ73mmPE套管，封孔长度不小于20m。</w:t>
      </w:r>
    </w:p>
    <w:p>
      <w:pPr>
        <w:keepNext w:val="0"/>
        <w:keepLines w:val="0"/>
        <w:pageBreakBefore w:val="0"/>
        <w:widowControl/>
        <w:kinsoku/>
        <w:wordWrap/>
        <w:overflowPunct/>
        <w:topLinePunct w:val="0"/>
        <w:autoSpaceDE/>
        <w:autoSpaceDN/>
        <w:bidi w:val="0"/>
        <w:snapToGrid w:val="0"/>
        <w:spacing w:line="360" w:lineRule="auto"/>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（三）DN300埋管抽采回风隅角瓦斯</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回采期间，为保证1303工作面回风流、回风隅角甲烷浓度符合规定，采取DN300埋管抽采隅角瓦斯，管路与矿井低负压永久抽采系统并网。</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风巷隅角埋管采用迈步压茬的方式。随着工作面推进，主管路孔口进入风巷采空区，抽采范围为采空区6-</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0m。实际抽采过程中，可根据埋管内CO及瓦斯浓度进行适当动态调整抽采范围（最深不超过50m）。为保证抽采效果，埋管孔口应尽量靠近巷道顶板，孔口进入采空区前在孔口安装滤网，防止杂物进入管路。</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工作面现场开采条件及通风方式，工作面初采期间、回采至瓦斯富集区、大倾角（＞12°）回采区域及机巷钻孔交替过渡阶段期间，为防止隅角及回风流瓦斯增大，进一步增强抽采采空区瓦斯能力，根据需要设置机巷隅角埋管抽采采空区瓦斯，抽采范围为采空区24-54m。实际抽采过程中，可根据埋管内CO及瓦斯浓度进行适当动态调整抽采范围（最深不超过60m）。为保证抽采效果，上下隅角埋管孔口应尽量靠近巷道顶板，孔口进入采空区前在孔口安装滤网，防止杂物进入管路。左、右两帮抽采管路使用不低于3根φ100mm的软管进行转接。</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4、其他未尽内容见《1303工作面瓦斯抽采设计》。</w:t>
      </w:r>
    </w:p>
    <w:p>
      <w:pPr>
        <w:pStyle w:val="12"/>
        <w:keepNext w:val="0"/>
        <w:keepLines w:val="0"/>
        <w:pageBreakBefore w:val="0"/>
        <w:kinsoku/>
        <w:wordWrap/>
        <w:overflowPunct/>
        <w:topLinePunct w:val="0"/>
        <w:autoSpaceDE/>
        <w:autoSpaceDN/>
        <w:bidi w:val="0"/>
        <w:adjustRightInd w:val="0"/>
        <w:snapToGrid w:val="0"/>
        <w:spacing w:after="0" w:line="360" w:lineRule="auto"/>
        <w:ind w:firstLine="0" w:firstLineChars="0"/>
        <w:textAlignment w:val="auto"/>
        <w:rPr>
          <w:rFonts w:ascii="仿宋" w:hAnsi="仿宋" w:eastAsia="仿宋" w:cs="仿宋"/>
          <w:b/>
          <w:bCs/>
          <w:color w:val="000000" w:themeColor="text1"/>
          <w:spacing w:val="-4"/>
          <w:sz w:val="24"/>
          <w14:textFill>
            <w14:solidFill>
              <w14:schemeClr w14:val="tx1"/>
            </w14:solidFill>
          </w14:textFill>
        </w:rPr>
      </w:pPr>
      <w:r>
        <w:rPr>
          <w:rFonts w:hint="eastAsia" w:ascii="仿宋" w:hAnsi="仿宋" w:eastAsia="仿宋" w:cs="仿宋"/>
          <w:b/>
          <w:bCs/>
          <w:color w:val="000000" w:themeColor="text1"/>
          <w:spacing w:val="-4"/>
          <w:sz w:val="24"/>
          <w14:textFill>
            <w14:solidFill>
              <w14:schemeClr w14:val="tx1"/>
            </w14:solidFill>
          </w14:textFill>
        </w:rPr>
        <w:t>（三）瓦斯抽放系统管理</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1、管路安装按照设计线路及尺寸进行，管路尽可能不弯曲，靠帮敷设，距底板高度不小于300mm，避免矿车撞击。</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2、管路采用法兰盘或快速接头接合，接口处加垫圈严防漏气，胶皮垫的厚度不小于5mm，并用螺丝加金属垫圈紧固。</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3、井下所有瓦斯管路不得同带电物体相接触，并制定防止砸坏的措施。</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4、所有瓦斯管路安装后，均要做气密性试验，确保不漏气。</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5、瓦斯管路铁质物件应采取防腐、防锈蚀措施。</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6、管路敷设要求平直，尽量避免急弯，转弯处需使用膨胀节链接。</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7、动态分析瓦斯抽放参数变化趋势，及时采取措施，提高抽放效果。</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8、在运输设备、物料等时，应注意保护好瓦斯管路，严禁破坏或碰撞管路。抽放管路一旦被破坏，责任人立即汇报矿调度指挥中心，矿调度应立即联系，进行处理。</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9、定期派人巡查抽放管路，发现漏气、积水时及时处理。</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10、对子系统、孔板流量计、钻孔等进行挂牌，并实行动态管理。</w:t>
      </w:r>
    </w:p>
    <w:p>
      <w:pPr>
        <w:pStyle w:val="12"/>
        <w:keepNext w:val="0"/>
        <w:keepLines w:val="0"/>
        <w:pageBreakBefore w:val="0"/>
        <w:kinsoku/>
        <w:wordWrap/>
        <w:overflowPunct/>
        <w:topLinePunct w:val="0"/>
        <w:autoSpaceDE/>
        <w:autoSpaceDN/>
        <w:bidi w:val="0"/>
        <w:adjustRightInd w:val="0"/>
        <w:snapToGrid w:val="0"/>
        <w:spacing w:after="0" w:line="360" w:lineRule="auto"/>
        <w:ind w:firstLine="0" w:firstLineChars="0"/>
        <w:textAlignment w:val="auto"/>
        <w:rPr>
          <w:rFonts w:ascii="仿宋" w:hAnsi="仿宋" w:eastAsia="仿宋" w:cs="仿宋"/>
          <w:b/>
          <w:bCs/>
          <w:color w:val="000000" w:themeColor="text1"/>
          <w:spacing w:val="-4"/>
          <w:sz w:val="24"/>
          <w14:textFill>
            <w14:solidFill>
              <w14:schemeClr w14:val="tx1"/>
            </w14:solidFill>
          </w14:textFill>
        </w:rPr>
      </w:pPr>
      <w:r>
        <w:rPr>
          <w:rFonts w:hint="eastAsia" w:ascii="仿宋" w:hAnsi="仿宋" w:eastAsia="仿宋" w:cs="仿宋"/>
          <w:b/>
          <w:bCs/>
          <w:color w:val="000000" w:themeColor="text1"/>
          <w:spacing w:val="-4"/>
          <w:sz w:val="24"/>
          <w14:textFill>
            <w14:solidFill>
              <w14:schemeClr w14:val="tx1"/>
            </w14:solidFill>
          </w14:textFill>
        </w:rPr>
        <w:t xml:space="preserve">三、综合防尘管理 </w:t>
      </w:r>
    </w:p>
    <w:p>
      <w:pPr>
        <w:pStyle w:val="12"/>
        <w:keepNext w:val="0"/>
        <w:keepLines w:val="0"/>
        <w:pageBreakBefore w:val="0"/>
        <w:kinsoku/>
        <w:wordWrap/>
        <w:overflowPunct/>
        <w:topLinePunct w:val="0"/>
        <w:autoSpaceDE/>
        <w:autoSpaceDN/>
        <w:bidi w:val="0"/>
        <w:adjustRightInd w:val="0"/>
        <w:snapToGrid w:val="0"/>
        <w:spacing w:after="0" w:line="360" w:lineRule="auto"/>
        <w:ind w:firstLine="0" w:firstLineChars="0"/>
        <w:textAlignment w:val="auto"/>
        <w:rPr>
          <w:rFonts w:ascii="仿宋" w:hAnsi="仿宋" w:eastAsia="仿宋" w:cs="仿宋"/>
          <w:b/>
          <w:bCs/>
          <w:color w:val="000000" w:themeColor="text1"/>
          <w:spacing w:val="-4"/>
          <w:sz w:val="24"/>
          <w14:textFill>
            <w14:solidFill>
              <w14:schemeClr w14:val="tx1"/>
            </w14:solidFill>
          </w14:textFill>
        </w:rPr>
      </w:pPr>
      <w:r>
        <w:rPr>
          <w:rFonts w:hint="eastAsia" w:ascii="仿宋" w:hAnsi="仿宋" w:eastAsia="仿宋" w:cs="仿宋"/>
          <w:b/>
          <w:bCs/>
          <w:color w:val="000000" w:themeColor="text1"/>
          <w:spacing w:val="-4"/>
          <w:sz w:val="24"/>
          <w14:textFill>
            <w14:solidFill>
              <w14:schemeClr w14:val="tx1"/>
            </w14:solidFill>
          </w14:textFill>
        </w:rPr>
        <w:t>（一）一般规定</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1、回采时，开启进回风巷道内的所有防尘喷雾。出煤系统各转载点设齐防尘喷雾装置并保持完好，做到带式输送机运行时，转载喷雾开启。所有喷雾必须雾化效果好。</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采煤机必须安装内、外喷雾装置。割煤时必须喷雾降尘，内喷雾工作压力不得低于2Mpa，外喷雾工作压力不得低于4Mpa，喷雾流量应当与机型相匹配。无水或者喷雾装置不能正常使用时必须停机；液压支架和采煤工作面的放煤口，必须安装喷雾装置，降柱、移架或放煤时同步开启喷雾。破碎机必须安装防尘罩，并加装喷雾装置或者除尘器。所有喷雾必须雾化效果好。</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3、冲洗巷帮：作业前后，冲洗巷帮、顶，清除散落在巷道四周的粉尘。工作面及工作面向外50m范围内进回风巷道每小班冲刷、清扫一次，50m范围外进回风巷道每圆班洒水、清扫降尘一次，并清除堆积的浮尘（煤）。</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4、回采工作面在距离工作面端头30m范围的进回风巷道内内必须安设2道净化喷雾装置，净化喷雾要及时前移。净化喷雾必须封闭巷道全断面，灵敏可靠、雾化好，使用正常。</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6、转载喷雾的安装必须符合规定，喷雾头距转载点的高度不得超过0.5m，并且能覆盖滚筒，并进行编号挂牌管理。转载点落差超过0.5m，必须安装溜槽或者导向板、全封闭防尘罩。防尘罩下部挡帘与下方皮带机要严丝合缝，皮带机挡帘根据需要调整长度，与接煤（岩）皮带距离不大于0.1m。各个防尘设施安装必须符合《招贤矿业一通三防技术管理规定》要求。</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7、工作面及两巷需要喷浆拌料时净化水幕必须开启使用，喷浆机等电器设备的摆放不能影响防尘设施的使用。锚喷作业点下风向100m范围内应当设置2道风流净化水幕。净化水幕必须封闭巷道全断面，灵敏可靠、雾化好。</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8、使用巷修机，施工地点前后20m范围内的巷道经常洒水降尘，出煤时必须洒水。巷道修护期间必须经常洒水降尘，施工锚索、锚杆必须全程带水施工。</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9、风流净化水幕之间的软管必须并联，不得采用串联。风流净化水幕必须挂牌管理，应明确责任人和编号，每天进行巡查，发现损坏及无法使用，必须及时整改。</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10、支架喷雾降尘装置保必须持完好并正常使用，升降支架、移架、放煤时开启喷雾进行降尘。</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11、回采工作面必须采取湿式钻眼、冲刷巷帮、水炮泥、爆破喷雾、装煤（岩）洒水和净化通风等综合防尘措施。所有钻眼施工必须采取湿式作业。锚喷支护作业必须采用潮料喷浆。在遇水膨胀的岩层中不能采用湿式钻眼(孔)难以采取湿式钻孔作业时，可以采取干式钻孔(眼)，但必须采取捕尘、降尘措施。</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12、作业人员坚持佩戴防尘口罩，做好个人防护。</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13、巷道冲刷需建立巷道冲刷台账，未记录冲刷台账的视为未冲刷巷道。每月月初5号之前，生产单位需将上月巷道冲刷台账、隔爆设施巡查记录送至通防部保存，以便检查。</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14、严格控制风速，防止粉尘飞扬。严禁粉尘堆积，积尘（连续5m，厚度2mm）要及时清除。</w:t>
      </w:r>
    </w:p>
    <w:p>
      <w:pPr>
        <w:pStyle w:val="12"/>
        <w:keepNext w:val="0"/>
        <w:keepLines w:val="0"/>
        <w:pageBreakBefore w:val="0"/>
        <w:kinsoku/>
        <w:wordWrap/>
        <w:overflowPunct/>
        <w:topLinePunct w:val="0"/>
        <w:autoSpaceDE/>
        <w:autoSpaceDN/>
        <w:bidi w:val="0"/>
        <w:adjustRightInd w:val="0"/>
        <w:snapToGrid w:val="0"/>
        <w:spacing w:after="0" w:line="360" w:lineRule="auto"/>
        <w:ind w:firstLine="0" w:firstLineChars="0"/>
        <w:textAlignment w:val="auto"/>
        <w:rPr>
          <w:rFonts w:ascii="仿宋" w:hAnsi="仿宋" w:eastAsia="仿宋" w:cs="仿宋"/>
          <w:b/>
          <w:color w:val="000000" w:themeColor="text1"/>
          <w:spacing w:val="-4"/>
          <w:sz w:val="24"/>
          <w14:textFill>
            <w14:solidFill>
              <w14:schemeClr w14:val="tx1"/>
            </w14:solidFill>
          </w14:textFill>
        </w:rPr>
      </w:pPr>
      <w:r>
        <w:rPr>
          <w:rFonts w:hint="eastAsia" w:ascii="仿宋" w:hAnsi="仿宋" w:eastAsia="仿宋" w:cs="仿宋"/>
          <w:b/>
          <w:color w:val="000000" w:themeColor="text1"/>
          <w:spacing w:val="-4"/>
          <w:sz w:val="24"/>
          <w14:textFill>
            <w14:solidFill>
              <w14:schemeClr w14:val="tx1"/>
            </w14:solidFill>
          </w14:textFill>
        </w:rPr>
        <w:t>（二）综合防尘系统</w:t>
      </w:r>
    </w:p>
    <w:p>
      <w:pPr>
        <w:pStyle w:val="12"/>
        <w:keepNext w:val="0"/>
        <w:keepLines w:val="0"/>
        <w:pageBreakBefore w:val="0"/>
        <w:kinsoku/>
        <w:wordWrap/>
        <w:overflowPunct/>
        <w:topLinePunct w:val="0"/>
        <w:autoSpaceDE/>
        <w:autoSpaceDN/>
        <w:bidi w:val="0"/>
        <w:adjustRightInd w:val="0"/>
        <w:snapToGrid w:val="0"/>
        <w:spacing w:after="0" w:line="360" w:lineRule="auto"/>
        <w:ind w:firstLine="0" w:firstLineChars="0"/>
        <w:textAlignment w:val="auto"/>
        <w:rPr>
          <w:rFonts w:ascii="仿宋" w:hAnsi="仿宋" w:eastAsia="仿宋" w:cs="仿宋"/>
          <w:b/>
          <w:color w:val="000000" w:themeColor="text1"/>
          <w:spacing w:val="-4"/>
          <w:sz w:val="24"/>
          <w14:textFill>
            <w14:solidFill>
              <w14:schemeClr w14:val="tx1"/>
            </w14:solidFill>
          </w14:textFill>
        </w:rPr>
      </w:pPr>
      <w:r>
        <w:rPr>
          <w:rFonts w:hint="eastAsia" w:ascii="仿宋" w:hAnsi="仿宋" w:eastAsia="仿宋" w:cs="仿宋"/>
          <w:b/>
          <w:color w:val="000000" w:themeColor="text1"/>
          <w:spacing w:val="-4"/>
          <w:sz w:val="24"/>
          <w14:textFill>
            <w14:solidFill>
              <w14:schemeClr w14:val="tx1"/>
            </w14:solidFill>
          </w14:textFill>
        </w:rPr>
        <w:t>1、防尘水源</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井下防尘系统由地面水池供给井下各采掘工作面水源。防尘管路和设施按规定敷设。矿井防尘管路管径、供水压力满足安全生产。电器设备的摆放不能影响防尘设施的使用。</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（1）使用地面水池，通过供水管路传输到工作面，水压约为2～4MPa。</w:t>
      </w:r>
      <w:bookmarkStart w:id="301" w:name="_Toc404688268"/>
      <w:bookmarkStart w:id="302" w:name="_Toc404706220"/>
      <w:bookmarkStart w:id="303" w:name="_Toc232929346"/>
      <w:r>
        <w:rPr>
          <w:rFonts w:hint="eastAsia" w:ascii="仿宋" w:hAnsi="仿宋" w:eastAsia="仿宋" w:cs="仿宋"/>
          <w:color w:val="000000" w:themeColor="text1"/>
          <w:spacing w:val="-4"/>
          <w:sz w:val="24"/>
          <w14:textFill>
            <w14:solidFill>
              <w14:schemeClr w14:val="tx1"/>
            </w14:solidFill>
          </w14:textFill>
        </w:rPr>
        <w:t>供水管路的管径与强度应能满足该区段负载的水压和水量。防尘管路应吊挂牢固、平直，并进行防锈处理。</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（2）机、风巷各安装一趟Ф108mm防尘供水管路，使用带式输送机运输的巷道（1303机巷），防尘管路每隔50m设一个三通阀门，</w:t>
      </w:r>
      <w:r>
        <w:rPr>
          <w:rFonts w:hint="eastAsia" w:ascii="仿宋" w:hAnsi="仿宋" w:eastAsia="仿宋" w:cs="仿宋"/>
          <w:color w:val="000000" w:themeColor="text1"/>
          <w:spacing w:val="-4"/>
          <w:sz w:val="24"/>
          <w:lang w:val="en-US" w:eastAsia="zh-CN"/>
          <w14:textFill>
            <w14:solidFill>
              <w14:schemeClr w14:val="tx1"/>
            </w14:solidFill>
          </w14:textFill>
        </w:rPr>
        <w:t>其他</w:t>
      </w:r>
      <w:r>
        <w:rPr>
          <w:rFonts w:hint="eastAsia" w:ascii="仿宋" w:hAnsi="仿宋" w:eastAsia="仿宋" w:cs="仿宋"/>
          <w:color w:val="000000" w:themeColor="text1"/>
          <w:spacing w:val="-4"/>
          <w:sz w:val="24"/>
          <w14:textFill>
            <w14:solidFill>
              <w14:schemeClr w14:val="tx1"/>
            </w14:solidFill>
          </w14:textFill>
        </w:rPr>
        <w:t>巷道防尘管路每隔100m设一个三通阀门，转载点、硐室口、巷道交岔点也都应设三通闸阀。</w:t>
      </w:r>
    </w:p>
    <w:p>
      <w:pPr>
        <w:pStyle w:val="12"/>
        <w:keepNext w:val="0"/>
        <w:keepLines w:val="0"/>
        <w:pageBreakBefore w:val="0"/>
        <w:kinsoku/>
        <w:wordWrap/>
        <w:overflowPunct/>
        <w:topLinePunct w:val="0"/>
        <w:autoSpaceDE/>
        <w:autoSpaceDN/>
        <w:bidi w:val="0"/>
        <w:adjustRightInd w:val="0"/>
        <w:snapToGrid w:val="0"/>
        <w:spacing w:after="0" w:line="360" w:lineRule="auto"/>
        <w:ind w:firstLine="0" w:firstLineChars="0"/>
        <w:textAlignment w:val="auto"/>
        <w:rPr>
          <w:rFonts w:ascii="仿宋" w:hAnsi="仿宋" w:eastAsia="仿宋" w:cs="仿宋"/>
          <w:b/>
          <w:color w:val="000000" w:themeColor="text1"/>
          <w:spacing w:val="-4"/>
          <w:sz w:val="24"/>
          <w14:textFill>
            <w14:solidFill>
              <w14:schemeClr w14:val="tx1"/>
            </w14:solidFill>
          </w14:textFill>
        </w:rPr>
      </w:pPr>
      <w:r>
        <w:rPr>
          <w:rFonts w:hint="eastAsia" w:ascii="仿宋" w:hAnsi="仿宋" w:eastAsia="仿宋" w:cs="仿宋"/>
          <w:b/>
          <w:color w:val="000000" w:themeColor="text1"/>
          <w:spacing w:val="-4"/>
          <w:sz w:val="24"/>
          <w14:textFill>
            <w14:solidFill>
              <w14:schemeClr w14:val="tx1"/>
            </w14:solidFill>
          </w14:textFill>
        </w:rPr>
        <w:t>2、</w:t>
      </w:r>
      <w:bookmarkEnd w:id="301"/>
      <w:bookmarkEnd w:id="302"/>
      <w:bookmarkEnd w:id="303"/>
      <w:bookmarkStart w:id="304" w:name="_Toc232929347"/>
      <w:bookmarkStart w:id="305" w:name="_Toc404688269"/>
      <w:bookmarkStart w:id="306" w:name="_Toc404706221"/>
      <w:r>
        <w:rPr>
          <w:rFonts w:hint="eastAsia" w:ascii="仿宋" w:hAnsi="仿宋" w:eastAsia="仿宋" w:cs="仿宋"/>
          <w:b/>
          <w:color w:val="000000" w:themeColor="text1"/>
          <w:spacing w:val="-4"/>
          <w:sz w:val="24"/>
          <w14:textFill>
            <w14:solidFill>
              <w14:schemeClr w14:val="tx1"/>
            </w14:solidFill>
          </w14:textFill>
        </w:rPr>
        <w:t>隔爆设施安装及管理</w:t>
      </w:r>
      <w:bookmarkEnd w:id="304"/>
      <w:bookmarkEnd w:id="305"/>
      <w:bookmarkEnd w:id="306"/>
    </w:p>
    <w:p>
      <w:pPr>
        <w:pStyle w:val="12"/>
        <w:keepNext w:val="0"/>
        <w:keepLines w:val="0"/>
        <w:pageBreakBefore w:val="0"/>
        <w:kinsoku/>
        <w:wordWrap/>
        <w:overflowPunct/>
        <w:topLinePunct w:val="0"/>
        <w:autoSpaceDE/>
        <w:autoSpaceDN/>
        <w:bidi w:val="0"/>
        <w:adjustRightInd w:val="0"/>
        <w:snapToGrid w:val="0"/>
        <w:spacing w:after="0" w:line="360" w:lineRule="auto"/>
        <w:ind w:firstLine="0" w:firstLineChars="0"/>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（1）隔爆设施安装</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fldChar w:fldCharType="begin"/>
      </w:r>
      <w:r>
        <w:rPr>
          <w:rFonts w:ascii="仿宋" w:hAnsi="仿宋" w:eastAsia="仿宋" w:cs="仿宋"/>
          <w:color w:val="000000" w:themeColor="text1"/>
          <w:spacing w:val="-4"/>
          <w:sz w:val="24"/>
          <w14:textFill>
            <w14:solidFill>
              <w14:schemeClr w14:val="tx1"/>
            </w14:solidFill>
          </w14:textFill>
        </w:rPr>
        <w:instrText xml:space="preserve"> </w:instrText>
      </w:r>
      <w:r>
        <w:rPr>
          <w:rFonts w:hint="eastAsia" w:ascii="仿宋" w:hAnsi="仿宋" w:eastAsia="仿宋" w:cs="仿宋"/>
          <w:color w:val="000000" w:themeColor="text1"/>
          <w:spacing w:val="-4"/>
          <w:sz w:val="24"/>
          <w14:textFill>
            <w14:solidFill>
              <w14:schemeClr w14:val="tx1"/>
            </w14:solidFill>
          </w14:textFill>
        </w:rPr>
        <w:instrText xml:space="preserve">= 1 \* GB3</w:instrText>
      </w:r>
      <w:r>
        <w:rPr>
          <w:rFonts w:ascii="仿宋" w:hAnsi="仿宋" w:eastAsia="仿宋" w:cs="仿宋"/>
          <w:color w:val="000000" w:themeColor="text1"/>
          <w:spacing w:val="-4"/>
          <w:sz w:val="24"/>
          <w14:textFill>
            <w14:solidFill>
              <w14:schemeClr w14:val="tx1"/>
            </w14:solidFill>
          </w14:textFill>
        </w:rPr>
        <w:instrText xml:space="preserve"> </w:instrText>
      </w:r>
      <w:r>
        <w:rPr>
          <w:rFonts w:ascii="仿宋" w:hAnsi="仿宋" w:eastAsia="仿宋" w:cs="仿宋"/>
          <w:color w:val="000000" w:themeColor="text1"/>
          <w:spacing w:val="-4"/>
          <w:sz w:val="24"/>
          <w14:textFill>
            <w14:solidFill>
              <w14:schemeClr w14:val="tx1"/>
            </w14:solidFill>
          </w14:textFill>
        </w:rPr>
        <w:fldChar w:fldCharType="separate"/>
      </w:r>
      <w:r>
        <w:rPr>
          <w:rFonts w:hint="eastAsia" w:ascii="仿宋" w:hAnsi="仿宋" w:eastAsia="仿宋" w:cs="仿宋"/>
          <w:color w:val="000000" w:themeColor="text1"/>
          <w:spacing w:val="-4"/>
          <w:sz w:val="24"/>
          <w14:textFill>
            <w14:solidFill>
              <w14:schemeClr w14:val="tx1"/>
            </w14:solidFill>
          </w14:textFill>
        </w:rPr>
        <w:t>①</w:t>
      </w:r>
      <w:r>
        <w:rPr>
          <w:rFonts w:ascii="仿宋" w:hAnsi="仿宋" w:eastAsia="仿宋" w:cs="仿宋"/>
          <w:color w:val="000000" w:themeColor="text1"/>
          <w:spacing w:val="-4"/>
          <w:sz w:val="24"/>
          <w14:textFill>
            <w14:solidFill>
              <w14:schemeClr w14:val="tx1"/>
            </w14:solidFill>
          </w14:textFill>
        </w:rPr>
        <w:fldChar w:fldCharType="end"/>
      </w:r>
      <w:r>
        <w:rPr>
          <w:rFonts w:hint="eastAsia" w:ascii="仿宋" w:hAnsi="仿宋" w:eastAsia="仿宋" w:cs="仿宋"/>
          <w:color w:val="000000" w:themeColor="text1"/>
          <w:spacing w:val="-4"/>
          <w:sz w:val="24"/>
          <w14:textFill>
            <w14:solidFill>
              <w14:schemeClr w14:val="tx1"/>
            </w14:solidFill>
          </w14:textFill>
        </w:rPr>
        <w:t>回采工作面必须安装隔爆设施。若采用隔爆水棚，每个隔爆水袋最小容积40L，每平方米不少于200L水量。水棚长度不少于20m，首列棚在距工作面端头60-200m范围内。机巷、风巷每隔200m安装一组隔爆水棚，水棚的排间距应为1.2～3.0m。水棚应设置在巷道的直线段内，距顶梁、两帮的间隙不得小于100mm，距巷道的轨面不小于1.8m。棚组内的各排水棚的安装高度应保持一致。水棚与巷道的交叉口、转弯处、变坡处之间的距离不得小于50m。</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fldChar w:fldCharType="begin"/>
      </w:r>
      <w:r>
        <w:rPr>
          <w:rFonts w:ascii="仿宋" w:hAnsi="仿宋" w:eastAsia="仿宋" w:cs="仿宋"/>
          <w:color w:val="000000" w:themeColor="text1"/>
          <w:spacing w:val="-4"/>
          <w:sz w:val="24"/>
          <w14:textFill>
            <w14:solidFill>
              <w14:schemeClr w14:val="tx1"/>
            </w14:solidFill>
          </w14:textFill>
        </w:rPr>
        <w:instrText xml:space="preserve"> </w:instrText>
      </w:r>
      <w:r>
        <w:rPr>
          <w:rFonts w:hint="eastAsia" w:ascii="仿宋" w:hAnsi="仿宋" w:eastAsia="仿宋" w:cs="仿宋"/>
          <w:color w:val="000000" w:themeColor="text1"/>
          <w:spacing w:val="-4"/>
          <w:sz w:val="24"/>
          <w14:textFill>
            <w14:solidFill>
              <w14:schemeClr w14:val="tx1"/>
            </w14:solidFill>
          </w14:textFill>
        </w:rPr>
        <w:instrText xml:space="preserve">= 2 \* GB3</w:instrText>
      </w:r>
      <w:r>
        <w:rPr>
          <w:rFonts w:ascii="仿宋" w:hAnsi="仿宋" w:eastAsia="仿宋" w:cs="仿宋"/>
          <w:color w:val="000000" w:themeColor="text1"/>
          <w:spacing w:val="-4"/>
          <w:sz w:val="24"/>
          <w14:textFill>
            <w14:solidFill>
              <w14:schemeClr w14:val="tx1"/>
            </w14:solidFill>
          </w14:textFill>
        </w:rPr>
        <w:instrText xml:space="preserve"> </w:instrText>
      </w:r>
      <w:r>
        <w:rPr>
          <w:rFonts w:ascii="仿宋" w:hAnsi="仿宋" w:eastAsia="仿宋" w:cs="仿宋"/>
          <w:color w:val="000000" w:themeColor="text1"/>
          <w:spacing w:val="-4"/>
          <w:sz w:val="24"/>
          <w14:textFill>
            <w14:solidFill>
              <w14:schemeClr w14:val="tx1"/>
            </w14:solidFill>
          </w14:textFill>
        </w:rPr>
        <w:fldChar w:fldCharType="separate"/>
      </w:r>
      <w:r>
        <w:rPr>
          <w:rFonts w:hint="eastAsia" w:ascii="仿宋" w:hAnsi="仿宋" w:eastAsia="仿宋" w:cs="仿宋"/>
          <w:color w:val="000000" w:themeColor="text1"/>
          <w:spacing w:val="-4"/>
          <w:sz w:val="24"/>
          <w14:textFill>
            <w14:solidFill>
              <w14:schemeClr w14:val="tx1"/>
            </w14:solidFill>
          </w14:textFill>
        </w:rPr>
        <w:t>②</w:t>
      </w:r>
      <w:r>
        <w:rPr>
          <w:rFonts w:ascii="仿宋" w:hAnsi="仿宋" w:eastAsia="仿宋" w:cs="仿宋"/>
          <w:color w:val="000000" w:themeColor="text1"/>
          <w:spacing w:val="-4"/>
          <w:sz w:val="24"/>
          <w14:textFill>
            <w14:solidFill>
              <w14:schemeClr w14:val="tx1"/>
            </w14:solidFill>
          </w14:textFill>
        </w:rPr>
        <w:fldChar w:fldCharType="end"/>
      </w:r>
      <w:r>
        <w:rPr>
          <w:rFonts w:hint="eastAsia" w:ascii="仿宋" w:hAnsi="仿宋" w:eastAsia="仿宋" w:cs="仿宋"/>
          <w:color w:val="000000" w:themeColor="text1"/>
          <w:spacing w:val="-4"/>
          <w:sz w:val="24"/>
          <w14:textFill>
            <w14:solidFill>
              <w14:schemeClr w14:val="tx1"/>
            </w14:solidFill>
          </w14:textFill>
        </w:rPr>
        <w:t>巷道内若安装型号ZGJFH35自动隔爆装置作为隔绝煤尘爆炸措施</w:t>
      </w:r>
      <w:r>
        <w:rPr>
          <w:rFonts w:hint="eastAsia" w:ascii="仿宋" w:hAnsi="仿宋" w:eastAsia="仿宋" w:cs="仿宋"/>
          <w:color w:val="000000" w:themeColor="text1"/>
          <w:spacing w:val="-4"/>
          <w:sz w:val="24"/>
          <w:lang w:val="en-US" w:eastAsia="zh-CN"/>
          <w14:textFill>
            <w14:solidFill>
              <w14:schemeClr w14:val="tx1"/>
            </w14:solidFill>
          </w14:textFill>
        </w:rPr>
        <w:t>不再安装防爆水袋。</w:t>
      </w:r>
      <w:r>
        <w:rPr>
          <w:rFonts w:hint="eastAsia" w:ascii="仿宋" w:hAnsi="仿宋" w:eastAsia="仿宋" w:cs="仿宋"/>
          <w:color w:val="000000" w:themeColor="text1"/>
          <w:spacing w:val="-4"/>
          <w:sz w:val="24"/>
          <w14:textFill>
            <w14:solidFill>
              <w14:schemeClr w14:val="tx1"/>
            </w14:solidFill>
          </w14:textFill>
        </w:rPr>
        <w:t>煤巷及半煤岩巷中，自动隔爆装置介质质量不得小于35kg。煤巷、半煤岩巷间距200m安装一套自动隔爆装置。</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自动隔爆装置必须包括如下部分：（a）主体部分：贮存和快速喷洒消炎剂的部件；（b）冲击波接收器：用于接收爆炸冲击波，并将冲击波的冲击作用传递到装置主体的部件，包括方形（圆形）冲击波接收盘（板）、垫圈及推杆；（c）吊挂装置：又分为左吊挂和右吊挂部分，用于将装置牢固的固定在巷道顶板上。</w:t>
      </w:r>
    </w:p>
    <w:p>
      <w:pPr>
        <w:pStyle w:val="12"/>
        <w:keepNext w:val="0"/>
        <w:keepLines w:val="0"/>
        <w:pageBreakBefore w:val="0"/>
        <w:kinsoku/>
        <w:wordWrap/>
        <w:overflowPunct/>
        <w:topLinePunct w:val="0"/>
        <w:autoSpaceDE/>
        <w:autoSpaceDN/>
        <w:bidi w:val="0"/>
        <w:adjustRightInd w:val="0"/>
        <w:snapToGrid w:val="0"/>
        <w:spacing w:after="0" w:line="360" w:lineRule="auto"/>
        <w:ind w:firstLine="0" w:firstLineChars="0"/>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（2）隔爆设施管理</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fldChar w:fldCharType="begin"/>
      </w:r>
      <w:r>
        <w:rPr>
          <w:rFonts w:ascii="仿宋" w:hAnsi="仿宋" w:eastAsia="仿宋" w:cs="仿宋"/>
          <w:color w:val="000000" w:themeColor="text1"/>
          <w:spacing w:val="-4"/>
          <w:sz w:val="24"/>
          <w14:textFill>
            <w14:solidFill>
              <w14:schemeClr w14:val="tx1"/>
            </w14:solidFill>
          </w14:textFill>
        </w:rPr>
        <w:instrText xml:space="preserve"> </w:instrText>
      </w:r>
      <w:r>
        <w:rPr>
          <w:rFonts w:hint="eastAsia" w:ascii="仿宋" w:hAnsi="仿宋" w:eastAsia="仿宋" w:cs="仿宋"/>
          <w:color w:val="000000" w:themeColor="text1"/>
          <w:spacing w:val="-4"/>
          <w:sz w:val="24"/>
          <w14:textFill>
            <w14:solidFill>
              <w14:schemeClr w14:val="tx1"/>
            </w14:solidFill>
          </w14:textFill>
        </w:rPr>
        <w:instrText xml:space="preserve">= 1 \* GB3</w:instrText>
      </w:r>
      <w:r>
        <w:rPr>
          <w:rFonts w:ascii="仿宋" w:hAnsi="仿宋" w:eastAsia="仿宋" w:cs="仿宋"/>
          <w:color w:val="000000" w:themeColor="text1"/>
          <w:spacing w:val="-4"/>
          <w:sz w:val="24"/>
          <w14:textFill>
            <w14:solidFill>
              <w14:schemeClr w14:val="tx1"/>
            </w14:solidFill>
          </w14:textFill>
        </w:rPr>
        <w:instrText xml:space="preserve"> </w:instrText>
      </w:r>
      <w:r>
        <w:rPr>
          <w:rFonts w:ascii="仿宋" w:hAnsi="仿宋" w:eastAsia="仿宋" w:cs="仿宋"/>
          <w:color w:val="000000" w:themeColor="text1"/>
          <w:spacing w:val="-4"/>
          <w:sz w:val="24"/>
          <w14:textFill>
            <w14:solidFill>
              <w14:schemeClr w14:val="tx1"/>
            </w14:solidFill>
          </w14:textFill>
        </w:rPr>
        <w:fldChar w:fldCharType="separate"/>
      </w:r>
      <w:r>
        <w:rPr>
          <w:rFonts w:hint="eastAsia" w:ascii="仿宋" w:hAnsi="仿宋" w:eastAsia="仿宋" w:cs="仿宋"/>
          <w:color w:val="000000" w:themeColor="text1"/>
          <w:spacing w:val="-4"/>
          <w:sz w:val="24"/>
          <w14:textFill>
            <w14:solidFill>
              <w14:schemeClr w14:val="tx1"/>
            </w14:solidFill>
          </w14:textFill>
        </w:rPr>
        <w:t>①</w:t>
      </w:r>
      <w:r>
        <w:rPr>
          <w:rFonts w:ascii="仿宋" w:hAnsi="仿宋" w:eastAsia="仿宋" w:cs="仿宋"/>
          <w:color w:val="000000" w:themeColor="text1"/>
          <w:spacing w:val="-4"/>
          <w:sz w:val="24"/>
          <w14:textFill>
            <w14:solidFill>
              <w14:schemeClr w14:val="tx1"/>
            </w14:solidFill>
          </w14:textFill>
        </w:rPr>
        <w:fldChar w:fldCharType="end"/>
      </w:r>
      <w:r>
        <w:rPr>
          <w:rFonts w:hint="eastAsia" w:ascii="仿宋" w:hAnsi="仿宋" w:eastAsia="仿宋" w:cs="仿宋"/>
          <w:color w:val="000000" w:themeColor="text1"/>
          <w:spacing w:val="-4"/>
          <w:sz w:val="24"/>
          <w14:textFill>
            <w14:solidFill>
              <w14:schemeClr w14:val="tx1"/>
            </w14:solidFill>
          </w14:textFill>
        </w:rPr>
        <w:t>若巷道内安装型号ZGJFH35自动隔爆装置作为隔绝煤尘爆炸措施，在保证自动隔爆装置完好的情况下，不再安装隔爆水棚。</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fldChar w:fldCharType="begin"/>
      </w:r>
      <w:r>
        <w:rPr>
          <w:rFonts w:ascii="仿宋" w:hAnsi="仿宋" w:eastAsia="仿宋" w:cs="仿宋"/>
          <w:color w:val="000000" w:themeColor="text1"/>
          <w:spacing w:val="-4"/>
          <w:sz w:val="24"/>
          <w14:textFill>
            <w14:solidFill>
              <w14:schemeClr w14:val="tx1"/>
            </w14:solidFill>
          </w14:textFill>
        </w:rPr>
        <w:instrText xml:space="preserve"> </w:instrText>
      </w:r>
      <w:r>
        <w:rPr>
          <w:rFonts w:hint="eastAsia" w:ascii="仿宋" w:hAnsi="仿宋" w:eastAsia="仿宋" w:cs="仿宋"/>
          <w:color w:val="000000" w:themeColor="text1"/>
          <w:spacing w:val="-4"/>
          <w:sz w:val="24"/>
          <w14:textFill>
            <w14:solidFill>
              <w14:schemeClr w14:val="tx1"/>
            </w14:solidFill>
          </w14:textFill>
        </w:rPr>
        <w:instrText xml:space="preserve">= 2 \* GB3</w:instrText>
      </w:r>
      <w:r>
        <w:rPr>
          <w:rFonts w:ascii="仿宋" w:hAnsi="仿宋" w:eastAsia="仿宋" w:cs="仿宋"/>
          <w:color w:val="000000" w:themeColor="text1"/>
          <w:spacing w:val="-4"/>
          <w:sz w:val="24"/>
          <w14:textFill>
            <w14:solidFill>
              <w14:schemeClr w14:val="tx1"/>
            </w14:solidFill>
          </w14:textFill>
        </w:rPr>
        <w:instrText xml:space="preserve"> </w:instrText>
      </w:r>
      <w:r>
        <w:rPr>
          <w:rFonts w:ascii="仿宋" w:hAnsi="仿宋" w:eastAsia="仿宋" w:cs="仿宋"/>
          <w:color w:val="000000" w:themeColor="text1"/>
          <w:spacing w:val="-4"/>
          <w:sz w:val="24"/>
          <w14:textFill>
            <w14:solidFill>
              <w14:schemeClr w14:val="tx1"/>
            </w14:solidFill>
          </w14:textFill>
        </w:rPr>
        <w:fldChar w:fldCharType="separate"/>
      </w:r>
      <w:r>
        <w:rPr>
          <w:rFonts w:hint="eastAsia" w:ascii="仿宋" w:hAnsi="仿宋" w:eastAsia="仿宋" w:cs="仿宋"/>
          <w:color w:val="000000" w:themeColor="text1"/>
          <w:spacing w:val="-4"/>
          <w:sz w:val="24"/>
          <w14:textFill>
            <w14:solidFill>
              <w14:schemeClr w14:val="tx1"/>
            </w14:solidFill>
          </w14:textFill>
        </w:rPr>
        <w:t>②</w:t>
      </w:r>
      <w:r>
        <w:rPr>
          <w:rFonts w:ascii="仿宋" w:hAnsi="仿宋" w:eastAsia="仿宋" w:cs="仿宋"/>
          <w:color w:val="000000" w:themeColor="text1"/>
          <w:spacing w:val="-4"/>
          <w:sz w:val="24"/>
          <w14:textFill>
            <w14:solidFill>
              <w14:schemeClr w14:val="tx1"/>
            </w14:solidFill>
          </w14:textFill>
        </w:rPr>
        <w:fldChar w:fldCharType="end"/>
      </w:r>
      <w:r>
        <w:rPr>
          <w:rFonts w:hint="eastAsia" w:ascii="仿宋" w:hAnsi="仿宋" w:eastAsia="仿宋" w:cs="仿宋"/>
          <w:color w:val="000000" w:themeColor="text1"/>
          <w:spacing w:val="-4"/>
          <w:sz w:val="24"/>
          <w14:textFill>
            <w14:solidFill>
              <w14:schemeClr w14:val="tx1"/>
            </w14:solidFill>
          </w14:textFill>
        </w:rPr>
        <w:t>不具备安设隔设施的巷道（如巷道高度、宽度、长度受限或临近收作的工作面），必须设置水幕喷雾洒水、冲洗或清扫巷道等综合隔爆措施。</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fldChar w:fldCharType="begin"/>
      </w:r>
      <w:r>
        <w:rPr>
          <w:rFonts w:ascii="仿宋" w:hAnsi="仿宋" w:eastAsia="仿宋" w:cs="仿宋"/>
          <w:color w:val="000000" w:themeColor="text1"/>
          <w:spacing w:val="-4"/>
          <w:sz w:val="24"/>
          <w14:textFill>
            <w14:solidFill>
              <w14:schemeClr w14:val="tx1"/>
            </w14:solidFill>
          </w14:textFill>
        </w:rPr>
        <w:instrText xml:space="preserve"> </w:instrText>
      </w:r>
      <w:r>
        <w:rPr>
          <w:rFonts w:hint="eastAsia" w:ascii="仿宋" w:hAnsi="仿宋" w:eastAsia="仿宋" w:cs="仿宋"/>
          <w:color w:val="000000" w:themeColor="text1"/>
          <w:spacing w:val="-4"/>
          <w:sz w:val="24"/>
          <w14:textFill>
            <w14:solidFill>
              <w14:schemeClr w14:val="tx1"/>
            </w14:solidFill>
          </w14:textFill>
        </w:rPr>
        <w:instrText xml:space="preserve">= 3 \* GB3</w:instrText>
      </w:r>
      <w:r>
        <w:rPr>
          <w:rFonts w:ascii="仿宋" w:hAnsi="仿宋" w:eastAsia="仿宋" w:cs="仿宋"/>
          <w:color w:val="000000" w:themeColor="text1"/>
          <w:spacing w:val="-4"/>
          <w:sz w:val="24"/>
          <w14:textFill>
            <w14:solidFill>
              <w14:schemeClr w14:val="tx1"/>
            </w14:solidFill>
          </w14:textFill>
        </w:rPr>
        <w:instrText xml:space="preserve"> </w:instrText>
      </w:r>
      <w:r>
        <w:rPr>
          <w:rFonts w:ascii="仿宋" w:hAnsi="仿宋" w:eastAsia="仿宋" w:cs="仿宋"/>
          <w:color w:val="000000" w:themeColor="text1"/>
          <w:spacing w:val="-4"/>
          <w:sz w:val="24"/>
          <w14:textFill>
            <w14:solidFill>
              <w14:schemeClr w14:val="tx1"/>
            </w14:solidFill>
          </w14:textFill>
        </w:rPr>
        <w:fldChar w:fldCharType="separate"/>
      </w:r>
      <w:r>
        <w:rPr>
          <w:rFonts w:hint="eastAsia" w:ascii="仿宋" w:hAnsi="仿宋" w:eastAsia="仿宋" w:cs="仿宋"/>
          <w:color w:val="000000" w:themeColor="text1"/>
          <w:spacing w:val="-4"/>
          <w:sz w:val="24"/>
          <w14:textFill>
            <w14:solidFill>
              <w14:schemeClr w14:val="tx1"/>
            </w14:solidFill>
          </w14:textFill>
        </w:rPr>
        <w:t>③</w:t>
      </w:r>
      <w:r>
        <w:rPr>
          <w:rFonts w:ascii="仿宋" w:hAnsi="仿宋" w:eastAsia="仿宋" w:cs="仿宋"/>
          <w:color w:val="000000" w:themeColor="text1"/>
          <w:spacing w:val="-4"/>
          <w:sz w:val="24"/>
          <w14:textFill>
            <w14:solidFill>
              <w14:schemeClr w14:val="tx1"/>
            </w14:solidFill>
          </w14:textFill>
        </w:rPr>
        <w:fldChar w:fldCharType="end"/>
      </w:r>
      <w:r>
        <w:rPr>
          <w:rFonts w:hint="eastAsia" w:ascii="仿宋" w:hAnsi="仿宋" w:eastAsia="仿宋" w:cs="仿宋"/>
          <w:color w:val="000000" w:themeColor="text1"/>
          <w:spacing w:val="-4"/>
          <w:sz w:val="24"/>
          <w14:textFill>
            <w14:solidFill>
              <w14:schemeClr w14:val="tx1"/>
            </w14:solidFill>
          </w14:textFill>
        </w:rPr>
        <w:t>巷道内安装隔爆水袋时，采煤部每周检查1次隔爆水袋的安装地点、数量、水量及安装质量是否符合要求。发现隔爆水棚缺水、挂钩脱落、水袋损坏等情况，必须立即进行处理。</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fldChar w:fldCharType="begin"/>
      </w:r>
      <w:r>
        <w:rPr>
          <w:rFonts w:ascii="仿宋" w:hAnsi="仿宋" w:eastAsia="仿宋" w:cs="仿宋"/>
          <w:color w:val="000000" w:themeColor="text1"/>
          <w:spacing w:val="-4"/>
          <w:sz w:val="24"/>
          <w14:textFill>
            <w14:solidFill>
              <w14:schemeClr w14:val="tx1"/>
            </w14:solidFill>
          </w14:textFill>
        </w:rPr>
        <w:instrText xml:space="preserve"> </w:instrText>
      </w:r>
      <w:r>
        <w:rPr>
          <w:rFonts w:hint="eastAsia" w:ascii="仿宋" w:hAnsi="仿宋" w:eastAsia="仿宋" w:cs="仿宋"/>
          <w:color w:val="000000" w:themeColor="text1"/>
          <w:spacing w:val="-4"/>
          <w:sz w:val="24"/>
          <w14:textFill>
            <w14:solidFill>
              <w14:schemeClr w14:val="tx1"/>
            </w14:solidFill>
          </w14:textFill>
        </w:rPr>
        <w:instrText xml:space="preserve">= 4 \* GB3</w:instrText>
      </w:r>
      <w:r>
        <w:rPr>
          <w:rFonts w:ascii="仿宋" w:hAnsi="仿宋" w:eastAsia="仿宋" w:cs="仿宋"/>
          <w:color w:val="000000" w:themeColor="text1"/>
          <w:spacing w:val="-4"/>
          <w:sz w:val="24"/>
          <w14:textFill>
            <w14:solidFill>
              <w14:schemeClr w14:val="tx1"/>
            </w14:solidFill>
          </w14:textFill>
        </w:rPr>
        <w:instrText xml:space="preserve"> </w:instrText>
      </w:r>
      <w:r>
        <w:rPr>
          <w:rFonts w:ascii="仿宋" w:hAnsi="仿宋" w:eastAsia="仿宋" w:cs="仿宋"/>
          <w:color w:val="000000" w:themeColor="text1"/>
          <w:spacing w:val="-4"/>
          <w:sz w:val="24"/>
          <w14:textFill>
            <w14:solidFill>
              <w14:schemeClr w14:val="tx1"/>
            </w14:solidFill>
          </w14:textFill>
        </w:rPr>
        <w:fldChar w:fldCharType="separate"/>
      </w:r>
      <w:r>
        <w:rPr>
          <w:rFonts w:hint="eastAsia" w:ascii="仿宋" w:hAnsi="仿宋" w:eastAsia="仿宋" w:cs="仿宋"/>
          <w:color w:val="000000" w:themeColor="text1"/>
          <w:spacing w:val="-4"/>
          <w:sz w:val="24"/>
          <w14:textFill>
            <w14:solidFill>
              <w14:schemeClr w14:val="tx1"/>
            </w14:solidFill>
          </w14:textFill>
        </w:rPr>
        <w:t>④</w:t>
      </w:r>
      <w:r>
        <w:rPr>
          <w:rFonts w:ascii="仿宋" w:hAnsi="仿宋" w:eastAsia="仿宋" w:cs="仿宋"/>
          <w:color w:val="000000" w:themeColor="text1"/>
          <w:spacing w:val="-4"/>
          <w:sz w:val="24"/>
          <w14:textFill>
            <w14:solidFill>
              <w14:schemeClr w14:val="tx1"/>
            </w14:solidFill>
          </w14:textFill>
        </w:rPr>
        <w:fldChar w:fldCharType="end"/>
      </w:r>
      <w:r>
        <w:rPr>
          <w:rFonts w:hint="eastAsia" w:ascii="仿宋" w:hAnsi="仿宋" w:eastAsia="仿宋" w:cs="仿宋"/>
          <w:color w:val="000000" w:themeColor="text1"/>
          <w:spacing w:val="-4"/>
          <w:sz w:val="24"/>
          <w14:textFill>
            <w14:solidFill>
              <w14:schemeClr w14:val="tx1"/>
            </w14:solidFill>
          </w14:textFill>
        </w:rPr>
        <w:t>自动隔爆装置附近5m范围内，必须悬挂管理牌板，明确责任单位、责任人、压力表实际压力、压力表要求压力、安装日期、巡查日期等内容。每</w:t>
      </w:r>
      <w:r>
        <w:rPr>
          <w:rFonts w:hint="eastAsia" w:ascii="仿宋" w:hAnsi="仿宋" w:eastAsia="仿宋" w:cs="仿宋"/>
          <w:color w:val="000000" w:themeColor="text1"/>
          <w:spacing w:val="-4"/>
          <w:sz w:val="24"/>
          <w:lang w:val="en-US" w:eastAsia="zh-CN"/>
          <w14:textFill>
            <w14:solidFill>
              <w14:schemeClr w14:val="tx1"/>
            </w14:solidFill>
          </w14:textFill>
        </w:rPr>
        <w:t>周</w:t>
      </w:r>
      <w:r>
        <w:rPr>
          <w:rFonts w:hint="eastAsia" w:ascii="仿宋" w:hAnsi="仿宋" w:eastAsia="仿宋" w:cs="仿宋"/>
          <w:color w:val="000000" w:themeColor="text1"/>
          <w:spacing w:val="-4"/>
          <w:sz w:val="24"/>
          <w14:textFill>
            <w14:solidFill>
              <w14:schemeClr w14:val="tx1"/>
            </w14:solidFill>
          </w14:textFill>
        </w:rPr>
        <w:t>检查一次，两次间隔不大于7天，责任单位必须安排专人对主体部分、冲击波接收器、吊挂装置进行检查，确保各部分完好，发生煤尘爆炸时，自动隔爆装置能够正常启动。</w:t>
      </w:r>
    </w:p>
    <w:p>
      <w:pPr>
        <w:pStyle w:val="12"/>
        <w:keepNext w:val="0"/>
        <w:keepLines w:val="0"/>
        <w:pageBreakBefore w:val="0"/>
        <w:kinsoku/>
        <w:wordWrap/>
        <w:overflowPunct/>
        <w:topLinePunct w:val="0"/>
        <w:autoSpaceDE/>
        <w:autoSpaceDN/>
        <w:bidi w:val="0"/>
        <w:adjustRightInd w:val="0"/>
        <w:snapToGrid w:val="0"/>
        <w:spacing w:after="0" w:line="360" w:lineRule="auto"/>
        <w:ind w:firstLine="0" w:firstLineChars="0"/>
        <w:textAlignment w:val="auto"/>
        <w:rPr>
          <w:rFonts w:ascii="仿宋" w:hAnsi="仿宋" w:eastAsia="仿宋" w:cs="仿宋"/>
          <w:b/>
          <w:color w:val="000000" w:themeColor="text1"/>
          <w:spacing w:val="-4"/>
          <w:sz w:val="24"/>
          <w14:textFill>
            <w14:solidFill>
              <w14:schemeClr w14:val="tx1"/>
            </w14:solidFill>
          </w14:textFill>
        </w:rPr>
      </w:pPr>
      <w:r>
        <w:rPr>
          <w:rFonts w:hint="eastAsia" w:ascii="仿宋" w:hAnsi="仿宋" w:eastAsia="仿宋" w:cs="仿宋"/>
          <w:b/>
          <w:color w:val="000000" w:themeColor="text1"/>
          <w:spacing w:val="-4"/>
          <w:sz w:val="24"/>
          <w14:textFill>
            <w14:solidFill>
              <w14:schemeClr w14:val="tx1"/>
            </w14:solidFill>
          </w14:textFill>
        </w:rPr>
        <w:t>（3）</w:t>
      </w:r>
      <w:r>
        <w:rPr>
          <w:rFonts w:hint="eastAsia" w:ascii="仿宋" w:hAnsi="仿宋" w:eastAsia="仿宋" w:cs="仿宋"/>
          <w:b/>
          <w:color w:val="000000" w:themeColor="text1"/>
          <w:spacing w:val="-4"/>
          <w:sz w:val="24"/>
          <w:lang w:val="en-US" w:eastAsia="zh-CN"/>
          <w14:textFill>
            <w14:solidFill>
              <w14:schemeClr w14:val="tx1"/>
            </w14:solidFill>
          </w14:textFill>
        </w:rPr>
        <w:t>自动隔爆装置</w:t>
      </w:r>
      <w:r>
        <w:rPr>
          <w:rFonts w:hint="eastAsia" w:ascii="仿宋" w:hAnsi="仿宋" w:eastAsia="仿宋" w:cs="仿宋"/>
          <w:b/>
          <w:color w:val="000000" w:themeColor="text1"/>
          <w:spacing w:val="-4"/>
          <w:sz w:val="24"/>
          <w14:textFill>
            <w14:solidFill>
              <w14:schemeClr w14:val="tx1"/>
            </w14:solidFill>
          </w14:textFill>
        </w:rPr>
        <w:t>巡查维护</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①每周巡查一次，施工单位必须安排专人观察记录压力表显示值。当压力低于8Mpa时，立即汇报施工单位，更换装置主体。当压力表防护罩窗口表面存在灰尘，导致压力表无法看清数值时，巡查人必须使用棉纱擦拭干净。若防护罩内部有灰尘和水汽，导致压力表无法看清数值时，巡查人将防护罩卸下，对内表面进行清理，然后重新上紧防护罩。防护罩卸下时，锁止阀必须关闭，防止误触发，清理完成后，开启锁止阀。</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②每周施工单位必须安排专人查看锁止阀开关情况。自动隔爆装置正常使用期间，锁止阀保持开启状态。</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③每周施工单位必须安排专人查看冲击波接收杆与装置主体是否在同一直线上，与巷道倾角是否一致。不在同一直线上、与巷道倾角不一致时，巡查人立即调整吊挂部件长度、方向。调整时，锁止阀必须关闭，防止误触发，调整完成后，开启锁止阀。</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④每周施工单位必须安排专人查看冲击波接收杆各段、吊挂部件与吊挂锚杆连接情况，冲击波接收杆各段、吊挂部件与吊挂锚杆连接不牢固时，巡查人及时拧紧，确保无松动现象。拧紧时，锁止阀必须关闭，防止误触发，拧紧完成后，开启锁止阀。</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⑤每周施工单位必须安排专人查看冲击波接收器（盘）与冲击波接收杆连接情况。冲击波接收器（盘）与冲击波接收杆连接松动时，巡查人及时拧紧，确保无松动现象。拧紧时，锁止阀必须关闭，防止误触发，拧紧完成后，开启锁止阀。</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⑥每周施工单位必须安排专人查看冲击波接收杆与吊挂部件连接部分润滑油脂涂抹情况，润滑油脂必须覆盖连接部分四周，保证冲击波能够充分传递。缺少油脂时，巡查人及时涂抹补充。涂抹油脂时，锁止阀必须关闭，防止误触发，涂抹油脂完成后，开启锁止阀。</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⑦每周施工单位必须安排专人查看自动隔爆装置与巷道顶板之间的距离。距离巷道顶板大于0.3m或小于0.1m时，及时调整吊挂部件长度。调整高度时，锁止阀必须关闭，防止误触发，调整高度完成后，开启锁止阀。</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⑧施工单位必须安排专人查看自动隔爆装置附近物品情况。自动隔爆装置距巷道顶板小于0.1m或附近0.1m范围内有单轨吊、支架、置物架等其他物品，巡查人立即汇报施工单位，移挪自动隔爆装置或物品，保证距顶板大于0.1m，距单轨吊、支架、置物架等其他物品大于0.1m 。移挪自动隔爆装置时，锁止阀必须关闭，防止误触发，移挪自动隔爆装置施工完成后，开启锁止阀。</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⑨每周施工单位必须安排专人查看装置主体情况，包括装置主体是否受损，干粉密封膜是否损坏，干粉是否外漏现象，装置主体是否存在气体外漏的“咝咝”响声。巡查人发现以上情况，立即汇报本单位和通防部，进行更换处理。更换自动隔爆装置时，锁止阀必须关闭，防止误触发，更换自动隔爆装置施工完成后，开启锁止阀。</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⑩其他井下人员发现装置主体受损、干粉密封膜损坏、干粉外漏现象和装置主体存</w:t>
      </w:r>
      <w:r>
        <w:rPr>
          <w:rFonts w:hint="eastAsia" w:ascii="仿宋" w:hAnsi="仿宋" w:eastAsia="仿宋" w:cs="仿宋"/>
          <w:color w:val="000000" w:themeColor="text1"/>
          <w:spacing w:val="-4"/>
          <w:sz w:val="24"/>
          <w:lang w:val="en-US" w:eastAsia="zh-CN"/>
          <w14:textFill>
            <w14:solidFill>
              <w14:schemeClr w14:val="tx1"/>
            </w14:solidFill>
          </w14:textFill>
        </w:rPr>
        <w:t>在</w:t>
      </w:r>
      <w:r>
        <w:rPr>
          <w:rFonts w:hint="eastAsia" w:ascii="仿宋" w:hAnsi="仿宋" w:eastAsia="仿宋" w:cs="仿宋"/>
          <w:color w:val="000000" w:themeColor="text1"/>
          <w:spacing w:val="-4"/>
          <w:sz w:val="24"/>
          <w14:textFill>
            <w14:solidFill>
              <w14:schemeClr w14:val="tx1"/>
            </w14:solidFill>
          </w14:textFill>
        </w:rPr>
        <w:t>气体外漏的“咝咝”响声等异常情况，必须立即汇报施工责任单位。</w:t>
      </w:r>
    </w:p>
    <w:p>
      <w:pPr>
        <w:pStyle w:val="12"/>
        <w:keepNext w:val="0"/>
        <w:keepLines w:val="0"/>
        <w:pageBreakBefore w:val="0"/>
        <w:kinsoku/>
        <w:wordWrap/>
        <w:overflowPunct/>
        <w:topLinePunct w:val="0"/>
        <w:autoSpaceDE/>
        <w:autoSpaceDN/>
        <w:bidi w:val="0"/>
        <w:adjustRightInd w:val="0"/>
        <w:snapToGrid w:val="0"/>
        <w:spacing w:after="0" w:line="360" w:lineRule="auto"/>
        <w:ind w:firstLine="480"/>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fldChar w:fldCharType="begin"/>
      </w:r>
      <w:r>
        <w:rPr>
          <w:rFonts w:ascii="仿宋" w:hAnsi="仿宋" w:eastAsia="仿宋" w:cs="仿宋"/>
          <w:color w:val="000000" w:themeColor="text1"/>
          <w:spacing w:val="-4"/>
          <w:sz w:val="24"/>
          <w14:textFill>
            <w14:solidFill>
              <w14:schemeClr w14:val="tx1"/>
            </w14:solidFill>
          </w14:textFill>
        </w:rPr>
        <w:instrText xml:space="preserve"> </w:instrText>
      </w:r>
      <w:r>
        <w:rPr>
          <w:rFonts w:hint="eastAsia" w:ascii="仿宋" w:hAnsi="仿宋" w:eastAsia="仿宋" w:cs="仿宋"/>
          <w:color w:val="000000" w:themeColor="text1"/>
          <w:spacing w:val="-4"/>
          <w:sz w:val="24"/>
          <w14:textFill>
            <w14:solidFill>
              <w14:schemeClr w14:val="tx1"/>
            </w14:solidFill>
          </w14:textFill>
        </w:rPr>
        <w:instrText xml:space="preserve">eq \o\ac(○,</w:instrText>
      </w:r>
      <w:r>
        <w:rPr>
          <w:rFonts w:hint="eastAsia" w:ascii="仿宋" w:hAnsi="仿宋" w:eastAsia="仿宋" w:cs="仿宋"/>
          <w:color w:val="000000" w:themeColor="text1"/>
          <w:position w:val="3"/>
          <w:sz w:val="16"/>
          <w14:textFill>
            <w14:solidFill>
              <w14:schemeClr w14:val="tx1"/>
            </w14:solidFill>
          </w14:textFill>
        </w:rPr>
        <w:instrText xml:space="preserve">11</w:instrText>
      </w:r>
      <w:r>
        <w:rPr>
          <w:rFonts w:hint="eastAsia" w:ascii="仿宋" w:hAnsi="仿宋" w:eastAsia="仿宋" w:cs="仿宋"/>
          <w:color w:val="000000" w:themeColor="text1"/>
          <w:spacing w:val="-4"/>
          <w:sz w:val="24"/>
          <w14:textFill>
            <w14:solidFill>
              <w14:schemeClr w14:val="tx1"/>
            </w14:solidFill>
          </w14:textFill>
        </w:rPr>
        <w:instrText xml:space="preserve">)</w:instrText>
      </w:r>
      <w:r>
        <w:rPr>
          <w:rFonts w:ascii="仿宋" w:hAnsi="仿宋" w:eastAsia="仿宋" w:cs="仿宋"/>
          <w:color w:val="000000" w:themeColor="text1"/>
          <w:spacing w:val="-4"/>
          <w:sz w:val="24"/>
          <w14:textFill>
            <w14:solidFill>
              <w14:schemeClr w14:val="tx1"/>
            </w14:solidFill>
          </w14:textFill>
        </w:rPr>
        <w:fldChar w:fldCharType="end"/>
      </w:r>
      <w:r>
        <w:rPr>
          <w:rFonts w:hint="eastAsia" w:ascii="仿宋" w:hAnsi="仿宋" w:eastAsia="仿宋" w:cs="仿宋"/>
          <w:color w:val="000000" w:themeColor="text1"/>
          <w:spacing w:val="-4"/>
          <w:sz w:val="24"/>
          <w14:textFill>
            <w14:solidFill>
              <w14:schemeClr w14:val="tx1"/>
            </w14:solidFill>
          </w14:textFill>
        </w:rPr>
        <w:t>每月5日前将上一月自动隔爆装置巡查记录送至通防部技术室存档。自动隔爆装置巡查记录必须填写清楚、规范、真实。</w:t>
      </w:r>
    </w:p>
    <w:p>
      <w:pPr>
        <w:pStyle w:val="12"/>
        <w:keepNext w:val="0"/>
        <w:keepLines w:val="0"/>
        <w:pageBreakBefore w:val="0"/>
        <w:kinsoku/>
        <w:wordWrap/>
        <w:overflowPunct/>
        <w:topLinePunct w:val="0"/>
        <w:autoSpaceDE/>
        <w:autoSpaceDN/>
        <w:bidi w:val="0"/>
        <w:adjustRightInd w:val="0"/>
        <w:snapToGrid w:val="0"/>
        <w:spacing w:after="0" w:line="360" w:lineRule="auto"/>
        <w:ind w:firstLine="466"/>
        <w:textAlignment w:val="auto"/>
        <w:rPr>
          <w:rFonts w:ascii="仿宋" w:hAnsi="仿宋" w:eastAsia="仿宋" w:cs="仿宋"/>
          <w:b/>
          <w:color w:val="000000" w:themeColor="text1"/>
          <w:spacing w:val="-4"/>
          <w:sz w:val="24"/>
          <w14:textFill>
            <w14:solidFill>
              <w14:schemeClr w14:val="tx1"/>
            </w14:solidFill>
          </w14:textFill>
        </w:rPr>
      </w:pPr>
      <w:r>
        <w:rPr>
          <w:rFonts w:hint="eastAsia" w:ascii="仿宋" w:hAnsi="仿宋" w:eastAsia="仿宋" w:cs="仿宋"/>
          <w:b/>
          <w:color w:val="000000" w:themeColor="text1"/>
          <w:spacing w:val="-4"/>
          <w:sz w:val="24"/>
          <w14:textFill>
            <w14:solidFill>
              <w14:schemeClr w14:val="tx1"/>
            </w14:solidFill>
          </w14:textFill>
        </w:rPr>
        <w:t>附图10：1303工作面防尘系统图</w:t>
      </w:r>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ascii="仿宋" w:hAnsi="仿宋" w:eastAsia="仿宋" w:cs="仿宋"/>
          <w:b/>
          <w:color w:val="000000" w:themeColor="text1"/>
          <w:spacing w:val="-4"/>
          <w:sz w:val="24"/>
          <w14:textFill>
            <w14:solidFill>
              <w14:schemeClr w14:val="tx1"/>
            </w14:solidFill>
          </w14:textFill>
        </w:rPr>
      </w:pPr>
      <w:r>
        <w:rPr>
          <w:rFonts w:hint="eastAsia" w:ascii="仿宋" w:hAnsi="仿宋" w:eastAsia="仿宋" w:cs="仿宋"/>
          <w:b/>
          <w:color w:val="000000" w:themeColor="text1"/>
          <w:spacing w:val="-4"/>
          <w:sz w:val="24"/>
          <w14:textFill>
            <w14:solidFill>
              <w14:schemeClr w14:val="tx1"/>
            </w14:solidFill>
          </w14:textFill>
        </w:rPr>
        <w:t>五、防灭火管理</w:t>
      </w:r>
    </w:p>
    <w:p>
      <w:pPr>
        <w:pStyle w:val="19"/>
        <w:keepNext w:val="0"/>
        <w:keepLines w:val="0"/>
        <w:pageBreakBefore w:val="0"/>
        <w:tabs>
          <w:tab w:val="left" w:pos="360"/>
        </w:tabs>
        <w:kinsoku/>
        <w:wordWrap/>
        <w:overflowPunct/>
        <w:topLinePunct w:val="0"/>
        <w:autoSpaceDE/>
        <w:autoSpaceDN/>
        <w:bidi w:val="0"/>
        <w:snapToGrid w:val="0"/>
        <w:spacing w:line="360" w:lineRule="auto"/>
        <w:ind w:firstLine="0" w:firstLineChars="0"/>
        <w:textAlignment w:val="auto"/>
        <w:outlineLvl w:val="0"/>
        <w:rPr>
          <w:rFonts w:ascii="仿宋" w:hAnsi="仿宋" w:eastAsia="仿宋" w:cs="仿宋"/>
          <w:b/>
          <w:color w:val="000000" w:themeColor="text1"/>
          <w:sz w:val="24"/>
          <w:szCs w:val="24"/>
          <w14:textFill>
            <w14:solidFill>
              <w14:schemeClr w14:val="tx1"/>
            </w14:solidFill>
          </w14:textFill>
        </w:rPr>
      </w:pPr>
      <w:bookmarkStart w:id="307" w:name="_Toc2841290"/>
      <w:r>
        <w:rPr>
          <w:rFonts w:hint="eastAsia" w:ascii="仿宋" w:hAnsi="仿宋" w:eastAsia="仿宋" w:cs="仿宋"/>
          <w:b/>
          <w:color w:val="000000" w:themeColor="text1"/>
          <w:spacing w:val="-4"/>
          <w:sz w:val="24"/>
          <w14:textFill>
            <w14:solidFill>
              <w14:schemeClr w14:val="tx1"/>
            </w14:solidFill>
          </w14:textFill>
        </w:rPr>
        <w:t>（一）</w:t>
      </w:r>
      <w:bookmarkStart w:id="308" w:name="_Toc2841289"/>
      <w:r>
        <w:rPr>
          <w:rFonts w:hint="eastAsia" w:ascii="仿宋" w:hAnsi="仿宋" w:eastAsia="仿宋" w:cs="仿宋"/>
          <w:b/>
          <w:color w:val="000000" w:themeColor="text1"/>
          <w:sz w:val="24"/>
          <w:szCs w:val="24"/>
          <w14:textFill>
            <w14:solidFill>
              <w14:schemeClr w14:val="tx1"/>
            </w14:solidFill>
          </w14:textFill>
        </w:rPr>
        <w:t>1303工作面自然发火隐患分析</w:t>
      </w:r>
      <w:bookmarkEnd w:id="308"/>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w:t>
      </w:r>
      <w:r>
        <w:rPr>
          <w:rFonts w:ascii="仿宋" w:hAnsi="仿宋" w:eastAsia="仿宋" w:cs="仿宋"/>
          <w:color w:val="000000" w:themeColor="text1"/>
          <w:spacing w:val="-4"/>
          <w:sz w:val="24"/>
          <w14:textFill>
            <w14:solidFill>
              <w14:schemeClr w14:val="tx1"/>
            </w14:solidFill>
          </w14:textFill>
        </w:rPr>
        <w:t>招贤矿业3#煤层为</w:t>
      </w:r>
      <w:r>
        <w:rPr>
          <w:rFonts w:ascii="仿宋" w:hAnsi="仿宋" w:eastAsia="仿宋" w:cs="仿宋"/>
          <w:color w:val="000000" w:themeColor="text1"/>
          <w:spacing w:val="-4"/>
          <w:sz w:val="24"/>
          <w14:textFill>
            <w14:solidFill>
              <w14:schemeClr w14:val="tx1"/>
            </w14:solidFill>
          </w14:textFill>
        </w:rPr>
        <w:fldChar w:fldCharType="begin"/>
      </w:r>
      <w:r>
        <w:rPr>
          <w:rFonts w:ascii="仿宋" w:hAnsi="仿宋" w:eastAsia="仿宋" w:cs="仿宋"/>
          <w:color w:val="000000" w:themeColor="text1"/>
          <w:spacing w:val="-4"/>
          <w:sz w:val="24"/>
          <w14:textFill>
            <w14:solidFill>
              <w14:schemeClr w14:val="tx1"/>
            </w14:solidFill>
          </w14:textFill>
        </w:rPr>
        <w:instrText xml:space="preserve"> = 1 \* ROMAN </w:instrText>
      </w:r>
      <w:r>
        <w:rPr>
          <w:rFonts w:ascii="仿宋" w:hAnsi="仿宋" w:eastAsia="仿宋" w:cs="仿宋"/>
          <w:color w:val="000000" w:themeColor="text1"/>
          <w:spacing w:val="-4"/>
          <w:sz w:val="24"/>
          <w14:textFill>
            <w14:solidFill>
              <w14:schemeClr w14:val="tx1"/>
            </w14:solidFill>
          </w14:textFill>
        </w:rPr>
        <w:fldChar w:fldCharType="separate"/>
      </w:r>
      <w:r>
        <w:rPr>
          <w:rFonts w:ascii="仿宋" w:hAnsi="仿宋" w:eastAsia="仿宋" w:cs="仿宋"/>
          <w:color w:val="000000" w:themeColor="text1"/>
          <w:spacing w:val="-4"/>
          <w:sz w:val="24"/>
          <w14:textFill>
            <w14:solidFill>
              <w14:schemeClr w14:val="tx1"/>
            </w14:solidFill>
          </w14:textFill>
        </w:rPr>
        <w:t>I</w:t>
      </w:r>
      <w:r>
        <w:rPr>
          <w:rFonts w:ascii="仿宋" w:hAnsi="仿宋" w:eastAsia="仿宋" w:cs="仿宋"/>
          <w:color w:val="000000" w:themeColor="text1"/>
          <w:spacing w:val="-4"/>
          <w:sz w:val="24"/>
          <w14:textFill>
            <w14:solidFill>
              <w14:schemeClr w14:val="tx1"/>
            </w14:solidFill>
          </w14:textFill>
        </w:rPr>
        <w:fldChar w:fldCharType="end"/>
      </w:r>
      <w:r>
        <w:rPr>
          <w:rFonts w:ascii="仿宋" w:hAnsi="仿宋" w:eastAsia="仿宋" w:cs="仿宋"/>
          <w:color w:val="000000" w:themeColor="text1"/>
          <w:spacing w:val="-4"/>
          <w:sz w:val="24"/>
          <w14:textFill>
            <w14:solidFill>
              <w14:schemeClr w14:val="tx1"/>
            </w14:solidFill>
          </w14:textFill>
        </w:rPr>
        <w:t>类容易自燃煤层，自然发火期为36天。</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w:t>
      </w:r>
      <w:r>
        <w:rPr>
          <w:rFonts w:ascii="仿宋" w:hAnsi="仿宋" w:eastAsia="仿宋" w:cs="仿宋"/>
          <w:color w:val="000000" w:themeColor="text1"/>
          <w:spacing w:val="-4"/>
          <w:sz w:val="24"/>
          <w14:textFill>
            <w14:solidFill>
              <w14:schemeClr w14:val="tx1"/>
            </w14:solidFill>
          </w14:textFill>
        </w:rPr>
        <w:t>工作面初采期间，上、下隅角绞车硐室空间不能及时垮落；切眼断面大，受矿压影响顶煤易压裂破碎，工作面初期推进速度一般相对较慢，切眼松散煤体氧化升温时间长，煤体温度较高。因此，初采期间切眼及两端头是自燃隐患点。</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3、</w:t>
      </w:r>
      <w:r>
        <w:rPr>
          <w:rFonts w:ascii="仿宋" w:hAnsi="仿宋" w:eastAsia="仿宋" w:cs="仿宋"/>
          <w:color w:val="000000" w:themeColor="text1"/>
          <w:spacing w:val="-4"/>
          <w:sz w:val="24"/>
          <w14:textFill>
            <w14:solidFill>
              <w14:schemeClr w14:val="tx1"/>
            </w14:solidFill>
          </w14:textFill>
        </w:rPr>
        <w:t>正常回采期间1303工作面采用综采放顶煤，大量遗煤滞留在采空区内，采后顶板垮落不实，造成采空区漏风，存在自然发火的可能。</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4、</w:t>
      </w:r>
      <w:r>
        <w:rPr>
          <w:rFonts w:ascii="仿宋" w:hAnsi="仿宋" w:eastAsia="仿宋" w:cs="仿宋"/>
          <w:color w:val="000000" w:themeColor="text1"/>
          <w:spacing w:val="-4"/>
          <w:sz w:val="24"/>
          <w14:textFill>
            <w14:solidFill>
              <w14:schemeClr w14:val="tx1"/>
            </w14:solidFill>
          </w14:textFill>
        </w:rPr>
        <w:t>工作面过断层期间造成工作面推进速度较慢，存在自然发火的可能。</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5、</w:t>
      </w:r>
      <w:r>
        <w:rPr>
          <w:rFonts w:ascii="仿宋" w:hAnsi="仿宋" w:eastAsia="仿宋" w:cs="仿宋"/>
          <w:color w:val="000000" w:themeColor="text1"/>
          <w:spacing w:val="-4"/>
          <w:sz w:val="24"/>
          <w14:textFill>
            <w14:solidFill>
              <w14:schemeClr w14:val="tx1"/>
            </w14:solidFill>
          </w14:textFill>
        </w:rPr>
        <w:t>工作面停采收作期间为防灭火的管理重点，工作面回风隅角及支架后向后3-6米、距支架顶板向上2-4米范围煤体松散、破碎严重，加速蓄热氧化过程，容易发生自燃，收作期间另行编制防灭火措施。</w:t>
      </w:r>
    </w:p>
    <w:p>
      <w:pPr>
        <w:keepNext w:val="0"/>
        <w:keepLines w:val="0"/>
        <w:pageBreakBefore w:val="0"/>
        <w:kinsoku/>
        <w:wordWrap/>
        <w:overflowPunct/>
        <w:topLinePunct w:val="0"/>
        <w:autoSpaceDE/>
        <w:autoSpaceDN/>
        <w:bidi w:val="0"/>
        <w:snapToGrid w:val="0"/>
        <w:spacing w:line="360" w:lineRule="auto"/>
        <w:ind w:firstLine="0" w:firstLineChars="0"/>
        <w:textAlignment w:val="auto"/>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（二）1303工作面防灭火</w:t>
      </w:r>
      <w:bookmarkEnd w:id="307"/>
      <w:r>
        <w:rPr>
          <w:rFonts w:hint="eastAsia" w:ascii="仿宋" w:hAnsi="仿宋" w:eastAsia="仿宋" w:cs="仿宋"/>
          <w:b/>
          <w:color w:val="000000" w:themeColor="text1"/>
          <w:sz w:val="24"/>
          <w14:textFill>
            <w14:solidFill>
              <w14:schemeClr w14:val="tx1"/>
            </w14:solidFill>
          </w14:textFill>
        </w:rPr>
        <w:t>措施</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bookmarkStart w:id="309" w:name="_Toc2841291"/>
      <w:bookmarkStart w:id="310" w:name="_Toc336720782"/>
      <w:bookmarkStart w:id="311" w:name="_Toc2841299"/>
      <w:bookmarkStart w:id="312" w:name="_Toc305416611"/>
      <w:r>
        <w:rPr>
          <w:rFonts w:hint="eastAsia" w:ascii="仿宋" w:hAnsi="仿宋" w:eastAsia="仿宋" w:cs="仿宋"/>
          <w:color w:val="000000" w:themeColor="text1"/>
          <w:spacing w:val="-4"/>
          <w:sz w:val="24"/>
          <w14:textFill>
            <w14:solidFill>
              <w14:schemeClr w14:val="tx1"/>
            </w14:solidFill>
          </w14:textFill>
        </w:rPr>
        <w:t>1、初采期间防灭火措施</w:t>
      </w:r>
    </w:p>
    <w:bookmarkEnd w:id="309"/>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（1）回采前机、风巷内的绞车硐室</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绞车硐室及时退锚，并采用爆破方式强制放顶，保证及时垮落，减少采空区的漏风。</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（2）黄泥灌浆</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机巷敷设一趟灌浆管路（Ф108mm钢管），注浆口步距不大于30m，工作面首次垮落至推进50m期间，对采空区进行预防性灌浆，对始采线及两顺槽采空区加强灌浆。管路进入采空区30m时切换支管，依次循环。</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（3）机巷注氮</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机巷敷设一趟注氮管路（Ф108mm钢管），注氮口步距不大于30m，工作面首次垮落至推进50m期间，对采空区进行间歇性注氮，惰化采空区气体。管路进入采空区30m时切换支管，依次循环。</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（4）端头封堵</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回采初期40m范围内要求采煤部每圆班在进、回风隅角分别垛袋堵漏，周期来压期间垛袋墙外喷涂克斯达无机防灭火材料，减少采空区漏风。</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（5）液态CO</w:t>
      </w:r>
      <w:r>
        <w:rPr>
          <w:rFonts w:hint="eastAsia" w:ascii="仿宋" w:hAnsi="仿宋" w:eastAsia="仿宋" w:cs="仿宋"/>
          <w:color w:val="000000" w:themeColor="text1"/>
          <w:spacing w:val="-4"/>
          <w:sz w:val="24"/>
          <w:vertAlign w:val="subscript"/>
          <w14:textFill>
            <w14:solidFill>
              <w14:schemeClr w14:val="tx1"/>
            </w14:solidFill>
          </w14:textFill>
        </w:rPr>
        <w:t>2</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初采前，在支架后布置一趟防火管路（Ф108mm钢管），初采期间，当工作面采空区及回风温度、CO有异常上升趋势时，利用预埋的防火管路进行灌注液态CO</w:t>
      </w:r>
      <w:r>
        <w:rPr>
          <w:rFonts w:hint="eastAsia" w:ascii="仿宋" w:hAnsi="仿宋" w:eastAsia="仿宋" w:cs="仿宋"/>
          <w:color w:val="000000" w:themeColor="text1"/>
          <w:spacing w:val="-4"/>
          <w:sz w:val="24"/>
          <w:vertAlign w:val="subscript"/>
          <w14:textFill>
            <w14:solidFill>
              <w14:schemeClr w14:val="tx1"/>
            </w14:solidFill>
          </w14:textFill>
        </w:rPr>
        <w:t>2</w:t>
      </w:r>
      <w:r>
        <w:rPr>
          <w:rFonts w:hint="eastAsia" w:ascii="仿宋" w:hAnsi="仿宋" w:eastAsia="仿宋" w:cs="仿宋"/>
          <w:color w:val="000000" w:themeColor="text1"/>
          <w:spacing w:val="-4"/>
          <w:sz w:val="24"/>
          <w14:textFill>
            <w14:solidFill>
              <w14:schemeClr w14:val="tx1"/>
            </w14:solidFill>
          </w14:textFill>
        </w:rPr>
        <w:t>，防止初采期间回采速度较慢，采空区出现自然发火隐患。</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bookmarkStart w:id="313" w:name="_Toc2841293"/>
      <w:r>
        <w:rPr>
          <w:rFonts w:hint="eastAsia" w:ascii="仿宋" w:hAnsi="仿宋" w:eastAsia="仿宋" w:cs="仿宋"/>
          <w:color w:val="000000" w:themeColor="text1"/>
          <w:spacing w:val="-4"/>
          <w:sz w:val="24"/>
          <w14:textFill>
            <w14:solidFill>
              <w14:schemeClr w14:val="tx1"/>
            </w14:solidFill>
          </w14:textFill>
        </w:rPr>
        <w:t>2、正常回采期间防灭火方案</w:t>
      </w:r>
      <w:bookmarkEnd w:id="313"/>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根据中国矿业大学关于《陕西金源招贤矿业首采工作面自然发火规律及治理技术研究》报告中采空区“三带”的划分，正常回采期间在采取注氮措施的情况下，最短自燃发火期为36天，采空区的氧化升温带最大宽度为62.1m, 工作面的日临界推进速度为：1.725m/d，即每天推进度达到3刀，采空区遗煤就被甩到窒息带，O</w:t>
      </w:r>
      <w:r>
        <w:rPr>
          <w:rFonts w:hint="eastAsia" w:ascii="仿宋" w:hAnsi="仿宋" w:eastAsia="仿宋" w:cs="仿宋"/>
          <w:color w:val="000000" w:themeColor="text1"/>
          <w:spacing w:val="-4"/>
          <w:sz w:val="24"/>
          <w:vertAlign w:val="subscript"/>
          <w14:textFill>
            <w14:solidFill>
              <w14:schemeClr w14:val="tx1"/>
            </w14:solidFill>
          </w14:textFill>
        </w:rPr>
        <w:t>2</w:t>
      </w:r>
      <w:r>
        <w:rPr>
          <w:rFonts w:hint="eastAsia" w:ascii="仿宋" w:hAnsi="仿宋" w:eastAsia="仿宋" w:cs="仿宋"/>
          <w:color w:val="000000" w:themeColor="text1"/>
          <w:spacing w:val="-4"/>
          <w:sz w:val="24"/>
          <w14:textFill>
            <w14:solidFill>
              <w14:schemeClr w14:val="tx1"/>
            </w14:solidFill>
          </w14:textFill>
        </w:rPr>
        <w:t>浓度小于5％。</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（2）机巷注氮管路出口距工作面进风隅角30-60m范围内。正常回采期间，采用间断性注氮，每月不少于2次。</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（3）机巷布置一趟Ф108mm灌浆管路，出口布置在机巷采空区30-60m范围内。正常回采期间，对采空区进行预防性灌浆，每月不少于2次。</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（4）正常回采期间，采煤部每圆班在进、回风隅角分别垛袋堵漏并挂风障,周期来压期间垛袋墙外喷涂克斯达无机防灭火材料，减少采空区漏风。</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（5）正常回采期间，当工作面采空区及回风温度、CO有异常上升趋势时，利用预埋的机巷、风巷防火管路适时灌注液态CO</w:t>
      </w:r>
      <w:r>
        <w:rPr>
          <w:rFonts w:hint="eastAsia" w:ascii="仿宋" w:hAnsi="仿宋" w:eastAsia="仿宋" w:cs="仿宋"/>
          <w:color w:val="000000" w:themeColor="text1"/>
          <w:spacing w:val="-4"/>
          <w:sz w:val="24"/>
          <w:vertAlign w:val="subscript"/>
          <w14:textFill>
            <w14:solidFill>
              <w14:schemeClr w14:val="tx1"/>
            </w14:solidFill>
          </w14:textFill>
        </w:rPr>
        <w:t>2</w:t>
      </w:r>
      <w:r>
        <w:rPr>
          <w:rFonts w:hint="eastAsia" w:ascii="仿宋" w:hAnsi="仿宋" w:eastAsia="仿宋" w:cs="仿宋"/>
          <w:color w:val="000000" w:themeColor="text1"/>
          <w:spacing w:val="-4"/>
          <w:sz w:val="24"/>
          <w14:textFill>
            <w14:solidFill>
              <w14:schemeClr w14:val="tx1"/>
            </w14:solidFill>
          </w14:textFill>
        </w:rPr>
        <w:t>，防止采空区出现自然发火隐患。</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bookmarkStart w:id="314" w:name="_Toc2841294"/>
      <w:r>
        <w:rPr>
          <w:rFonts w:hint="eastAsia" w:ascii="仿宋" w:hAnsi="仿宋" w:eastAsia="仿宋" w:cs="仿宋"/>
          <w:color w:val="000000" w:themeColor="text1"/>
          <w:spacing w:val="-4"/>
          <w:sz w:val="24"/>
          <w14:textFill>
            <w14:solidFill>
              <w14:schemeClr w14:val="tx1"/>
            </w14:solidFill>
          </w14:textFill>
        </w:rPr>
        <w:t>3、推进缓慢期间防灭火方案</w:t>
      </w:r>
      <w:bookmarkEnd w:id="314"/>
      <w:r>
        <w:rPr>
          <w:rFonts w:hint="eastAsia" w:ascii="仿宋" w:hAnsi="仿宋" w:eastAsia="仿宋" w:cs="仿宋"/>
          <w:color w:val="000000" w:themeColor="text1"/>
          <w:spacing w:val="-4"/>
          <w:sz w:val="24"/>
          <w14:textFill>
            <w14:solidFill>
              <w14:schemeClr w14:val="tx1"/>
            </w14:solidFill>
          </w14:textFill>
        </w:rPr>
        <w:t>（日推进度小于3刀）</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（1）保证工作面瓦斯不超限的情况下，合理调节工作面风量</w:t>
      </w:r>
      <w:bookmarkStart w:id="315" w:name="_Toc20594"/>
      <w:bookmarkStart w:id="316" w:name="_Toc21829"/>
      <w:r>
        <w:rPr>
          <w:rFonts w:hint="eastAsia" w:ascii="仿宋" w:hAnsi="仿宋" w:eastAsia="仿宋" w:cs="仿宋"/>
          <w:color w:val="000000" w:themeColor="text1"/>
          <w:spacing w:val="-4"/>
          <w:sz w:val="24"/>
          <w14:textFill>
            <w14:solidFill>
              <w14:schemeClr w14:val="tx1"/>
            </w14:solidFill>
          </w14:textFill>
        </w:rPr>
        <w:t>，风速满足要求。</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（2）保证工作面回风隅角瓦斯不超限情况，降低1303工作面抽放管路抽放量。</w:t>
      </w:r>
    </w:p>
    <w:bookmarkEnd w:id="315"/>
    <w:bookmarkEnd w:id="316"/>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（3）根据现场实际需要，通过机巷注氮管路，向采空区氧化带内注氮气，每月不少于三次。</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（4）工作面缓采（日推进度小于3刀）期间，利用机巷灌浆管路对采空区进行预防性灌浆，每月不少于3次。对采空区遗煤降温隔氧，防止出现采空区遗煤自然发火。</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（5）</w:t>
      </w:r>
      <w:r>
        <w:rPr>
          <w:rFonts w:hint="eastAsia" w:ascii="仿宋" w:hAnsi="仿宋" w:eastAsia="仿宋" w:cs="仿宋"/>
          <w:color w:val="000000" w:themeColor="text1"/>
          <w:spacing w:val="-4"/>
          <w:sz w:val="24"/>
          <w14:textFill>
            <w14:solidFill>
              <w14:schemeClr w14:val="tx1"/>
            </w14:solidFill>
          </w14:textFill>
        </w:rPr>
        <w:fldChar w:fldCharType="begin"/>
      </w:r>
      <w:r>
        <w:rPr>
          <w:rFonts w:hint="eastAsia" w:ascii="仿宋" w:hAnsi="仿宋" w:eastAsia="仿宋" w:cs="仿宋"/>
          <w:color w:val="000000" w:themeColor="text1"/>
          <w:spacing w:val="-4"/>
          <w:sz w:val="24"/>
          <w14:textFill>
            <w14:solidFill>
              <w14:schemeClr w14:val="tx1"/>
            </w14:solidFill>
          </w14:textFill>
        </w:rPr>
        <w:instrText xml:space="preserve"> = 1 \* GB3 </w:instrText>
      </w:r>
      <w:r>
        <w:rPr>
          <w:rFonts w:hint="eastAsia" w:ascii="仿宋" w:hAnsi="仿宋" w:eastAsia="仿宋" w:cs="仿宋"/>
          <w:color w:val="000000" w:themeColor="text1"/>
          <w:spacing w:val="-4"/>
          <w:sz w:val="24"/>
          <w14:textFill>
            <w14:solidFill>
              <w14:schemeClr w14:val="tx1"/>
            </w14:solidFill>
          </w14:textFill>
        </w:rPr>
        <w:fldChar w:fldCharType="separate"/>
      </w:r>
      <w:r>
        <w:rPr>
          <w:rFonts w:hint="eastAsia" w:ascii="仿宋" w:hAnsi="仿宋" w:eastAsia="仿宋" w:cs="仿宋"/>
          <w:color w:val="000000" w:themeColor="text1"/>
          <w:spacing w:val="-4"/>
          <w:sz w:val="24"/>
          <w14:textFill>
            <w14:solidFill>
              <w14:schemeClr w14:val="tx1"/>
            </w14:solidFill>
          </w14:textFill>
        </w:rPr>
        <w:t>①</w:t>
      </w:r>
      <w:r>
        <w:rPr>
          <w:rFonts w:hint="eastAsia" w:ascii="仿宋" w:hAnsi="仿宋" w:eastAsia="仿宋" w:cs="仿宋"/>
          <w:color w:val="000000" w:themeColor="text1"/>
          <w:spacing w:val="-4"/>
          <w:sz w:val="24"/>
          <w14:textFill>
            <w14:solidFill>
              <w14:schemeClr w14:val="tx1"/>
            </w14:solidFill>
          </w14:textFill>
        </w:rPr>
        <w:fldChar w:fldCharType="end"/>
      </w:r>
      <w:r>
        <w:rPr>
          <w:rFonts w:hint="eastAsia" w:ascii="仿宋" w:hAnsi="仿宋" w:eastAsia="仿宋" w:cs="仿宋"/>
          <w:color w:val="000000" w:themeColor="text1"/>
          <w:spacing w:val="-4"/>
          <w:sz w:val="24"/>
          <w14:textFill>
            <w14:solidFill>
              <w14:schemeClr w14:val="tx1"/>
            </w14:solidFill>
          </w14:textFill>
        </w:rPr>
        <w:t>当工作面采空区及回风温度、CO有异常上升趋势时，根据需要通过机、风巷防火管路，进行预防性注液态CO2；</w:t>
      </w:r>
      <w:r>
        <w:rPr>
          <w:rFonts w:hint="eastAsia" w:ascii="仿宋" w:hAnsi="仿宋" w:eastAsia="仿宋" w:cs="仿宋"/>
          <w:color w:val="000000" w:themeColor="text1"/>
          <w:spacing w:val="-4"/>
          <w:sz w:val="24"/>
          <w14:textFill>
            <w14:solidFill>
              <w14:schemeClr w14:val="tx1"/>
            </w14:solidFill>
          </w14:textFill>
        </w:rPr>
        <w:fldChar w:fldCharType="begin"/>
      </w:r>
      <w:r>
        <w:rPr>
          <w:rFonts w:hint="eastAsia" w:ascii="仿宋" w:hAnsi="仿宋" w:eastAsia="仿宋" w:cs="仿宋"/>
          <w:color w:val="000000" w:themeColor="text1"/>
          <w:spacing w:val="-4"/>
          <w:sz w:val="24"/>
          <w14:textFill>
            <w14:solidFill>
              <w14:schemeClr w14:val="tx1"/>
            </w14:solidFill>
          </w14:textFill>
        </w:rPr>
        <w:instrText xml:space="preserve"> = 2 \* GB3 </w:instrText>
      </w:r>
      <w:r>
        <w:rPr>
          <w:rFonts w:hint="eastAsia" w:ascii="仿宋" w:hAnsi="仿宋" w:eastAsia="仿宋" w:cs="仿宋"/>
          <w:color w:val="000000" w:themeColor="text1"/>
          <w:spacing w:val="-4"/>
          <w:sz w:val="24"/>
          <w14:textFill>
            <w14:solidFill>
              <w14:schemeClr w14:val="tx1"/>
            </w14:solidFill>
          </w14:textFill>
        </w:rPr>
        <w:fldChar w:fldCharType="separate"/>
      </w:r>
      <w:r>
        <w:rPr>
          <w:rFonts w:hint="eastAsia" w:ascii="仿宋" w:hAnsi="仿宋" w:eastAsia="仿宋" w:cs="仿宋"/>
          <w:color w:val="000000" w:themeColor="text1"/>
          <w:spacing w:val="-4"/>
          <w:sz w:val="24"/>
          <w14:textFill>
            <w14:solidFill>
              <w14:schemeClr w14:val="tx1"/>
            </w14:solidFill>
          </w14:textFill>
        </w:rPr>
        <w:t>②</w:t>
      </w:r>
      <w:r>
        <w:rPr>
          <w:rFonts w:hint="eastAsia" w:ascii="仿宋" w:hAnsi="仿宋" w:eastAsia="仿宋" w:cs="仿宋"/>
          <w:color w:val="000000" w:themeColor="text1"/>
          <w:spacing w:val="-4"/>
          <w:sz w:val="24"/>
          <w14:textFill>
            <w14:solidFill>
              <w14:schemeClr w14:val="tx1"/>
            </w14:solidFill>
          </w14:textFill>
        </w:rPr>
        <w:fldChar w:fldCharType="end"/>
      </w:r>
      <w:r>
        <w:rPr>
          <w:rFonts w:hint="eastAsia" w:ascii="仿宋" w:hAnsi="仿宋" w:eastAsia="仿宋" w:cs="仿宋"/>
          <w:color w:val="000000" w:themeColor="text1"/>
          <w:spacing w:val="-4"/>
          <w:sz w:val="24"/>
          <w14:textFill>
            <w14:solidFill>
              <w14:schemeClr w14:val="tx1"/>
            </w14:solidFill>
          </w14:textFill>
        </w:rPr>
        <w:t>每月通过机、风巷防火管路，向采空区内注液态CO2，每月不少于二次。</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4、俯采期间防灭火方案</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（1）加强人工监测，每天对束管监测数据和人工取样色谱分析结果进行分析，发现有C2H4出现或CO浓度超过24ppm并增加较快时，及时采取相应措施并汇报通防部。</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（2）俯采期间对采空区进行预防性灌浆，每月不少于2次。</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（3）根据现场实际情况，布置机巷注氮管路出口，连续向采空区氧化带内注氮气。每月不少于2次。</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（4）俯采期间当工作面采空区及回风温度、CO有异常上升趋势时，根据需要进行预防性注液态CO2。每月不小于2次。</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left="0" w:leftChars="0" w:firstLine="464" w:firstLineChars="200"/>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lang w:val="en-US" w:eastAsia="zh-CN"/>
          <w14:textFill>
            <w14:solidFill>
              <w14:schemeClr w14:val="tx1"/>
            </w14:solidFill>
          </w14:textFill>
        </w:rPr>
        <w:t>5</w:t>
      </w:r>
      <w:r>
        <w:rPr>
          <w:rFonts w:ascii="仿宋" w:hAnsi="仿宋" w:eastAsia="仿宋" w:cs="仿宋"/>
          <w:color w:val="000000" w:themeColor="text1"/>
          <w:spacing w:val="-4"/>
          <w:sz w:val="24"/>
          <w14:textFill>
            <w14:solidFill>
              <w14:schemeClr w14:val="tx1"/>
            </w14:solidFill>
          </w14:textFill>
        </w:rPr>
        <w:t>、末采及收作期间防灭火方案</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（1）工作面在距停采线</w:t>
      </w:r>
      <w:r>
        <w:rPr>
          <w:rFonts w:hint="eastAsia" w:ascii="仿宋" w:hAnsi="仿宋" w:eastAsia="仿宋" w:cs="仿宋"/>
          <w:color w:val="000000" w:themeColor="text1"/>
          <w:spacing w:val="-4"/>
          <w:sz w:val="24"/>
          <w:lang w:val="en-US" w:eastAsia="zh-CN"/>
          <w14:textFill>
            <w14:solidFill>
              <w14:schemeClr w14:val="tx1"/>
            </w14:solidFill>
          </w14:textFill>
        </w:rPr>
        <w:t>50</w:t>
      </w:r>
      <w:r>
        <w:rPr>
          <w:rFonts w:ascii="仿宋" w:hAnsi="仿宋" w:eastAsia="仿宋" w:cs="仿宋"/>
          <w:color w:val="000000" w:themeColor="text1"/>
          <w:spacing w:val="-4"/>
          <w:sz w:val="24"/>
          <w14:textFill>
            <w14:solidFill>
              <w14:schemeClr w14:val="tx1"/>
            </w14:solidFill>
          </w14:textFill>
        </w:rPr>
        <w:t>m时开始不放顶煤，确保停采后架后煤体的完整性，减少采空区漏风和遗煤氧化。</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（2）距收作线17m时，工作面开始铺网上绳，隔离采空区，减少漏风。</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（3）在机巷、风巷指定位置提前预埋2</w:t>
      </w:r>
      <w:r>
        <w:rPr>
          <w:rFonts w:hint="eastAsia" w:ascii="仿宋" w:hAnsi="仿宋" w:eastAsia="仿宋" w:cs="仿宋"/>
          <w:color w:val="000000" w:themeColor="text1"/>
          <w:spacing w:val="-4"/>
          <w:sz w:val="24"/>
          <w:lang w:val="en-US" w:eastAsia="zh-CN"/>
          <w14:textFill>
            <w14:solidFill>
              <w14:schemeClr w14:val="tx1"/>
            </w14:solidFill>
          </w14:textFill>
        </w:rPr>
        <w:t>-3</w:t>
      </w:r>
      <w:r>
        <w:rPr>
          <w:rFonts w:ascii="仿宋" w:hAnsi="仿宋" w:eastAsia="仿宋" w:cs="仿宋"/>
          <w:color w:val="000000" w:themeColor="text1"/>
          <w:spacing w:val="-4"/>
          <w:sz w:val="24"/>
          <w14:textFill>
            <w14:solidFill>
              <w14:schemeClr w14:val="tx1"/>
            </w14:solidFill>
          </w14:textFill>
        </w:rPr>
        <w:t>趟架后全排筛眼防火管路贯穿整个工作面。在机巷、风巷指定位置提前预埋1趟灌浆、注胶管路</w:t>
      </w:r>
      <w:r>
        <w:rPr>
          <w:rFonts w:hint="eastAsia" w:ascii="仿宋" w:hAnsi="仿宋" w:eastAsia="仿宋" w:cs="仿宋"/>
          <w:color w:val="000000" w:themeColor="text1"/>
          <w:spacing w:val="-4"/>
          <w:sz w:val="24"/>
          <w14:textFill>
            <w14:solidFill>
              <w14:schemeClr w14:val="tx1"/>
            </w14:solidFill>
          </w14:textFill>
        </w:rPr>
        <w:t>，停采后对终采线及两顺槽采空区加强灌浆</w:t>
      </w:r>
      <w:r>
        <w:rPr>
          <w:rFonts w:ascii="仿宋" w:hAnsi="仿宋" w:eastAsia="仿宋" w:cs="仿宋"/>
          <w:color w:val="000000" w:themeColor="text1"/>
          <w:spacing w:val="-4"/>
          <w:sz w:val="24"/>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（4）上、下隅角建隔离墙并压注凝胶。</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（5）机、风巷铺设三路束管，每路采样口按20-30m迈步预埋至采空区内，沿工作面每10架在架后布置一个监测点。</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（6）降低工作面供风量，停抽或降低埋管抽放量，减小采空区漏风。</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（7）在切眼架后及机巷、风巷距离收作线25-30m位置施工收作钻场及防火钻孔进行注浆或注液态CO</w:t>
      </w:r>
      <w:r>
        <w:rPr>
          <w:rFonts w:ascii="仿宋" w:hAnsi="仿宋" w:eastAsia="仿宋" w:cs="仿宋"/>
          <w:color w:val="000000" w:themeColor="text1"/>
          <w:spacing w:val="-4"/>
          <w:sz w:val="24"/>
          <w:vertAlign w:val="subscript"/>
          <w14:textFill>
            <w14:solidFill>
              <w14:schemeClr w14:val="tx1"/>
            </w14:solidFill>
          </w14:textFill>
        </w:rPr>
        <w:t>2</w:t>
      </w:r>
      <w:r>
        <w:rPr>
          <w:rFonts w:ascii="仿宋" w:hAnsi="仿宋" w:eastAsia="仿宋" w:cs="仿宋"/>
          <w:color w:val="000000" w:themeColor="text1"/>
          <w:spacing w:val="-4"/>
          <w:sz w:val="24"/>
          <w14:textFill>
            <w14:solidFill>
              <w14:schemeClr w14:val="tx1"/>
            </w14:solidFill>
          </w14:textFill>
        </w:rPr>
        <w:t>，对采空区遗煤进行充填隔氧和阻化降温防灭火。</w:t>
      </w:r>
    </w:p>
    <w:p>
      <w:pPr>
        <w:keepNext w:val="0"/>
        <w:keepLines w:val="0"/>
        <w:pageBreakBefore w:val="0"/>
        <w:widowControl w:val="0"/>
        <w:kinsoku/>
        <w:wordWrap/>
        <w:overflowPunct/>
        <w:topLinePunct w:val="0"/>
        <w:autoSpaceDE/>
        <w:autoSpaceDN/>
        <w:bidi w:val="0"/>
        <w:snapToGrid w:val="0"/>
        <w:spacing w:line="420" w:lineRule="exact"/>
        <w:ind w:firstLine="0" w:firstLineChars="0"/>
        <w:textAlignment w:val="auto"/>
        <w:outlineLvl w:val="0"/>
        <w:rPr>
          <w:rFonts w:ascii="仿宋" w:hAnsi="仿宋" w:eastAsia="仿宋" w:cs="仿宋_GB2312"/>
          <w:b/>
          <w:sz w:val="24"/>
        </w:rPr>
      </w:pPr>
      <w:r>
        <w:rPr>
          <w:rFonts w:hint="eastAsia" w:ascii="仿宋" w:hAnsi="仿宋" w:eastAsia="仿宋" w:cs="仿宋"/>
          <w:b/>
          <w:color w:val="000000" w:themeColor="text1"/>
          <w:sz w:val="24"/>
          <w14:textFill>
            <w14:solidFill>
              <w14:schemeClr w14:val="tx1"/>
            </w14:solidFill>
          </w14:textFill>
        </w:rPr>
        <w:t>（三）</w:t>
      </w:r>
      <w:r>
        <w:rPr>
          <w:rFonts w:hint="eastAsia" w:ascii="仿宋" w:hAnsi="仿宋" w:eastAsia="仿宋" w:cs="仿宋_GB2312"/>
          <w:b/>
          <w:sz w:val="24"/>
        </w:rPr>
        <w:t>工作面防灭火系统设计</w:t>
      </w:r>
    </w:p>
    <w:p>
      <w:pPr>
        <w:keepNext w:val="0"/>
        <w:keepLines w:val="0"/>
        <w:pageBreakBefore w:val="0"/>
        <w:widowControl w:val="0"/>
        <w:kinsoku/>
        <w:wordWrap/>
        <w:overflowPunct/>
        <w:topLinePunct w:val="0"/>
        <w:autoSpaceDE/>
        <w:autoSpaceDN/>
        <w:bidi w:val="0"/>
        <w:snapToGrid w:val="0"/>
        <w:spacing w:line="420" w:lineRule="exact"/>
        <w:ind w:firstLine="0" w:firstLineChars="0"/>
        <w:textAlignment w:val="auto"/>
        <w:rPr>
          <w:rFonts w:ascii="仿宋" w:hAnsi="仿宋" w:eastAsia="仿宋"/>
          <w:b/>
          <w:sz w:val="24"/>
        </w:rPr>
      </w:pPr>
      <w:bookmarkStart w:id="317" w:name="_Toc2841296"/>
      <w:r>
        <w:rPr>
          <w:rFonts w:hint="eastAsia" w:ascii="仿宋" w:hAnsi="仿宋" w:eastAsia="仿宋"/>
          <w:b/>
          <w:sz w:val="24"/>
        </w:rPr>
        <w:t>1、灌浆系统设计</w:t>
      </w:r>
      <w:bookmarkEnd w:id="317"/>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（1）制浆系统</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采用地面固定式灌浆站集中灌浆，灌浆材料选用黄土。正常回采期间，对1303工作面采空区进行预防性灌浆，每月不少于2次；缓采期间（日推进度小于3刀），对采空区进行预防性灌浆，每月不少于3次</w:t>
      </w:r>
      <w:r>
        <w:rPr>
          <w:rFonts w:ascii="仿宋" w:hAnsi="仿宋" w:eastAsia="仿宋" w:cs="仿宋"/>
          <w:color w:val="000000" w:themeColor="text1"/>
          <w:spacing w:val="-4"/>
          <w:sz w:val="24"/>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（2）灌浆参数的选择</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按回采工作面每小时灌浆量计算：</w:t>
      </w:r>
    </w:p>
    <w:p>
      <w:pPr>
        <w:pStyle w:val="2"/>
        <w:keepNext w:val="0"/>
        <w:keepLines w:val="0"/>
        <w:pageBreakBefore w:val="0"/>
        <w:widowControl w:val="0"/>
        <w:kinsoku/>
        <w:wordWrap/>
        <w:overflowPunct/>
        <w:topLinePunct w:val="0"/>
        <w:autoSpaceDE/>
        <w:autoSpaceDN/>
        <w:bidi w:val="0"/>
        <w:spacing w:line="420" w:lineRule="exact"/>
        <w:ind w:firstLine="480"/>
        <w:textAlignment w:val="auto"/>
        <w:rPr>
          <w:rFonts w:ascii="Times New Roman" w:hAnsi="Times New Roman" w:eastAsia="仿宋_GB2312"/>
          <w:sz w:val="28"/>
          <w:szCs w:val="28"/>
        </w:rPr>
      </w:pPr>
      <w:r>
        <w:rPr>
          <w:rFonts w:ascii="Times New Roman" w:hAnsi="Times New Roman" w:eastAsia="仿宋_GB2312"/>
          <w:position w:val="-30"/>
        </w:rPr>
        <w:object>
          <v:shape id="_x0000_i1027" o:spt="75" type="#_x0000_t75" style="height:28.4pt;width:110.75pt;" o:ole="t" filled="f" o:preferrelative="t" stroked="f" coordsize="21600,21600">
            <v:path/>
            <v:fill on="f" focussize="0,0"/>
            <v:stroke on="f" joinstyle="miter"/>
            <v:imagedata r:id="rId32" o:title=""/>
            <o:lock v:ext="edit" aspectratio="t"/>
            <w10:wrap type="none"/>
            <w10:anchorlock/>
          </v:shape>
          <o:OLEObject Type="Embed" ProgID="Equation.3" ShapeID="_x0000_i1027" DrawAspect="Content" ObjectID="_1468075727" r:id="rId31">
            <o:LockedField>false</o:LockedField>
          </o:OLEObject>
        </w:objec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式中：</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Q—回采工作面灌浆量，m3/h，</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G—工作面日产量，t/d，取7200t；</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W—工作面灌浆宽度，m，工作面宽度大于100m，取100；</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h—灌浆材料覆盖厚度，可取0.05-0.25m，取0.12；</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δ—水土比倒数，可取3-5，取4：1；</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M—浆液制成率，取0.9；</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ρC—煤的密度，根据测定结果，取1.4t/m3；</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H—工作面回采高度，综放工作面取割煤高度加放顶煤高度之和乘以顶煤回收率，m，H =10.43*0.93=9.7；</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L—工作面长度，取180m；</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N—灌浆添加剂防灭火效率因子，一般取1-2，根据矿井实际情况，取1.5，</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t—灌注时间，h/d，取4 h/d。</w:t>
      </w:r>
    </w:p>
    <w:p>
      <w:pPr>
        <w:keepNext w:val="0"/>
        <w:keepLines w:val="0"/>
        <w:pageBreakBefore w:val="0"/>
        <w:widowControl w:val="0"/>
        <w:kinsoku/>
        <w:wordWrap/>
        <w:overflowPunct/>
        <w:topLinePunct w:val="0"/>
        <w:autoSpaceDE/>
        <w:autoSpaceDN/>
        <w:bidi w:val="0"/>
        <w:spacing w:line="420" w:lineRule="exact"/>
        <w:ind w:left="496" w:leftChars="236" w:firstLine="821" w:firstLineChars="354"/>
        <w:textAlignment w:val="auto"/>
        <w:rPr>
          <w:sz w:val="28"/>
          <w:szCs w:val="28"/>
          <w:highlight w:val="yellow"/>
        </w:rPr>
      </w:pPr>
      <m:oMathPara>
        <m:oMath>
          <m:r>
            <m:rPr>
              <m:sty m:val="p"/>
            </m:r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t>Q=</m:t>
          </m:r>
          <m:f>
            <m:fPr>
              <m:ctrl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ctrlPr>
            </m:fPr>
            <m:num>
              <m:r>
                <m:rPr>
                  <m:sty m:val="p"/>
                </m:r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t>7200∗100∗0.15∗</m:t>
              </m:r>
              <m:d>
                <m:dPr>
                  <m:ctrl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ctrlPr>
                </m:dPr>
                <m:e>
                  <m:r>
                    <m:rPr>
                      <m:sty m:val="p"/>
                    </m:r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t>4+1</m:t>
                  </m:r>
                  <m:ctrl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ctrlPr>
                </m:e>
              </m:d>
              <m:r>
                <m:rPr>
                  <m:sty m:val="p"/>
                </m:r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t>∗0.9</m:t>
              </m:r>
              <m:ctrl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ctrlPr>
            </m:num>
            <m:den>
              <m:r>
                <m:rPr>
                  <m:sty m:val="p"/>
                </m:r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t>1.4∗9.7∗180∗1.5∗5</m:t>
              </m:r>
              <m:ctrlPr>
                <w:rPr>
                  <w:rFonts w:hint="eastAsia" w:ascii="Cambria Math" w:hAnsi="Cambria Math" w:eastAsia="仿宋" w:cs="仿宋"/>
                  <w:color w:val="000000" w:themeColor="text1"/>
                  <w:spacing w:val="-4"/>
                  <w:kern w:val="2"/>
                  <w:sz w:val="24"/>
                  <w:szCs w:val="24"/>
                  <w:lang w:val="en-US" w:eastAsia="zh-CN" w:bidi="ar-SA"/>
                  <w14:textFill>
                    <w14:solidFill>
                      <w14:schemeClr w14:val="tx1"/>
                    </w14:solidFill>
                  </w14:textFill>
                </w:rPr>
              </m:ctrlPr>
            </m:den>
          </m:f>
        </m:oMath>
      </m:oMathPara>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=26.5 m³/h</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按每天灌注4h计算，每天需要灌浆量106m3。地面制浆系统的灌浆能力为60m3/h，根据实际灌浆工序，注浆时间段暂定为8:30-11:30，确保工作面灌浆要求。灌浆通过1303工作面机巷灌浆管路对采空区进行预防性灌浆，防止采空区自然发火。</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（3）灌浆操作流程</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hint="eastAsia" w:ascii="仿宋" w:hAnsi="仿宋" w:eastAsia="仿宋" w:cs="仿宋"/>
          <w:color w:val="000000" w:themeColor="text1"/>
          <w:spacing w:val="-4"/>
          <w:sz w:val="24"/>
          <w:lang w:val="en-US" w:eastAsia="zh-CN"/>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地面灌浆采用重力灌浆方式。打开供水阀门，根据计划灌浆的流量和浓度调整水量；通水一段时间后使用装载机（推土机）把制浆材料从储料场加入到定量送料机料箱内，定量送料机会按已设定的输送量把制浆材料均匀地送上输送机，再由输送机把制浆材料送入制浆机；水也在制浆机的进料口位置加入，制浆机把水与制浆材料混合、搅拌制成均匀浓度浆液，并将浆液中大于15mm的颗粒滤出；由悬浮剂添加机在制浆机出口管加入悬浮剂，浆液与悬浮剂进入滤浆机后进行搅拌混合；浆液自流进入滤浆机，滤浆机将浆液中大于8mm的颗粒滤出，以免输浆管路中形成沉淀堵塞管路；合格浆液自流进入缓冲池，由渣浆泵（泥浆泵）送至井下注浆地点（或不使用泵送，由滤浆机出口管路直接自流下井）。</w:t>
      </w:r>
      <w:r>
        <w:rPr>
          <w:rFonts w:hint="eastAsia" w:ascii="仿宋" w:hAnsi="仿宋" w:eastAsia="仿宋" w:cs="仿宋"/>
          <w:color w:val="000000" w:themeColor="text1"/>
          <w:spacing w:val="-4"/>
          <w:sz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napToGrid w:val="0"/>
        <w:spacing w:line="420" w:lineRule="exact"/>
        <w:ind w:firstLine="0" w:firstLineChars="0"/>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sz w:val="24"/>
        </w:rPr>
        <w:t>（</w:t>
      </w:r>
      <w:r>
        <w:rPr>
          <w:rFonts w:hint="eastAsia" w:ascii="仿宋" w:hAnsi="仿宋" w:eastAsia="仿宋" w:cs="仿宋"/>
          <w:color w:val="000000" w:themeColor="text1"/>
          <w:spacing w:val="-4"/>
          <w:sz w:val="24"/>
          <w14:textFill>
            <w14:solidFill>
              <w14:schemeClr w14:val="tx1"/>
            </w14:solidFill>
          </w14:textFill>
        </w:rPr>
        <w:t>4）管路系统布置</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地面灌浆站→主斜井→+980m绕道联巷→1303机联巷→1303工作面机巷→1303工作面采空区。</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利用预埋灌浆管路进行防灭火灌浆，回采前形成灌浆系统。</w:t>
      </w:r>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bookmarkStart w:id="318" w:name="_Toc2841297"/>
      <w:r>
        <w:rPr>
          <w:rFonts w:ascii="仿宋" w:hAnsi="仿宋" w:eastAsia="仿宋" w:cs="仿宋"/>
          <w:color w:val="000000" w:themeColor="text1"/>
          <w:spacing w:val="-4"/>
          <w:sz w:val="24"/>
          <w14:textFill>
            <w14:solidFill>
              <w14:schemeClr w14:val="tx1"/>
            </w14:solidFill>
          </w14:textFill>
        </w:rPr>
        <w:t>2、注氮系统设计</w:t>
      </w:r>
      <w:bookmarkEnd w:id="318"/>
    </w:p>
    <w:p>
      <w:pPr>
        <w:pStyle w:val="12"/>
        <w:keepNext w:val="0"/>
        <w:keepLines w:val="0"/>
        <w:pageBreakBefore w:val="0"/>
        <w:widowControl w:val="0"/>
        <w:kinsoku/>
        <w:wordWrap/>
        <w:overflowPunct/>
        <w:topLinePunct w:val="0"/>
        <w:autoSpaceDE/>
        <w:autoSpaceDN/>
        <w:bidi w:val="0"/>
        <w:adjustRightInd w:val="0"/>
        <w:snapToGrid w:val="0"/>
        <w:spacing w:after="0" w:line="420" w:lineRule="exact"/>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（1） 制氮设备及安装地点</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696" w:firstLineChars="300"/>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选用3台DMJ-1200型膜分离制氮机，每台实际产氮量不小于1000</w:t>
      </w:r>
      <w:r>
        <w:rPr>
          <w:rFonts w:hint="eastAsia" w:ascii="仿宋" w:hAnsi="仿宋" w:eastAsia="仿宋"/>
          <w:color w:val="000000" w:themeColor="text1"/>
          <w:sz w:val="24"/>
          <w:lang w:val="en-US" w:eastAsia="zh-CN"/>
          <w14:textFill>
            <w14:solidFill>
              <w14:schemeClr w14:val="tx1"/>
            </w14:solidFill>
          </w14:textFill>
        </w:rPr>
        <w:t>m³</w:t>
      </w:r>
      <w:r>
        <w:rPr>
          <w:rFonts w:ascii="仿宋" w:hAnsi="仿宋" w:eastAsia="仿宋" w:cs="仿宋"/>
          <w:color w:val="000000" w:themeColor="text1"/>
          <w:spacing w:val="-4"/>
          <w:sz w:val="24"/>
          <w14:textFill>
            <w14:solidFill>
              <w14:schemeClr w14:val="tx1"/>
            </w14:solidFill>
          </w14:textFill>
        </w:rPr>
        <w:t>/h，纯度≥97%，氮气出口压力≥0.8Mpa。制氮机设备安装在+780m水平制氮机硐室。</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（2）注氮量计算</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单位时间内注氮充满采煤所形成的空间，使氧气浓度降到防灭火惰化指标以下，计算公式为：</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m:oMathPara>
        <m:oMath>
          <m:r>
            <m:rPr>
              <m:sty m:val="p"/>
            </m:rPr>
            <w:rPr>
              <w:rFonts w:hint="eastAsia" w:ascii="Cambria Math" w:hAnsi="Cambria Math" w:eastAsia="仿宋" w:cs="仿宋"/>
              <w:color w:val="000000" w:themeColor="text1"/>
              <w:spacing w:val="-4"/>
              <w:sz w:val="24"/>
              <w14:textFill>
                <w14:solidFill>
                  <w14:schemeClr w14:val="tx1"/>
                </w14:solidFill>
              </w14:textFill>
            </w:rPr>
            <m:t>Q=</m:t>
          </m:r>
          <m:r>
            <m:rPr>
              <m:sty m:val="p"/>
            </m:rPr>
            <w:rPr>
              <w:rFonts w:ascii="Cambria Math" w:hAnsi="Cambria Math" w:eastAsia="仿宋" w:cs="仿宋"/>
              <w:color w:val="000000" w:themeColor="text1"/>
              <w:spacing w:val="-4"/>
              <w:sz w:val="24"/>
              <w14:textFill>
                <w14:solidFill>
                  <w14:schemeClr w14:val="tx1"/>
                </w14:solidFill>
              </w14:textFill>
            </w:rPr>
            <m:t>60∗</m:t>
          </m:r>
          <m:sSub>
            <m:sSubPr>
              <m:ctrlPr>
                <w:rPr>
                  <w:rFonts w:ascii="Cambria Math" w:hAnsi="Cambria Math" w:eastAsia="仿宋" w:cs="仿宋"/>
                  <w:color w:val="000000" w:themeColor="text1"/>
                  <w:spacing w:val="-4"/>
                  <w:sz w:val="24"/>
                  <w14:textFill>
                    <w14:solidFill>
                      <w14:schemeClr w14:val="tx1"/>
                    </w14:solidFill>
                  </w14:textFill>
                </w:rPr>
              </m:ctrlPr>
            </m:sSubPr>
            <m:e>
              <m:r>
                <m:rPr>
                  <m:sty m:val="p"/>
                </m:rPr>
                <w:rPr>
                  <w:rFonts w:ascii="Cambria Math" w:hAnsi="Cambria Math" w:eastAsia="仿宋" w:cs="仿宋"/>
                  <w:color w:val="000000" w:themeColor="text1"/>
                  <w:spacing w:val="-4"/>
                  <w:sz w:val="24"/>
                  <w14:textFill>
                    <w14:solidFill>
                      <w14:schemeClr w14:val="tx1"/>
                    </w14:solidFill>
                  </w14:textFill>
                </w:rPr>
                <m:t>Q</m:t>
              </m:r>
              <m:ctrlPr>
                <w:rPr>
                  <w:rFonts w:ascii="Cambria Math" w:hAnsi="Cambria Math" w:eastAsia="仿宋" w:cs="仿宋"/>
                  <w:color w:val="000000" w:themeColor="text1"/>
                  <w:spacing w:val="-4"/>
                  <w:sz w:val="24"/>
                  <w14:textFill>
                    <w14:solidFill>
                      <w14:schemeClr w14:val="tx1"/>
                    </w14:solidFill>
                  </w14:textFill>
                </w:rPr>
              </m:ctrlPr>
            </m:e>
            <m:sub>
              <m:r>
                <m:rPr>
                  <m:sty m:val="p"/>
                </m:rPr>
                <w:rPr>
                  <w:rFonts w:ascii="Cambria Math" w:hAnsi="Cambria Math" w:eastAsia="仿宋" w:cs="仿宋"/>
                  <w:color w:val="000000" w:themeColor="text1"/>
                  <w:spacing w:val="-4"/>
                  <w:sz w:val="24"/>
                  <w14:textFill>
                    <w14:solidFill>
                      <w14:schemeClr w14:val="tx1"/>
                    </w14:solidFill>
                  </w14:textFill>
                </w:rPr>
                <m:t>O</m:t>
              </m:r>
              <m:ctrlPr>
                <w:rPr>
                  <w:rFonts w:ascii="Cambria Math" w:hAnsi="Cambria Math" w:eastAsia="仿宋" w:cs="仿宋"/>
                  <w:color w:val="000000" w:themeColor="text1"/>
                  <w:spacing w:val="-4"/>
                  <w:sz w:val="24"/>
                  <w14:textFill>
                    <w14:solidFill>
                      <w14:schemeClr w14:val="tx1"/>
                    </w14:solidFill>
                  </w14:textFill>
                </w:rPr>
              </m:ctrlPr>
            </m:sub>
          </m:sSub>
          <m:f>
            <m:fPr>
              <m:ctrlPr>
                <w:rPr>
                  <w:rFonts w:ascii="Cambria Math" w:hAnsi="Cambria Math" w:eastAsia="仿宋" w:cs="仿宋"/>
                  <w:color w:val="000000" w:themeColor="text1"/>
                  <w:spacing w:val="-4"/>
                  <w:sz w:val="24"/>
                  <w14:textFill>
                    <w14:solidFill>
                      <w14:schemeClr w14:val="tx1"/>
                    </w14:solidFill>
                  </w14:textFill>
                </w:rPr>
              </m:ctrlPr>
            </m:fPr>
            <m:num>
              <m:sSub>
                <m:sSubPr>
                  <m:ctrlPr>
                    <w:rPr>
                      <w:rFonts w:ascii="Cambria Math" w:hAnsi="Cambria Math" w:eastAsia="仿宋" w:cs="仿宋"/>
                      <w:color w:val="000000" w:themeColor="text1"/>
                      <w:spacing w:val="-4"/>
                      <w:sz w:val="24"/>
                      <w14:textFill>
                        <w14:solidFill>
                          <w14:schemeClr w14:val="tx1"/>
                        </w14:solidFill>
                      </w14:textFill>
                    </w:rPr>
                  </m:ctrlPr>
                </m:sSubPr>
                <m:e>
                  <m:r>
                    <m:rPr>
                      <m:sty m:val="p"/>
                    </m:rPr>
                    <w:rPr>
                      <w:rFonts w:ascii="Cambria Math" w:hAnsi="Cambria Math" w:eastAsia="仿宋" w:cs="仿宋"/>
                      <w:color w:val="000000" w:themeColor="text1"/>
                      <w:spacing w:val="-4"/>
                      <w:sz w:val="24"/>
                      <w14:textFill>
                        <w14:solidFill>
                          <w14:schemeClr w14:val="tx1"/>
                        </w14:solidFill>
                      </w14:textFill>
                    </w:rPr>
                    <m:t>C</m:t>
                  </m:r>
                  <m:ctrlPr>
                    <w:rPr>
                      <w:rFonts w:ascii="Cambria Math" w:hAnsi="Cambria Math" w:eastAsia="仿宋" w:cs="仿宋"/>
                      <w:color w:val="000000" w:themeColor="text1"/>
                      <w:spacing w:val="-4"/>
                      <w:sz w:val="24"/>
                      <w14:textFill>
                        <w14:solidFill>
                          <w14:schemeClr w14:val="tx1"/>
                        </w14:solidFill>
                      </w14:textFill>
                    </w:rPr>
                  </m:ctrlPr>
                </m:e>
                <m:sub>
                  <m:eqArr>
                    <m:eqArrPr>
                      <m:ctrlPr>
                        <w:rPr>
                          <w:rFonts w:ascii="Cambria Math" w:hAnsi="Cambria Math" w:eastAsia="仿宋" w:cs="仿宋"/>
                          <w:color w:val="000000" w:themeColor="text1"/>
                          <w:spacing w:val="-4"/>
                          <w:sz w:val="24"/>
                          <w14:textFill>
                            <w14:solidFill>
                              <w14:schemeClr w14:val="tx1"/>
                            </w14:solidFill>
                          </w14:textFill>
                        </w:rPr>
                      </m:ctrlPr>
                    </m:eqArrPr>
                    <m:e>
                      <m:r>
                        <m:rPr>
                          <m:sty m:val="p"/>
                        </m:rPr>
                        <w:rPr>
                          <w:rFonts w:ascii="Cambria Math" w:hAnsi="Cambria Math" w:eastAsia="仿宋" w:cs="仿宋"/>
                          <w:color w:val="000000" w:themeColor="text1"/>
                          <w:spacing w:val="-4"/>
                          <w:sz w:val="24"/>
                          <w14:textFill>
                            <w14:solidFill>
                              <w14:schemeClr w14:val="tx1"/>
                            </w14:solidFill>
                          </w14:textFill>
                        </w:rPr>
                        <m:t>1</m:t>
                      </m:r>
                      <m:ctrlPr>
                        <w:rPr>
                          <w:rFonts w:ascii="Cambria Math" w:hAnsi="Cambria Math" w:eastAsia="仿宋" w:cs="仿宋"/>
                          <w:color w:val="000000" w:themeColor="text1"/>
                          <w:spacing w:val="-4"/>
                          <w:sz w:val="24"/>
                          <w14:textFill>
                            <w14:solidFill>
                              <w14:schemeClr w14:val="tx1"/>
                            </w14:solidFill>
                          </w14:textFill>
                        </w:rPr>
                      </m:ctrlPr>
                    </m:e>
                    <m:e>
                      <m:r>
                        <m:rPr>
                          <m:sty m:val="p"/>
                        </m:rPr>
                        <w:rPr>
                          <w:rFonts w:ascii="Cambria Math" w:hAnsi="Cambria Math" w:eastAsia="仿宋" w:cs="仿宋"/>
                          <w:color w:val="000000" w:themeColor="text1"/>
                          <w:spacing w:val="-4"/>
                          <w:sz w:val="24"/>
                          <w14:textFill>
                            <w14:solidFill>
                              <w14:schemeClr w14:val="tx1"/>
                            </w14:solidFill>
                          </w14:textFill>
                        </w:rPr>
                        <m:t xml:space="preserve"> </m:t>
                      </m:r>
                      <m:ctrlPr>
                        <w:rPr>
                          <w:rFonts w:ascii="Cambria Math" w:hAnsi="Cambria Math" w:eastAsia="仿宋" w:cs="仿宋"/>
                          <w:color w:val="000000" w:themeColor="text1"/>
                          <w:spacing w:val="-4"/>
                          <w:sz w:val="24"/>
                          <w14:textFill>
                            <w14:solidFill>
                              <w14:schemeClr w14:val="tx1"/>
                            </w14:solidFill>
                          </w14:textFill>
                        </w:rPr>
                      </m:ctrlPr>
                    </m:e>
                  </m:eqArr>
                  <m:ctrlPr>
                    <w:rPr>
                      <w:rFonts w:ascii="Cambria Math" w:hAnsi="Cambria Math" w:eastAsia="仿宋" w:cs="仿宋"/>
                      <w:color w:val="000000" w:themeColor="text1"/>
                      <w:spacing w:val="-4"/>
                      <w:sz w:val="24"/>
                      <w14:textFill>
                        <w14:solidFill>
                          <w14:schemeClr w14:val="tx1"/>
                        </w14:solidFill>
                      </w14:textFill>
                    </w:rPr>
                  </m:ctrlPr>
                </m:sub>
              </m:sSub>
              <m:r>
                <m:rPr>
                  <m:sty m:val="p"/>
                </m:rPr>
                <w:rPr>
                  <w:rFonts w:ascii="Cambria Math" w:hAnsi="Cambria Math" w:eastAsia="仿宋" w:cs="仿宋"/>
                  <w:color w:val="000000" w:themeColor="text1"/>
                  <w:spacing w:val="-4"/>
                  <w:sz w:val="24"/>
                  <w14:textFill>
                    <w14:solidFill>
                      <w14:schemeClr w14:val="tx1"/>
                    </w14:solidFill>
                  </w14:textFill>
                </w:rPr>
                <m:t xml:space="preserve"> −</m:t>
              </m:r>
              <m:sSub>
                <m:sSubPr>
                  <m:ctrlPr>
                    <w:rPr>
                      <w:rFonts w:ascii="Cambria Math" w:hAnsi="Cambria Math" w:eastAsia="仿宋" w:cs="仿宋"/>
                      <w:color w:val="000000" w:themeColor="text1"/>
                      <w:spacing w:val="-4"/>
                      <w:sz w:val="24"/>
                      <w14:textFill>
                        <w14:solidFill>
                          <w14:schemeClr w14:val="tx1"/>
                        </w14:solidFill>
                      </w14:textFill>
                    </w:rPr>
                  </m:ctrlPr>
                </m:sSubPr>
                <m:e>
                  <m:r>
                    <m:rPr>
                      <m:sty m:val="p"/>
                    </m:rPr>
                    <w:rPr>
                      <w:rFonts w:ascii="Cambria Math" w:hAnsi="Cambria Math" w:eastAsia="仿宋" w:cs="仿宋"/>
                      <w:color w:val="000000" w:themeColor="text1"/>
                      <w:spacing w:val="-4"/>
                      <w:sz w:val="24"/>
                      <w14:textFill>
                        <w14:solidFill>
                          <w14:schemeClr w14:val="tx1"/>
                        </w14:solidFill>
                      </w14:textFill>
                    </w:rPr>
                    <m:t>C</m:t>
                  </m:r>
                  <m:ctrlPr>
                    <w:rPr>
                      <w:rFonts w:ascii="Cambria Math" w:hAnsi="Cambria Math" w:eastAsia="仿宋" w:cs="仿宋"/>
                      <w:color w:val="000000" w:themeColor="text1"/>
                      <w:spacing w:val="-4"/>
                      <w:sz w:val="24"/>
                      <w14:textFill>
                        <w14:solidFill>
                          <w14:schemeClr w14:val="tx1"/>
                        </w14:solidFill>
                      </w14:textFill>
                    </w:rPr>
                  </m:ctrlPr>
                </m:e>
                <m:sub>
                  <m:r>
                    <m:rPr>
                      <m:sty m:val="p"/>
                    </m:rPr>
                    <w:rPr>
                      <w:rFonts w:ascii="Cambria Math" w:hAnsi="Cambria Math" w:eastAsia="仿宋" w:cs="仿宋"/>
                      <w:color w:val="000000" w:themeColor="text1"/>
                      <w:spacing w:val="-4"/>
                      <w:sz w:val="24"/>
                      <w14:textFill>
                        <w14:solidFill>
                          <w14:schemeClr w14:val="tx1"/>
                        </w14:solidFill>
                      </w14:textFill>
                    </w:rPr>
                    <m:t>2</m:t>
                  </m:r>
                  <m:ctrlPr>
                    <w:rPr>
                      <w:rFonts w:ascii="Cambria Math" w:hAnsi="Cambria Math" w:eastAsia="仿宋" w:cs="仿宋"/>
                      <w:color w:val="000000" w:themeColor="text1"/>
                      <w:spacing w:val="-4"/>
                      <w:sz w:val="24"/>
                      <w14:textFill>
                        <w14:solidFill>
                          <w14:schemeClr w14:val="tx1"/>
                        </w14:solidFill>
                      </w14:textFill>
                    </w:rPr>
                  </m:ctrlPr>
                </m:sub>
              </m:sSub>
              <m:r>
                <m:rPr>
                  <m:sty m:val="p"/>
                </m:rPr>
                <w:rPr>
                  <w:rFonts w:ascii="Cambria Math" w:hAnsi="Cambria Math" w:eastAsia="仿宋" w:cs="仿宋"/>
                  <w:color w:val="000000" w:themeColor="text1"/>
                  <w:spacing w:val="-4"/>
                  <w:sz w:val="24"/>
                  <w14:textFill>
                    <w14:solidFill>
                      <w14:schemeClr w14:val="tx1"/>
                    </w14:solidFill>
                  </w14:textFill>
                </w:rPr>
                <m:t xml:space="preserve"> </m:t>
              </m:r>
              <m:ctrlPr>
                <w:rPr>
                  <w:rFonts w:ascii="Cambria Math" w:hAnsi="Cambria Math" w:eastAsia="仿宋" w:cs="仿宋"/>
                  <w:color w:val="000000" w:themeColor="text1"/>
                  <w:spacing w:val="-4"/>
                  <w:sz w:val="24"/>
                  <w14:textFill>
                    <w14:solidFill>
                      <w14:schemeClr w14:val="tx1"/>
                    </w14:solidFill>
                  </w14:textFill>
                </w:rPr>
              </m:ctrlPr>
            </m:num>
            <m:den>
              <m:sSub>
                <m:sSubPr>
                  <m:ctrlPr>
                    <w:rPr>
                      <w:rFonts w:ascii="Cambria Math" w:hAnsi="Cambria Math" w:eastAsia="仿宋" w:cs="仿宋"/>
                      <w:color w:val="000000" w:themeColor="text1"/>
                      <w:spacing w:val="-4"/>
                      <w:sz w:val="24"/>
                      <w14:textFill>
                        <w14:solidFill>
                          <w14:schemeClr w14:val="tx1"/>
                        </w14:solidFill>
                      </w14:textFill>
                    </w:rPr>
                  </m:ctrlPr>
                </m:sSubPr>
                <m:e>
                  <m:r>
                    <m:rPr>
                      <m:sty m:val="p"/>
                    </m:rPr>
                    <w:rPr>
                      <w:rFonts w:ascii="Cambria Math" w:hAnsi="Cambria Math" w:eastAsia="仿宋" w:cs="仿宋"/>
                      <w:color w:val="000000" w:themeColor="text1"/>
                      <w:spacing w:val="-4"/>
                      <w:sz w:val="24"/>
                      <w14:textFill>
                        <w14:solidFill>
                          <w14:schemeClr w14:val="tx1"/>
                        </w14:solidFill>
                      </w14:textFill>
                    </w:rPr>
                    <m:t>C</m:t>
                  </m:r>
                  <m:ctrlPr>
                    <w:rPr>
                      <w:rFonts w:ascii="Cambria Math" w:hAnsi="Cambria Math" w:eastAsia="仿宋" w:cs="仿宋"/>
                      <w:color w:val="000000" w:themeColor="text1"/>
                      <w:spacing w:val="-4"/>
                      <w:sz w:val="24"/>
                      <w14:textFill>
                        <w14:solidFill>
                          <w14:schemeClr w14:val="tx1"/>
                        </w14:solidFill>
                      </w14:textFill>
                    </w:rPr>
                  </m:ctrlPr>
                </m:e>
                <m:sub>
                  <m:r>
                    <m:rPr>
                      <m:sty m:val="p"/>
                    </m:rPr>
                    <w:rPr>
                      <w:rFonts w:ascii="Cambria Math" w:hAnsi="Cambria Math" w:eastAsia="仿宋" w:cs="仿宋"/>
                      <w:color w:val="000000" w:themeColor="text1"/>
                      <w:spacing w:val="-4"/>
                      <w:sz w:val="24"/>
                      <w14:textFill>
                        <w14:solidFill>
                          <w14:schemeClr w14:val="tx1"/>
                        </w14:solidFill>
                      </w14:textFill>
                    </w:rPr>
                    <m:t>N</m:t>
                  </m:r>
                  <m:ctrlPr>
                    <w:rPr>
                      <w:rFonts w:ascii="Cambria Math" w:hAnsi="Cambria Math" w:eastAsia="仿宋" w:cs="仿宋"/>
                      <w:color w:val="000000" w:themeColor="text1"/>
                      <w:spacing w:val="-4"/>
                      <w:sz w:val="24"/>
                      <w14:textFill>
                        <w14:solidFill>
                          <w14:schemeClr w14:val="tx1"/>
                        </w14:solidFill>
                      </w14:textFill>
                    </w:rPr>
                  </m:ctrlPr>
                </m:sub>
              </m:sSub>
              <m:r>
                <m:rPr>
                  <m:sty m:val="p"/>
                </m:rPr>
                <w:rPr>
                  <w:rFonts w:ascii="Cambria Math" w:hAnsi="Cambria Math" w:eastAsia="仿宋" w:cs="仿宋"/>
                  <w:color w:val="000000" w:themeColor="text1"/>
                  <w:spacing w:val="-4"/>
                  <w:sz w:val="24"/>
                  <w14:textFill>
                    <w14:solidFill>
                      <w14:schemeClr w14:val="tx1"/>
                    </w14:solidFill>
                  </w14:textFill>
                </w:rPr>
                <m:t>+</m:t>
              </m:r>
              <m:sSub>
                <m:sSubPr>
                  <m:ctrlPr>
                    <w:rPr>
                      <w:rFonts w:ascii="Cambria Math" w:hAnsi="Cambria Math" w:eastAsia="仿宋" w:cs="仿宋"/>
                      <w:color w:val="000000" w:themeColor="text1"/>
                      <w:spacing w:val="-4"/>
                      <w:sz w:val="24"/>
                      <w14:textFill>
                        <w14:solidFill>
                          <w14:schemeClr w14:val="tx1"/>
                        </w14:solidFill>
                      </w14:textFill>
                    </w:rPr>
                  </m:ctrlPr>
                </m:sSubPr>
                <m:e>
                  <m:r>
                    <m:rPr>
                      <m:sty m:val="p"/>
                    </m:rPr>
                    <w:rPr>
                      <w:rFonts w:ascii="Cambria Math" w:hAnsi="Cambria Math" w:eastAsia="仿宋" w:cs="仿宋"/>
                      <w:color w:val="000000" w:themeColor="text1"/>
                      <w:spacing w:val="-4"/>
                      <w:sz w:val="24"/>
                      <w14:textFill>
                        <w14:solidFill>
                          <w14:schemeClr w14:val="tx1"/>
                        </w14:solidFill>
                      </w14:textFill>
                    </w:rPr>
                    <m:t>C</m:t>
                  </m:r>
                  <m:ctrlPr>
                    <w:rPr>
                      <w:rFonts w:ascii="Cambria Math" w:hAnsi="Cambria Math" w:eastAsia="仿宋" w:cs="仿宋"/>
                      <w:color w:val="000000" w:themeColor="text1"/>
                      <w:spacing w:val="-4"/>
                      <w:sz w:val="24"/>
                      <w14:textFill>
                        <w14:solidFill>
                          <w14:schemeClr w14:val="tx1"/>
                        </w14:solidFill>
                      </w14:textFill>
                    </w:rPr>
                  </m:ctrlPr>
                </m:e>
                <m:sub>
                  <m:r>
                    <m:rPr>
                      <m:sty m:val="p"/>
                    </m:rPr>
                    <w:rPr>
                      <w:rFonts w:ascii="Cambria Math" w:hAnsi="Cambria Math" w:eastAsia="仿宋" w:cs="仿宋"/>
                      <w:color w:val="000000" w:themeColor="text1"/>
                      <w:spacing w:val="-4"/>
                      <w:sz w:val="24"/>
                      <w14:textFill>
                        <w14:solidFill>
                          <w14:schemeClr w14:val="tx1"/>
                        </w14:solidFill>
                      </w14:textFill>
                    </w:rPr>
                    <m:t>2</m:t>
                  </m:r>
                  <m:ctrlPr>
                    <w:rPr>
                      <w:rFonts w:ascii="Cambria Math" w:hAnsi="Cambria Math" w:eastAsia="仿宋" w:cs="仿宋"/>
                      <w:color w:val="000000" w:themeColor="text1"/>
                      <w:spacing w:val="-4"/>
                      <w:sz w:val="24"/>
                      <w14:textFill>
                        <w14:solidFill>
                          <w14:schemeClr w14:val="tx1"/>
                        </w14:solidFill>
                      </w14:textFill>
                    </w:rPr>
                  </m:ctrlPr>
                </m:sub>
              </m:sSub>
              <m:r>
                <m:rPr>
                  <m:sty m:val="p"/>
                </m:rPr>
                <w:rPr>
                  <w:rFonts w:ascii="Cambria Math" w:hAnsi="Cambria Math" w:eastAsia="仿宋" w:cs="仿宋"/>
                  <w:color w:val="000000" w:themeColor="text1"/>
                  <w:spacing w:val="-4"/>
                  <w:sz w:val="24"/>
                  <w14:textFill>
                    <w14:solidFill>
                      <w14:schemeClr w14:val="tx1"/>
                    </w14:solidFill>
                  </w14:textFill>
                </w:rPr>
                <m:t>−1</m:t>
              </m:r>
              <m:ctrlPr>
                <w:rPr>
                  <w:rFonts w:ascii="Cambria Math" w:hAnsi="Cambria Math" w:eastAsia="仿宋" w:cs="仿宋"/>
                  <w:color w:val="000000" w:themeColor="text1"/>
                  <w:spacing w:val="-4"/>
                  <w:sz w:val="24"/>
                  <w14:textFill>
                    <w14:solidFill>
                      <w14:schemeClr w14:val="tx1"/>
                    </w14:solidFill>
                  </w14:textFill>
                </w:rPr>
              </m:ctrlPr>
            </m:den>
          </m:f>
        </m:oMath>
      </m:oMathPara>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式中：</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Q—注氮流量，</w:t>
      </w:r>
      <w:r>
        <w:rPr>
          <w:rFonts w:hint="eastAsia" w:ascii="仿宋" w:hAnsi="仿宋" w:eastAsia="仿宋"/>
          <w:color w:val="000000" w:themeColor="text1"/>
          <w:sz w:val="24"/>
          <w:lang w:val="en-US" w:eastAsia="zh-CN"/>
          <w14:textFill>
            <w14:solidFill>
              <w14:schemeClr w14:val="tx1"/>
            </w14:solidFill>
          </w14:textFill>
        </w:rPr>
        <w:t>m³</w:t>
      </w:r>
      <w:r>
        <w:rPr>
          <w:rFonts w:ascii="仿宋" w:hAnsi="仿宋" w:eastAsia="仿宋" w:cs="仿宋"/>
          <w:color w:val="000000" w:themeColor="text1"/>
          <w:spacing w:val="-4"/>
          <w:sz w:val="24"/>
          <w14:textFill>
            <w14:solidFill>
              <w14:schemeClr w14:val="tx1"/>
            </w14:solidFill>
          </w14:textFill>
        </w:rPr>
        <w:t>/h，</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 xml:space="preserve">Q0—采空区氧化带内漏风量，可取5-20 </w:t>
      </w:r>
      <w:r>
        <w:rPr>
          <w:rFonts w:hint="eastAsia" w:ascii="仿宋" w:hAnsi="仿宋" w:eastAsia="仿宋"/>
          <w:color w:val="000000" w:themeColor="text1"/>
          <w:sz w:val="24"/>
          <w:lang w:val="en-US" w:eastAsia="zh-CN"/>
          <w14:textFill>
            <w14:solidFill>
              <w14:schemeClr w14:val="tx1"/>
            </w14:solidFill>
          </w14:textFill>
        </w:rPr>
        <w:t>m³</w:t>
      </w:r>
      <w:r>
        <w:rPr>
          <w:rFonts w:ascii="仿宋" w:hAnsi="仿宋" w:eastAsia="仿宋" w:cs="仿宋"/>
          <w:color w:val="000000" w:themeColor="text1"/>
          <w:spacing w:val="-4"/>
          <w:sz w:val="24"/>
          <w14:textFill>
            <w14:solidFill>
              <w14:schemeClr w14:val="tx1"/>
            </w14:solidFill>
          </w14:textFill>
        </w:rPr>
        <w:t>/min，现取12</w:t>
      </w:r>
      <w:r>
        <w:rPr>
          <w:rFonts w:hint="eastAsia" w:ascii="仿宋" w:hAnsi="仿宋" w:eastAsia="仿宋"/>
          <w:color w:val="000000" w:themeColor="text1"/>
          <w:sz w:val="24"/>
          <w:lang w:val="en-US" w:eastAsia="zh-CN"/>
          <w14:textFill>
            <w14:solidFill>
              <w14:schemeClr w14:val="tx1"/>
            </w14:solidFill>
          </w14:textFill>
        </w:rPr>
        <w:t>m³</w:t>
      </w:r>
      <w:r>
        <w:rPr>
          <w:rFonts w:ascii="仿宋" w:hAnsi="仿宋" w:eastAsia="仿宋" w:cs="仿宋"/>
          <w:color w:val="000000" w:themeColor="text1"/>
          <w:spacing w:val="-4"/>
          <w:sz w:val="24"/>
          <w14:textFill>
            <w14:solidFill>
              <w14:schemeClr w14:val="tx1"/>
            </w14:solidFill>
          </w14:textFill>
        </w:rPr>
        <w:t>/min，</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C1—采空区氧化带内原始氧浓度，10%～</w:t>
      </w:r>
      <w:r>
        <w:rPr>
          <w:rFonts w:hint="eastAsia" w:ascii="仿宋" w:hAnsi="仿宋" w:eastAsia="仿宋" w:cs="仿宋"/>
          <w:color w:val="000000" w:themeColor="text1"/>
          <w:spacing w:val="-4"/>
          <w:sz w:val="24"/>
          <w14:textFill>
            <w14:solidFill>
              <w14:schemeClr w14:val="tx1"/>
            </w14:solidFill>
          </w14:textFill>
        </w:rPr>
        <w:t>20</w:t>
      </w:r>
      <w:r>
        <w:rPr>
          <w:rFonts w:ascii="仿宋" w:hAnsi="仿宋" w:eastAsia="仿宋" w:cs="仿宋"/>
          <w:color w:val="000000" w:themeColor="text1"/>
          <w:spacing w:val="-4"/>
          <w:sz w:val="24"/>
          <w14:textFill>
            <w14:solidFill>
              <w14:schemeClr w14:val="tx1"/>
            </w14:solidFill>
          </w14:textFill>
        </w:rPr>
        <w:t>%，取15%，</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C2—采空区防火惰化指标，取7%，</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CN—注入氮气中的氮气纯度，97%，</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fldChar w:fldCharType="begin"/>
      </w:r>
      <w:r>
        <w:rPr>
          <w:rFonts w:ascii="仿宋" w:hAnsi="仿宋" w:eastAsia="仿宋" w:cs="仿宋"/>
          <w:color w:val="000000" w:themeColor="text1"/>
          <w:spacing w:val="-4"/>
          <w:sz w:val="24"/>
          <w14:textFill>
            <w14:solidFill>
              <w14:schemeClr w14:val="tx1"/>
            </w14:solidFill>
          </w14:textFill>
        </w:rPr>
        <w:instrText xml:space="preserve"> QUOTE </w:instrText>
      </w:r>
      <w:r>
        <w:rPr>
          <w:rFonts w:ascii="仿宋" w:hAnsi="仿宋" w:eastAsia="仿宋" w:cs="仿宋"/>
          <w:color w:val="000000" w:themeColor="text1"/>
          <w:spacing w:val="-4"/>
          <w:sz w:val="24"/>
          <w14:textFill>
            <w14:solidFill>
              <w14:schemeClr w14:val="tx1"/>
            </w14:solidFill>
          </w14:textFill>
        </w:rPr>
        <w:pict>
          <v:shape id="_x0000_i1028" o:spt="75" type="#_x0000_t75" style="height:31.5pt;width:147.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172A27&quot;/&gt;&lt;wsp:rsid wsp:val=&quot;0000091A&quot;/&gt;&lt;wsp:rsid wsp:val=&quot;000057F8&quot;/&gt;&lt;wsp:rsid wsp:val=&quot;00012EFA&quot;/&gt;&lt;wsp:rsid wsp:val=&quot;00013F85&quot;/&gt;&lt;wsp:rsid wsp:val=&quot;00023FEF&quot;/&gt;&lt;wsp:rsid wsp:val=&quot;00024B32&quot;/&gt;&lt;wsp:rsid wsp:val=&quot;0002607B&quot;/&gt;&lt;wsp:rsid wsp:val=&quot;00064E3C&quot;/&gt;&lt;wsp:rsid wsp:val=&quot;00072D1D&quot;/&gt;&lt;wsp:rsid wsp:val=&quot;00074E5B&quot;/&gt;&lt;wsp:rsid wsp:val=&quot;00092602&quot;/&gt;&lt;wsp:rsid wsp:val=&quot;00097314&quot;/&gt;&lt;wsp:rsid wsp:val=&quot;00097FF4&quot;/&gt;&lt;wsp:rsid wsp:val=&quot;000C243B&quot;/&gt;&lt;wsp:rsid wsp:val=&quot;000D36D7&quot;/&gt;&lt;wsp:rsid wsp:val=&quot;000F23B2&quot;/&gt;&lt;wsp:rsid wsp:val=&quot;00117D69&quot;/&gt;&lt;wsp:rsid wsp:val=&quot;00130CCA&quot;/&gt;&lt;wsp:rsid wsp:val=&quot;001412C0&quot;/&gt;&lt;wsp:rsid wsp:val=&quot;00177636&quot;/&gt;&lt;wsp:rsid wsp:val=&quot;00185DFF&quot;/&gt;&lt;wsp:rsid wsp:val=&quot;00195AFC&quot;/&gt;&lt;wsp:rsid wsp:val=&quot;001C3CE8&quot;/&gt;&lt;wsp:rsid wsp:val=&quot;001D1048&quot;/&gt;&lt;wsp:rsid wsp:val=&quot;001E21C1&quot;/&gt;&lt;wsp:rsid wsp:val=&quot;001E3F6F&quot;/&gt;&lt;wsp:rsid wsp:val=&quot;001E5032&quot;/&gt;&lt;wsp:rsid wsp:val=&quot;002124A2&quot;/&gt;&lt;wsp:rsid wsp:val=&quot;00213754&quot;/&gt;&lt;wsp:rsid wsp:val=&quot;00221521&quot;/&gt;&lt;wsp:rsid wsp:val=&quot;00235EF7&quot;/&gt;&lt;wsp:rsid wsp:val=&quot;0024347D&quot;/&gt;&lt;wsp:rsid wsp:val=&quot;00246611&quot;/&gt;&lt;wsp:rsid wsp:val=&quot;00257BB2&quot;/&gt;&lt;wsp:rsid wsp:val=&quot;002600C5&quot;/&gt;&lt;wsp:rsid wsp:val=&quot;002611B7&quot;/&gt;&lt;wsp:rsid wsp:val=&quot;0026171F&quot;/&gt;&lt;wsp:rsid wsp:val=&quot;00274B8D&quot;/&gt;&lt;wsp:rsid wsp:val=&quot;00277760&quot;/&gt;&lt;wsp:rsid wsp:val=&quot;002820B7&quot;/&gt;&lt;wsp:rsid wsp:val=&quot;002A7867&quot;/&gt;&lt;wsp:rsid wsp:val=&quot;002B2902&quot;/&gt;&lt;wsp:rsid wsp:val=&quot;002B5015&quot;/&gt;&lt;wsp:rsid wsp:val=&quot;002C293F&quot;/&gt;&lt;wsp:rsid wsp:val=&quot;002E1ED9&quot;/&gt;&lt;wsp:rsid wsp:val=&quot;002E64F5&quot;/&gt;&lt;wsp:rsid wsp:val=&quot;002F527A&quot;/&gt;&lt;wsp:rsid wsp:val=&quot;002F6BBD&quot;/&gt;&lt;wsp:rsid wsp:val=&quot;002F6EB1&quot;/&gt;&lt;wsp:rsid wsp:val=&quot;00303213&quot;/&gt;&lt;wsp:rsid wsp:val=&quot;003274E8&quot;/&gt;&lt;wsp:rsid wsp:val=&quot;0033119D&quot;/&gt;&lt;wsp:rsid wsp:val=&quot;003652EA&quot;/&gt;&lt;wsp:rsid wsp:val=&quot;00376C72&quot;/&gt;&lt;wsp:rsid wsp:val=&quot;00381425&quot;/&gt;&lt;wsp:rsid wsp:val=&quot;00395E7F&quot;/&gt;&lt;wsp:rsid wsp:val=&quot;00395EB8&quot;/&gt;&lt;wsp:rsid wsp:val=&quot;003A44A7&quot;/&gt;&lt;wsp:rsid wsp:val=&quot;003A579D&quot;/&gt;&lt;wsp:rsid wsp:val=&quot;003A64D3&quot;/&gt;&lt;wsp:rsid wsp:val=&quot;003B394E&quot;/&gt;&lt;wsp:rsid wsp:val=&quot;003B595C&quot;/&gt;&lt;wsp:rsid wsp:val=&quot;003B6262&quot;/&gt;&lt;wsp:rsid wsp:val=&quot;003D69E2&quot;/&gt;&lt;wsp:rsid wsp:val=&quot;003E22B3&quot;/&gt;&lt;wsp:rsid wsp:val=&quot;003E4299&quot;/&gt;&lt;wsp:rsid wsp:val=&quot;00400E10&quot;/&gt;&lt;wsp:rsid wsp:val=&quot;00412146&quot;/&gt;&lt;wsp:rsid wsp:val=&quot;00422827&quot;/&gt;&lt;wsp:rsid wsp:val=&quot;00441006&quot;/&gt;&lt;wsp:rsid wsp:val=&quot;0044131F&quot;/&gt;&lt;wsp:rsid wsp:val=&quot;00446A21&quot;/&gt;&lt;wsp:rsid wsp:val=&quot;00461D3F&quot;/&gt;&lt;wsp:rsid wsp:val=&quot;00472FFF&quot;/&gt;&lt;wsp:rsid wsp:val=&quot;004807FF&quot;/&gt;&lt;wsp:rsid wsp:val=&quot;004837FE&quot;/&gt;&lt;wsp:rsid wsp:val=&quot;00486717&quot;/&gt;&lt;wsp:rsid wsp:val=&quot;00486BA1&quot;/&gt;&lt;wsp:rsid wsp:val=&quot;00492153&quot;/&gt;&lt;wsp:rsid wsp:val=&quot;004A726A&quot;/&gt;&lt;wsp:rsid wsp:val=&quot;004B36BE&quot;/&gt;&lt;wsp:rsid wsp:val=&quot;004C6070&quot;/&gt;&lt;wsp:rsid wsp:val=&quot;004D0FFC&quot;/&gt;&lt;wsp:rsid wsp:val=&quot;004D2398&quot;/&gt;&lt;wsp:rsid wsp:val=&quot;004D2A59&quot;/&gt;&lt;wsp:rsid wsp:val=&quot;004D6DF9&quot;/&gt;&lt;wsp:rsid wsp:val=&quot;004D754B&quot;/&gt;&lt;wsp:rsid wsp:val=&quot;004E35B5&quot;/&gt;&lt;wsp:rsid wsp:val=&quot;004E73A9&quot;/&gt;&lt;wsp:rsid wsp:val=&quot;004F3FDA&quot;/&gt;&lt;wsp:rsid wsp:val=&quot;00506CA5&quot;/&gt;&lt;wsp:rsid wsp:val=&quot;0051447F&quot;/&gt;&lt;wsp:rsid wsp:val=&quot;00522320&quot;/&gt;&lt;wsp:rsid wsp:val=&quot;00526D51&quot;/&gt;&lt;wsp:rsid wsp:val=&quot;00527222&quot;/&gt;&lt;wsp:rsid wsp:val=&quot;005300EC&quot;/&gt;&lt;wsp:rsid wsp:val=&quot;00533E1A&quot;/&gt;&lt;wsp:rsid wsp:val=&quot;005370AD&quot;/&gt;&lt;wsp:rsid wsp:val=&quot;0054080C&quot;/&gt;&lt;wsp:rsid wsp:val=&quot;00540899&quot;/&gt;&lt;wsp:rsid wsp:val=&quot;00541064&quot;/&gt;&lt;wsp:rsid wsp:val=&quot;005473B0&quot;/&gt;&lt;wsp:rsid wsp:val=&quot;00551313&quot;/&gt;&lt;wsp:rsid wsp:val=&quot;00551723&quot;/&gt;&lt;wsp:rsid wsp:val=&quot;005559AF&quot;/&gt;&lt;wsp:rsid wsp:val=&quot;00573F03&quot;/&gt;&lt;wsp:rsid wsp:val=&quot;00590A34&quot;/&gt;&lt;wsp:rsid wsp:val=&quot;005B0FAD&quot;/&gt;&lt;wsp:rsid wsp:val=&quot;005B31BF&quot;/&gt;&lt;wsp:rsid wsp:val=&quot;005C2CA1&quot;/&gt;&lt;wsp:rsid wsp:val=&quot;005C6D24&quot;/&gt;&lt;wsp:rsid wsp:val=&quot;005E2D3D&quot;/&gt;&lt;wsp:rsid wsp:val=&quot;005E4882&quot;/&gt;&lt;wsp:rsid wsp:val=&quot;005E6D2B&quot;/&gt;&lt;wsp:rsid wsp:val=&quot;00604994&quot;/&gt;&lt;wsp:rsid wsp:val=&quot;006051AA&quot;/&gt;&lt;wsp:rsid wsp:val=&quot;0061163A&quot;/&gt;&lt;wsp:rsid wsp:val=&quot;00631233&quot;/&gt;&lt;wsp:rsid wsp:val=&quot;006358E6&quot;/&gt;&lt;wsp:rsid wsp:val=&quot;00655B5C&quot;/&gt;&lt;wsp:rsid wsp:val=&quot;00655D0A&quot;/&gt;&lt;wsp:rsid wsp:val=&quot;00661581&quot;/&gt;&lt;wsp:rsid wsp:val=&quot;00666235&quot;/&gt;&lt;wsp:rsid wsp:val=&quot;00673BD4&quot;/&gt;&lt;wsp:rsid wsp:val=&quot;00680A52&quot;/&gt;&lt;wsp:rsid wsp:val=&quot;00685D5B&quot;/&gt;&lt;wsp:rsid wsp:val=&quot;00687187&quot;/&gt;&lt;wsp:rsid wsp:val=&quot;0069631A&quot;/&gt;&lt;wsp:rsid wsp:val=&quot;006A78FD&quot;/&gt;&lt;wsp:rsid wsp:val=&quot;006A7BF6&quot;/&gt;&lt;wsp:rsid wsp:val=&quot;006B366C&quot;/&gt;&lt;wsp:rsid wsp:val=&quot;006B5DD2&quot;/&gt;&lt;wsp:rsid wsp:val=&quot;006C021E&quot;/&gt;&lt;wsp:rsid wsp:val=&quot;006C58CF&quot;/&gt;&lt;wsp:rsid wsp:val=&quot;006D37AD&quot;/&gt;&lt;wsp:rsid wsp:val=&quot;006F0AD4&quot;/&gt;&lt;wsp:rsid wsp:val=&quot;006F273B&quot;/&gt;&lt;wsp:rsid wsp:val=&quot;006F3075&quot;/&gt;&lt;wsp:rsid wsp:val=&quot;007112D4&quot;/&gt;&lt;wsp:rsid wsp:val=&quot;007116F6&quot;/&gt;&lt;wsp:rsid wsp:val=&quot;00716779&quot;/&gt;&lt;wsp:rsid wsp:val=&quot;00727244&quot;/&gt;&lt;wsp:rsid wsp:val=&quot;00747A76&quot;/&gt;&lt;wsp:rsid wsp:val=&quot;0076112E&quot;/&gt;&lt;wsp:rsid wsp:val=&quot;00764C27&quot;/&gt;&lt;wsp:rsid wsp:val=&quot;00767E52&quot;/&gt;&lt;wsp:rsid wsp:val=&quot;007764C3&quot;/&gt;&lt;wsp:rsid wsp:val=&quot;0078002B&quot;/&gt;&lt;wsp:rsid wsp:val=&quot;00780D20&quot;/&gt;&lt;wsp:rsid wsp:val=&quot;00781E29&quot;/&gt;&lt;wsp:rsid wsp:val=&quot;00782AED&quot;/&gt;&lt;wsp:rsid wsp:val=&quot;007848EC&quot;/&gt;&lt;wsp:rsid wsp:val=&quot;00790342&quot;/&gt;&lt;wsp:rsid wsp:val=&quot;0079724C&quot;/&gt;&lt;wsp:rsid wsp:val=&quot;007A2AAA&quot;/&gt;&lt;wsp:rsid wsp:val=&quot;007A6ED1&quot;/&gt;&lt;wsp:rsid wsp:val=&quot;007B7C47&quot;/&gt;&lt;wsp:rsid wsp:val=&quot;007C448A&quot;/&gt;&lt;wsp:rsid wsp:val=&quot;007E02B1&quot;/&gt;&lt;wsp:rsid wsp:val=&quot;007E09DD&quot;/&gt;&lt;wsp:rsid wsp:val=&quot;007E3D39&quot;/&gt;&lt;wsp:rsid wsp:val=&quot;007F12D7&quot;/&gt;&lt;wsp:rsid wsp:val=&quot;008127D5&quot;/&gt;&lt;wsp:rsid wsp:val=&quot;008269A5&quot;/&gt;&lt;wsp:rsid wsp:val=&quot;00832ED8&quot;/&gt;&lt;wsp:rsid wsp:val=&quot;00835CEF&quot;/&gt;&lt;wsp:rsid wsp:val=&quot;00843323&quot;/&gt;&lt;wsp:rsid wsp:val=&quot;00851AD7&quot;/&gt;&lt;wsp:rsid wsp:val=&quot;00851F35&quot;/&gt;&lt;wsp:rsid wsp:val=&quot;00853166&quot;/&gt;&lt;wsp:rsid wsp:val=&quot;008532A5&quot;/&gt;&lt;wsp:rsid wsp:val=&quot;00855AA5&quot;/&gt;&lt;wsp:rsid wsp:val=&quot;0085697B&quot;/&gt;&lt;wsp:rsid wsp:val=&quot;00857E64&quot;/&gt;&lt;wsp:rsid wsp:val=&quot;00861E8D&quot;/&gt;&lt;wsp:rsid wsp:val=&quot;00866E15&quot;/&gt;&lt;wsp:rsid wsp:val=&quot;00867A73&quot;/&gt;&lt;wsp:rsid wsp:val=&quot;00871905&quot;/&gt;&lt;wsp:rsid wsp:val=&quot;0087602F&quot;/&gt;&lt;wsp:rsid wsp:val=&quot;00876C1F&quot;/&gt;&lt;wsp:rsid wsp:val=&quot;008A7339&quot;/&gt;&lt;wsp:rsid wsp:val=&quot;008B7481&quot;/&gt;&lt;wsp:rsid wsp:val=&quot;008B770C&quot;/&gt;&lt;wsp:rsid wsp:val=&quot;008D58BB&quot;/&gt;&lt;wsp:rsid wsp:val=&quot;008D58FA&quot;/&gt;&lt;wsp:rsid wsp:val=&quot;008E27A5&quot;/&gt;&lt;wsp:rsid wsp:val=&quot;008F05E5&quot;/&gt;&lt;wsp:rsid wsp:val=&quot;008F15CD&quot;/&gt;&lt;wsp:rsid wsp:val=&quot;009008E5&quot;/&gt;&lt;wsp:rsid wsp:val=&quot;00905CBE&quot;/&gt;&lt;wsp:rsid wsp:val=&quot;0091012E&quot;/&gt;&lt;wsp:rsid wsp:val=&quot;00912629&quot;/&gt;&lt;wsp:rsid wsp:val=&quot;00914F4F&quot;/&gt;&lt;wsp:rsid wsp:val=&quot;00924D7B&quot;/&gt;&lt;wsp:rsid wsp:val=&quot;00925AC6&quot;/&gt;&lt;wsp:rsid wsp:val=&quot;009327CF&quot;/&gt;&lt;wsp:rsid wsp:val=&quot;00933586&quot;/&gt;&lt;wsp:rsid wsp:val=&quot;00935A50&quot;/&gt;&lt;wsp:rsid wsp:val=&quot;00941273&quot;/&gt;&lt;wsp:rsid wsp:val=&quot;00944DB2&quot;/&gt;&lt;wsp:rsid wsp:val=&quot;00966DBC&quot;/&gt;&lt;wsp:rsid wsp:val=&quot;00980AED&quot;/&gt;&lt;wsp:rsid wsp:val=&quot;00993AC4&quot;/&gt;&lt;wsp:rsid wsp:val=&quot;009972DE&quot;/&gt;&lt;wsp:rsid wsp:val=&quot;009A0A52&quot;/&gt;&lt;wsp:rsid wsp:val=&quot;009C4241&quot;/&gt;&lt;wsp:rsid wsp:val=&quot;009D6297&quot;/&gt;&lt;wsp:rsid wsp:val=&quot;009E64FF&quot;/&gt;&lt;wsp:rsid wsp:val=&quot;009E798D&quot;/&gt;&lt;wsp:rsid wsp:val=&quot;009F630E&quot;/&gt;&lt;wsp:rsid wsp:val=&quot;00A0029C&quot;/&gt;&lt;wsp:rsid wsp:val=&quot;00A00F23&quot;/&gt;&lt;wsp:rsid wsp:val=&quot;00A02DAB&quot;/&gt;&lt;wsp:rsid wsp:val=&quot;00A03DC1&quot;/&gt;&lt;wsp:rsid wsp:val=&quot;00A254BB&quot;/&gt;&lt;wsp:rsid wsp:val=&quot;00A4337B&quot;/&gt;&lt;wsp:rsid wsp:val=&quot;00A43AC8&quot;/&gt;&lt;wsp:rsid wsp:val=&quot;00A51512&quot;/&gt;&lt;wsp:rsid wsp:val=&quot;00A64FE1&quot;/&gt;&lt;wsp:rsid wsp:val=&quot;00A7150D&quot;/&gt;&lt;wsp:rsid wsp:val=&quot;00A77F20&quot;/&gt;&lt;wsp:rsid wsp:val=&quot;00A921D2&quot;/&gt;&lt;wsp:rsid wsp:val=&quot;00A930CA&quot;/&gt;&lt;wsp:rsid wsp:val=&quot;00A93675&quot;/&gt;&lt;wsp:rsid wsp:val=&quot;00AA04D3&quot;/&gt;&lt;wsp:rsid wsp:val=&quot;00AB30D7&quot;/&gt;&lt;wsp:rsid wsp:val=&quot;00AD262D&quot;/&gt;&lt;wsp:rsid wsp:val=&quot;00AD5E8C&quot;/&gt;&lt;wsp:rsid wsp:val=&quot;00AE134C&quot;/&gt;&lt;wsp:rsid wsp:val=&quot;00AE1C3B&quot;/&gt;&lt;wsp:rsid wsp:val=&quot;00AE3720&quot;/&gt;&lt;wsp:rsid wsp:val=&quot;00AE634D&quot;/&gt;&lt;wsp:rsid wsp:val=&quot;00B008F0&quot;/&gt;&lt;wsp:rsid wsp:val=&quot;00B01B90&quot;/&gt;&lt;wsp:rsid wsp:val=&quot;00B11426&quot;/&gt;&lt;wsp:rsid wsp:val=&quot;00B1255F&quot;/&gt;&lt;wsp:rsid wsp:val=&quot;00B15810&quot;/&gt;&lt;wsp:rsid wsp:val=&quot;00B256D2&quot;/&gt;&lt;wsp:rsid wsp:val=&quot;00B37297&quot;/&gt;&lt;wsp:rsid wsp:val=&quot;00B46974&quot;/&gt;&lt;wsp:rsid wsp:val=&quot;00B46A6F&quot;/&gt;&lt;wsp:rsid wsp:val=&quot;00B55B9D&quot;/&gt;&lt;wsp:rsid wsp:val=&quot;00B5638D&quot;/&gt;&lt;wsp:rsid wsp:val=&quot;00B70DD8&quot;/&gt;&lt;wsp:rsid wsp:val=&quot;00B71E95&quot;/&gt;&lt;wsp:rsid wsp:val=&quot;00B7250B&quot;/&gt;&lt;wsp:rsid wsp:val=&quot;00B909EC&quot;/&gt;&lt;wsp:rsid wsp:val=&quot;00B976EE&quot;/&gt;&lt;wsp:rsid wsp:val=&quot;00BA3113&quot;/&gt;&lt;wsp:rsid wsp:val=&quot;00BB569A&quot;/&gt;&lt;wsp:rsid wsp:val=&quot;00BB7985&quot;/&gt;&lt;wsp:rsid wsp:val=&quot;00BE4AF1&quot;/&gt;&lt;wsp:rsid wsp:val=&quot;00C12EA3&quot;/&gt;&lt;wsp:rsid wsp:val=&quot;00C2118A&quot;/&gt;&lt;wsp:rsid wsp:val=&quot;00C2397C&quot;/&gt;&lt;wsp:rsid wsp:val=&quot;00C27729&quot;/&gt;&lt;wsp:rsid wsp:val=&quot;00C3526B&quot;/&gt;&lt;wsp:rsid wsp:val=&quot;00C366EF&quot;/&gt;&lt;wsp:rsid wsp:val=&quot;00C42A58&quot;/&gt;&lt;wsp:rsid wsp:val=&quot;00C42CEB&quot;/&gt;&lt;wsp:rsid wsp:val=&quot;00C6235E&quot;/&gt;&lt;wsp:rsid wsp:val=&quot;00C63A4C&quot;/&gt;&lt;wsp:rsid wsp:val=&quot;00C66B41&quot;/&gt;&lt;wsp:rsid wsp:val=&quot;00C75335&quot;/&gt;&lt;wsp:rsid wsp:val=&quot;00C75C4C&quot;/&gt;&lt;wsp:rsid wsp:val=&quot;00C77BCF&quot;/&gt;&lt;wsp:rsid wsp:val=&quot;00CB0A02&quot;/&gt;&lt;wsp:rsid wsp:val=&quot;00CB4677&quot;/&gt;&lt;wsp:rsid wsp:val=&quot;00CC07F5&quot;/&gt;&lt;wsp:rsid wsp:val=&quot;00CC1B09&quot;/&gt;&lt;wsp:rsid wsp:val=&quot;00CC76AC&quot;/&gt;&lt;wsp:rsid wsp:val=&quot;00CD3166&quot;/&gt;&lt;wsp:rsid wsp:val=&quot;00CE1540&quot;/&gt;&lt;wsp:rsid wsp:val=&quot;00CE352E&quot;/&gt;&lt;wsp:rsid wsp:val=&quot;00CE432D&quot;/&gt;&lt;wsp:rsid wsp:val=&quot;00CE5DC4&quot;/&gt;&lt;wsp:rsid wsp:val=&quot;00CF1064&quot;/&gt;&lt;wsp:rsid wsp:val=&quot;00D00FAF&quot;/&gt;&lt;wsp:rsid wsp:val=&quot;00D158BB&quot;/&gt;&lt;wsp:rsid wsp:val=&quot;00D17D87&quot;/&gt;&lt;wsp:rsid wsp:val=&quot;00D41CEF&quot;/&gt;&lt;wsp:rsid wsp:val=&quot;00D420C0&quot;/&gt;&lt;wsp:rsid wsp:val=&quot;00D426FC&quot;/&gt;&lt;wsp:rsid wsp:val=&quot;00D50CE4&quot;/&gt;&lt;wsp:rsid wsp:val=&quot;00D54F8C&quot;/&gt;&lt;wsp:rsid wsp:val=&quot;00D55855&quot;/&gt;&lt;wsp:rsid wsp:val=&quot;00D864F1&quot;/&gt;&lt;wsp:rsid wsp:val=&quot;00D9043A&quot;/&gt;&lt;wsp:rsid wsp:val=&quot;00D9206C&quot;/&gt;&lt;wsp:rsid wsp:val=&quot;00D95AE7&quot;/&gt;&lt;wsp:rsid wsp:val=&quot;00DA2525&quot;/&gt;&lt;wsp:rsid wsp:val=&quot;00DB2613&quot;/&gt;&lt;wsp:rsid wsp:val=&quot;00DC7DBB&quot;/&gt;&lt;wsp:rsid wsp:val=&quot;00DE0A79&quot;/&gt;&lt;wsp:rsid wsp:val=&quot;00DE0C4D&quot;/&gt;&lt;wsp:rsid wsp:val=&quot;00DE687A&quot;/&gt;&lt;wsp:rsid wsp:val=&quot;00DF1C88&quot;/&gt;&lt;wsp:rsid wsp:val=&quot;00E0262C&quot;/&gt;&lt;wsp:rsid wsp:val=&quot;00E0642F&quot;/&gt;&lt;wsp:rsid wsp:val=&quot;00E149D6&quot;/&gt;&lt;wsp:rsid wsp:val=&quot;00E200D9&quot;/&gt;&lt;wsp:rsid wsp:val=&quot;00E36A9A&quot;/&gt;&lt;wsp:rsid wsp:val=&quot;00E503BF&quot;/&gt;&lt;wsp:rsid wsp:val=&quot;00E518F2&quot;/&gt;&lt;wsp:rsid wsp:val=&quot;00E52241&quot;/&gt;&lt;wsp:rsid wsp:val=&quot;00E62CF5&quot;/&gt;&lt;wsp:rsid wsp:val=&quot;00E749B3&quot;/&gt;&lt;wsp:rsid wsp:val=&quot;00E76667&quot;/&gt;&lt;wsp:rsid wsp:val=&quot;00E8103F&quot;/&gt;&lt;wsp:rsid wsp:val=&quot;00E92075&quot;/&gt;&lt;wsp:rsid wsp:val=&quot;00EA34C1&quot;/&gt;&lt;wsp:rsid wsp:val=&quot;00EA6B69&quot;/&gt;&lt;wsp:rsid wsp:val=&quot;00EB0DCF&quot;/&gt;&lt;wsp:rsid wsp:val=&quot;00EB0E15&quot;/&gt;&lt;wsp:rsid wsp:val=&quot;00EB102A&quot;/&gt;&lt;wsp:rsid wsp:val=&quot;00EB1E82&quot;/&gt;&lt;wsp:rsid wsp:val=&quot;00EB47CB&quot;/&gt;&lt;wsp:rsid wsp:val=&quot;00ED27E5&quot;/&gt;&lt;wsp:rsid wsp:val=&quot;00ED38EF&quot;/&gt;&lt;wsp:rsid wsp:val=&quot;00EE254D&quot;/&gt;&lt;wsp:rsid wsp:val=&quot;00EE4B56&quot;/&gt;&lt;wsp:rsid wsp:val=&quot;00EE57A0&quot;/&gt;&lt;wsp:rsid wsp:val=&quot;00EF458A&quot;/&gt;&lt;wsp:rsid wsp:val=&quot;00EF4EF4&quot;/&gt;&lt;wsp:rsid wsp:val=&quot;00EF5079&quot;/&gt;&lt;wsp:rsid wsp:val=&quot;00EF7597&quot;/&gt;&lt;wsp:rsid wsp:val=&quot;00F01A41&quot;/&gt;&lt;wsp:rsid wsp:val=&quot;00F050F3&quot;/&gt;&lt;wsp:rsid wsp:val=&quot;00F07F5C&quot;/&gt;&lt;wsp:rsid wsp:val=&quot;00F120D3&quot;/&gt;&lt;wsp:rsid wsp:val=&quot;00F2431C&quot;/&gt;&lt;wsp:rsid wsp:val=&quot;00F25F3B&quot;/&gt;&lt;wsp:rsid wsp:val=&quot;00F26A22&quot;/&gt;&lt;wsp:rsid wsp:val=&quot;00F3319B&quot;/&gt;&lt;wsp:rsid wsp:val=&quot;00F43DCC&quot;/&gt;&lt;wsp:rsid wsp:val=&quot;00F47FEF&quot;/&gt;&lt;wsp:rsid wsp:val=&quot;00F533DD&quot;/&gt;&lt;wsp:rsid wsp:val=&quot;00F54F10&quot;/&gt;&lt;wsp:rsid wsp:val=&quot;00F57EE3&quot;/&gt;&lt;wsp:rsid wsp:val=&quot;00F61C74&quot;/&gt;&lt;wsp:rsid wsp:val=&quot;00F620B0&quot;/&gt;&lt;wsp:rsid wsp:val=&quot;00F646F9&quot;/&gt;&lt;wsp:rsid wsp:val=&quot;00F711EE&quot;/&gt;&lt;wsp:rsid wsp:val=&quot;00F72BBA&quot;/&gt;&lt;wsp:rsid wsp:val=&quot;00F72BFF&quot;/&gt;&lt;wsp:rsid wsp:val=&quot;00F75530&quot;/&gt;&lt;wsp:rsid wsp:val=&quot;00F80351&quot;/&gt;&lt;wsp:rsid wsp:val=&quot;00F87452&quot;/&gt;&lt;wsp:rsid wsp:val=&quot;00F952AB&quot;/&gt;&lt;wsp:rsid wsp:val=&quot;00F959B0&quot;/&gt;&lt;wsp:rsid wsp:val=&quot;00FA71FC&quot;/&gt;&lt;wsp:rsid wsp:val=&quot;00FC0037&quot;/&gt;&lt;wsp:rsid wsp:val=&quot;00FD02A9&quot;/&gt;&lt;wsp:rsid wsp:val=&quot;00FD3EBF&quot;/&gt;&lt;wsp:rsid wsp:val=&quot;00FD6478&quot;/&gt;&lt;wsp:rsid wsp:val=&quot;00FE1E74&quot;/&gt;&lt;wsp:rsid wsp:val=&quot;00FF2349&quot;/&gt;&lt;wsp:rsid wsp:val=&quot;00FF4CB2&quot;/&gt;&lt;wsp:rsid wsp:val=&quot;00FF67F1&quot;/&gt;&lt;wsp:rsid wsp:val=&quot;00FF71A3&quot;/&gt;&lt;wsp:rsid wsp:val=&quot;04E72EA0&quot;/&gt;&lt;wsp:rsid wsp:val=&quot;0A2E7592&quot;/&gt;&lt;wsp:rsid wsp:val=&quot;0F143546&quot;/&gt;&lt;wsp:rsid wsp:val=&quot;191F693C&quot;/&gt;&lt;wsp:rsid wsp:val=&quot;19894781&quot;/&gt;&lt;wsp:rsid wsp:val=&quot;1CEC2D9E&quot;/&gt;&lt;wsp:rsid wsp:val=&quot;1D205014&quot;/&gt;&lt;wsp:rsid wsp:val=&quot;220742E1&quot;/&gt;&lt;wsp:rsid wsp:val=&quot;25D7402A&quot;/&gt;&lt;wsp:rsid wsp:val=&quot;2ACF1815&quot;/&gt;&lt;wsp:rsid wsp:val=&quot;2B55197A&quot;/&gt;&lt;wsp:rsid wsp:val=&quot;2C7D2F61&quot;/&gt;&lt;wsp:rsid wsp:val=&quot;34AF19F4&quot;/&gt;&lt;wsp:rsid wsp:val=&quot;34C02A4F&quot;/&gt;&lt;wsp:rsid wsp:val=&quot;39FD3633&quot;/&gt;&lt;wsp:rsid wsp:val=&quot;3F2076B4&quot;/&gt;&lt;wsp:rsid wsp:val=&quot;420A7AE5&quot;/&gt;&lt;wsp:rsid wsp:val=&quot;43891536&quot;/&gt;&lt;wsp:rsid wsp:val=&quot;46CE6527&quot;/&gt;&lt;wsp:rsid wsp:val=&quot;474F1C1D&quot;/&gt;&lt;wsp:rsid wsp:val=&quot;47950AAF&quot;/&gt;&lt;wsp:rsid wsp:val=&quot;49273D3C&quot;/&gt;&lt;wsp:rsid wsp:val=&quot;50294293&quot;/&gt;&lt;wsp:rsid wsp:val=&quot;506B057F&quot;/&gt;&lt;wsp:rsid wsp:val=&quot;550150EF&quot;/&gt;&lt;wsp:rsid wsp:val=&quot;56183FCE&quot;/&gt;&lt;wsp:rsid wsp:val=&quot;56313C9F&quot;/&gt;&lt;wsp:rsid wsp:val=&quot;57270C74&quot;/&gt;&lt;wsp:rsid wsp:val=&quot;57BA0AC9&quot;/&gt;&lt;wsp:rsid wsp:val=&quot;5B765BE1&quot;/&gt;&lt;wsp:rsid wsp:val=&quot;5D7A166C&quot;/&gt;&lt;wsp:rsid wsp:val=&quot;5E2260F0&quot;/&gt;&lt;wsp:rsid wsp:val=&quot;5E6E07BB&quot;/&gt;&lt;wsp:rsid wsp:val=&quot;60F26F9D&quot;/&gt;&lt;wsp:rsid wsp:val=&quot;63C910A8&quot;/&gt;&lt;wsp:rsid wsp:val=&quot;68A456E0&quot;/&gt;&lt;wsp:rsid wsp:val=&quot;68CA4FA0&quot;/&gt;&lt;wsp:rsid wsp:val=&quot;6D4E2C8E&quot;/&gt;&lt;wsp:rsid wsp:val=&quot;71984C22&quot;/&gt;&lt;wsp:rsid wsp:val=&quot;786A751E&quot;/&gt;&lt;wsp:rsid wsp:val=&quot;79B30F63&quot;/&gt;&lt;wsp:rsid wsp:val=&quot;7A385094&quot;/&gt;&lt;wsp:rsid wsp:val=&quot;7BDA3A57&quot;/&gt;&lt;wsp:rsid wsp:val=&quot;7E074EE7&quot;/&gt;&lt;/wsp:rsids&gt;&lt;/w:docPr&gt;&lt;w:body&gt;&lt;w:p wsp:rsidR=&quot;00000000&quot; wsp:rsidRDefault=&quot;00FF2349&quot;&gt;&lt;m:oMathPara&gt;&lt;m:oMath&gt;&lt;m:r&gt;&lt;m:rPr&gt;&lt;m:sty m:val=&quot;p&quot;/&gt;&lt;/m:rPr&gt;&lt;w:rPr&gt;&lt;w:rFonts w:ascii=&quot;Cambria Math&quot; w:fareast=&quot;宋体&quot; w:h-ansi=&quot;宋体&quot; w:hint=&quot;fareast&quot;/&gt;&lt;wx:font wx:val=&quot;Cambria Math&quot;/&gt;&lt;w:sz w:val=&quot;32&quot;/&gt;&lt;w:sz-cs w:val=&quot;32&quot;/&gt;&lt;/w:rPr&gt;&lt;m:t&gt;Q=&lt;/m:t&gt;&lt;/m:r&gt;&lt;m:r&gt;&lt;m:rPr&gt;&lt;m:sty m:val=&quot;p&quot;/&gt;&lt;/m:rP&gt;&lt;m:&gt;&lt;m:&gt;&lt;m:r&gt;m:rP&lt;w:rPr&gt;&lt;w:rFonts w:ascii=&quot;Cambria Math&quot; w:fareast=&quot;宋体&quot; w:h-ansi=&quot;宋体&quot;/&gt;&lt;wx:font wx:val=&quot;Cambria Math&quot;/&gt;&lt;w:sz w:val=&quot;32&quot;/&gt;&lt;w:sz-cs w:val=&quot;32&quot;/&gt;&lt;/w:rPr&gt;&lt;m:t&gt;60&lt;/m:t&gt;&lt;/m:r&gt;&lt;m:r&gt;&lt;m:rPr&gt;&lt;m:sty m:val=&quot;p&quot;/&gt;&lt;/m:rPr&gt;&lt;w:rPr&gt;&lt;w:rFonts w:ascii=&quot;宋体&quot;rP&gt;&lt;m: w:frP&gt;&lt;m:arearP&gt;&lt;m:st=&quot;宋Pr&gt;m:rP体&quot; w:h-ansi=&quot;Cambria Math&quot;/&gt;&lt;wx:font wx:val=&quot;Cambria Math&quot;/&gt;&lt;w:sz w:val=&quot;32&quot;/&gt;&lt;w:sz-cs w:val=&quot;32&quot;/&gt;&lt;/w:rPr&gt;&lt;m:t&gt;*&lt;/m:t&gt;&lt;/m:r&gt;&lt;m:r&gt;&lt;m:rPr&gt;&lt;m:sty m:val=&quot;p&quot;/&gt;&lt;/m:rPr&gt;&lt;w:rPr&gt;&lt;w:rFonts w:ascii=&quot;Cambria Math&quot; w:fareast=&quot;宋体&quot; w&gt;&lt;m::h-ansi=&quot;?&gt;&lt;m:翁?/&gt;&lt;wx:rP&gt;&lt;m:font wx:val=&quot;&gt;m:rPCambria Math&quot;/&gt;&lt;w:sz w:val=&quot;32&quot;/&gt;&lt;w:sz-cs w:val=&quot;32&quot;/&gt;&lt;/w:rPr&gt;&lt;m:t&gt;15&lt;/m:t&gt;&lt;/m:r&gt;&lt;m:f&gt;&lt;m:fPr&gt;&lt;m:ctrlPr&gt;&lt;w:rPr&gt;&lt;w:rFonts w:ascii=&quot;Cambria Math&quot; w:fareast=&quot;宋体&quot; w:h-ansi=&quot;宋体&quot;/&gt;&lt;wx:font wx:val=&quot;Cambria Math&quot;/w&gt;&lt;m:&gt;&lt;w:sz w:val=&quot;?&gt;&lt;m:&quot;32&quot;/&gt;&lt;w:sz-cs w&gt;&lt;m::val=&quot;32&quot;/&gt;&lt;/w:rPrm:rP&gt;&lt;/m:ctrlPr&gt;&lt;/m:fPr&gt;&lt;m:num&gt;&lt;m:r&gt;&lt;m:rPr&gt;&lt;m:sty m:val=&quot;p&quot;/&gt;&lt;/m:rPr&gt;&lt;w:rPr&gt;&lt;w:rFonts w:ascii=&quot;Cambria Math&quot; w:fareast=&quot;宋体&quot; w:h-ansi=&quot;宋体&quot;/&gt;&lt;wx:font wx:val=&quot;Cambria Math&quot;/&gt;&lt;w:sz w:val=&quot;32&quot;/&gt;&lt;w:sz&gt;&lt;m:-cs w:val=&quot;32&quot;/&gt;&lt;/w&gt;&lt;m::rPr&gt;&lt;m:t&gt;13%&lt;/m:t&gt;&lt;&gt;&lt;m:/m:r&gt;&lt;m:r&gt;&lt;m:rPr&gt;&lt;m:stm:rPy m:val=&quot;p&quot;/&gt;&lt;/m:rPr&gt;&lt;w:rPr&gt;&lt;w:rFonts w:ascii=&quot;宋体&quot; w:fareast=&quot;宋体&quot; w:h-ansi=&quot;Cambria Math&quot;/&gt;&lt;wx:font wx:val=&quot;Cambria Math&quot;/&gt;&lt;w:sz w:val=&quot;32&quot;/&gt;&lt;w:sz-cs w:val=&quot;32&quot;/&gt;&lt;/w:rPr&gt;&lt;m:t&gt;-&lt;/&gt;&lt;m:m:t&gt;&lt;/m:r&gt;&lt;m:r&gt;&lt;m:rPr&gt;&lt;&gt;&lt;m:m:sty m:val=&quot;p&quot;/&gt;&lt;/m:rPr&gt;&lt;m:&gt;&lt;w:rPr&gt;&lt;w:rFonts w:ascii=m:rP&quot;Cambria Math&quot; w:fareast=&quot;宋体&quot; w:h-ansi=&quot;宋体&quot;/&gt;&lt;wx:font wx:val=&quot;Cambria Math&quot;/&gt;&lt;w:sz w:val=&quot;32&quot;/&gt;&lt;w:sz-cs w:val=&quot;32&quot;/&gt;&lt;/w:rPr&gt;&lt;m:t&gt;7%&lt;/m:t&gt;&lt;/m:r&gt;&lt;/m:num&gt;&lt;m:den&gt;&lt;m:r&gt;&lt;m:&gt;&lt;m:rPr&gt;&lt;m:sty m:val=&quot;p&quot;/&gt;&lt;/m:r&gt;&lt;m:Pr&gt;&lt;w:rPr&gt;&lt;w:rFonts w:ascii=&gt;&lt;m:&quot;Cambria Math&quot; w:fareast=&quot;宋体i=m:rP&quot; w:h-ansi=&quot;宋体&quot;/&gt;&lt;wx:font wx:val=&quot;Cambria Math&quot;/&gt;&lt;w:sz w:val=&quot;32&quot;/&gt;&lt;w:sz-cs w:val=&quot;32&quot;/&gt;&lt;/w:rPr&gt;&lt;m:t&gt;97%+7%&lt;/m:t&gt;&lt;/m:r&gt;&lt;m:r&gt;&lt;m:rPr&gt;&lt;m:sty m:val=&quot;p&quot;/&gt;&lt;/m:r&gt;&lt;m:Pr&gt;&lt;w:rPr&gt;&lt;w:rFonts w:ascii=&quot;宋r&gt;&lt;m:体&quot; w:fareast=&quot;宋体&quot; w:h-ansi=&quot;Ccii=&gt;&lt;m:ambria Math&quot;/&gt;&lt;wx:font wx:val=&quot;Cambri=m:rPia Math&quot;/&gt;&lt;w:sz w:val=&quot;32&quot;/&gt;&lt;w:sz-cs w:val=&quot;32&quot;/&gt;&lt;/w:rPr&gt;&lt;m:t&gt;-&lt;/m:t&gt;&lt;/m:r&gt;&lt;m:r&gt;&lt;m:rPr&gt;&lt;m:sty m:val=&quot;p&quot;/&gt;&lt;/m:rPr&gt;&lt;w:rPr&gt;&lt;w:rFonts w:ascii&gt;&lt;m:=&quot;Cambria Math&quot; w:fareast=&quot;宋体&quot; w:hr&gt;&lt;m:-ansi=&quot;宋体&quot;/&gt;&lt;wx:font wx:val=&quot;Cambria M&gt;&lt;m:ath&quot;/&gt;&lt;w:sz w:val=&quot;32&quot;/&gt;&lt;w:sz-cs w:val=&quot;32m:rP&quot;/&gt;&lt;/w:rPr&gt;&lt;m:t&gt;1&lt;/m:t&gt;&lt;/m:r&gt;&lt;/m:den&gt;&lt;/m:f&gt;&lt;/m:oMath&gt;&lt;/m:oMathPara&gt;&lt;/w:p&gt;&lt;w:sectPr wsp:rsidR=&quot;00000000&quot;&gt;&lt;w:pgSz w:w=&quot;12240&quot; &gt;&lt;m:w:h=&quot;15840&quot;/&gt;&lt;w:pgMar w:top=&quot;1440&quot; w:righm:t=&quot;1800&quot; w:bottom=&quot;1440&quot; w:left=&quot;1800&quot; w:header=&quot;720&quot; w:footer=&quot;720&quot; w:gutter=&quot;0&quot;/&gt;&lt;w:cols w:space=&quot;720&quot;/&gt;&lt;/w:sectPr&gt;&lt;/w:body&gt;&lt;/w:wordDocument&gt;">
            <v:path/>
            <v:fill on="f" focussize="0,0"/>
            <v:stroke on="f" joinstyle="miter"/>
            <v:imagedata r:id="rId33" chromakey="#FFFFFF" o:title=""/>
            <o:lock v:ext="edit" aspectratio="t"/>
            <w10:wrap type="none"/>
            <w10:anchorlock/>
          </v:shape>
        </w:pict>
      </w:r>
      <w:r>
        <w:rPr>
          <w:rFonts w:ascii="仿宋" w:hAnsi="仿宋" w:eastAsia="仿宋" w:cs="仿宋"/>
          <w:color w:val="000000" w:themeColor="text1"/>
          <w:spacing w:val="-4"/>
          <w:sz w:val="24"/>
          <w14:textFill>
            <w14:solidFill>
              <w14:schemeClr w14:val="tx1"/>
            </w14:solidFill>
          </w14:textFill>
        </w:rPr>
        <w:instrText xml:space="preserve"> </w:instrText>
      </w:r>
      <w:r>
        <w:rPr>
          <w:rFonts w:ascii="仿宋" w:hAnsi="仿宋" w:eastAsia="仿宋" w:cs="仿宋"/>
          <w:color w:val="000000" w:themeColor="text1"/>
          <w:spacing w:val="-4"/>
          <w:sz w:val="24"/>
          <w14:textFill>
            <w14:solidFill>
              <w14:schemeClr w14:val="tx1"/>
            </w14:solidFill>
          </w14:textFill>
        </w:rPr>
        <w:fldChar w:fldCharType="end"/>
      </w:r>
      <w:r>
        <w:rPr>
          <w:rFonts w:ascii="仿宋" w:hAnsi="仿宋" w:eastAsia="仿宋" w:cs="仿宋"/>
          <w:color w:val="000000" w:themeColor="text1"/>
          <w:spacing w:val="-4"/>
          <w:sz w:val="24"/>
          <w14:textFill>
            <w14:solidFill>
              <w14:schemeClr w14:val="tx1"/>
            </w14:solidFill>
          </w14:textFill>
        </w:rPr>
        <w:t xml:space="preserve"> </w:t>
      </w:r>
      <m:oMath>
        <m:r>
          <m:rPr>
            <m:sty m:val="p"/>
          </m:rPr>
          <w:rPr>
            <w:rFonts w:hint="eastAsia" w:ascii="Cambria Math" w:hAnsi="Cambria Math" w:eastAsia="仿宋" w:cs="仿宋"/>
            <w:color w:val="000000" w:themeColor="text1"/>
            <w:spacing w:val="-4"/>
            <w:sz w:val="24"/>
            <w14:textFill>
              <w14:solidFill>
                <w14:schemeClr w14:val="tx1"/>
              </w14:solidFill>
            </w14:textFill>
          </w:rPr>
          <m:t>Q=</m:t>
        </m:r>
        <m:r>
          <m:rPr>
            <m:sty m:val="p"/>
          </m:rPr>
          <w:rPr>
            <w:rFonts w:ascii="Cambria Math" w:hAnsi="Cambria Math" w:eastAsia="仿宋" w:cs="仿宋"/>
            <w:color w:val="000000" w:themeColor="text1"/>
            <w:spacing w:val="-4"/>
            <w:sz w:val="24"/>
            <w14:textFill>
              <w14:solidFill>
                <w14:schemeClr w14:val="tx1"/>
              </w14:solidFill>
            </w14:textFill>
          </w:rPr>
          <m:t>60∗12∗</m:t>
        </m:r>
        <m:f>
          <m:fPr>
            <m:ctrlPr>
              <w:rPr>
                <w:rFonts w:ascii="Cambria Math" w:hAnsi="Cambria Math" w:eastAsia="仿宋" w:cs="仿宋"/>
                <w:color w:val="000000" w:themeColor="text1"/>
                <w:spacing w:val="-4"/>
                <w:sz w:val="24"/>
                <w14:textFill>
                  <w14:solidFill>
                    <w14:schemeClr w14:val="tx1"/>
                  </w14:solidFill>
                </w14:textFill>
              </w:rPr>
            </m:ctrlPr>
          </m:fPr>
          <m:num>
            <m:r>
              <m:rPr>
                <m:sty m:val="p"/>
              </m:rPr>
              <w:rPr>
                <w:rFonts w:ascii="Cambria Math" w:hAnsi="Cambria Math" w:eastAsia="仿宋" w:cs="仿宋"/>
                <w:color w:val="000000" w:themeColor="text1"/>
                <w:spacing w:val="-4"/>
                <w:sz w:val="24"/>
                <w14:textFill>
                  <w14:solidFill>
                    <w14:schemeClr w14:val="tx1"/>
                  </w14:solidFill>
                </w14:textFill>
              </w:rPr>
              <m:t>12%−7%</m:t>
            </m:r>
            <m:ctrlPr>
              <w:rPr>
                <w:rFonts w:ascii="Cambria Math" w:hAnsi="Cambria Math" w:eastAsia="仿宋" w:cs="仿宋"/>
                <w:color w:val="000000" w:themeColor="text1"/>
                <w:spacing w:val="-4"/>
                <w:sz w:val="24"/>
                <w14:textFill>
                  <w14:solidFill>
                    <w14:schemeClr w14:val="tx1"/>
                  </w14:solidFill>
                </w14:textFill>
              </w:rPr>
            </m:ctrlPr>
          </m:num>
          <m:den>
            <m:r>
              <m:rPr>
                <m:sty m:val="p"/>
              </m:rPr>
              <w:rPr>
                <w:rFonts w:ascii="Cambria Math" w:hAnsi="Cambria Math" w:eastAsia="仿宋" w:cs="仿宋"/>
                <w:color w:val="000000" w:themeColor="text1"/>
                <w:spacing w:val="-4"/>
                <w:sz w:val="24"/>
                <w14:textFill>
                  <w14:solidFill>
                    <w14:schemeClr w14:val="tx1"/>
                  </w14:solidFill>
                </w14:textFill>
              </w:rPr>
              <m:t>97%+7%−1</m:t>
            </m:r>
            <m:ctrlPr>
              <w:rPr>
                <w:rFonts w:ascii="Cambria Math" w:hAnsi="Cambria Math" w:eastAsia="仿宋" w:cs="仿宋"/>
                <w:color w:val="000000" w:themeColor="text1"/>
                <w:spacing w:val="-4"/>
                <w:sz w:val="24"/>
                <w14:textFill>
                  <w14:solidFill>
                    <w14:schemeClr w14:val="tx1"/>
                  </w14:solidFill>
                </w14:textFill>
              </w:rPr>
            </m:ctrlPr>
          </m:den>
        </m:f>
      </m:oMath>
      <w:r>
        <w:rPr>
          <w:rFonts w:ascii="仿宋" w:hAnsi="仿宋" w:eastAsia="仿宋" w:cs="仿宋"/>
          <w:color w:val="000000" w:themeColor="text1"/>
          <w:spacing w:val="-4"/>
          <w:sz w:val="24"/>
          <w14:textFill>
            <w14:solidFill>
              <w14:schemeClr w14:val="tx1"/>
            </w14:solidFill>
          </w14:textFill>
        </w:rPr>
        <w:t xml:space="preserve"> =</w:t>
      </w:r>
      <w:r>
        <w:rPr>
          <w:rFonts w:hint="eastAsia" w:ascii="仿宋" w:hAnsi="仿宋" w:eastAsia="仿宋" w:cs="仿宋"/>
          <w:color w:val="000000" w:themeColor="text1"/>
          <w:spacing w:val="-4"/>
          <w:sz w:val="24"/>
          <w14:textFill>
            <w14:solidFill>
              <w14:schemeClr w14:val="tx1"/>
            </w14:solidFill>
          </w14:textFill>
        </w:rPr>
        <w:t>950.4</w:t>
      </w:r>
      <w:r>
        <w:rPr>
          <w:rFonts w:ascii="仿宋" w:hAnsi="仿宋" w:eastAsia="仿宋" w:cs="仿宋"/>
          <w:color w:val="000000" w:themeColor="text1"/>
          <w:spacing w:val="-4"/>
          <w:sz w:val="24"/>
          <w14:textFill>
            <w14:solidFill>
              <w14:schemeClr w14:val="tx1"/>
            </w14:solidFill>
          </w14:textFill>
        </w:rPr>
        <w:t>m3/h</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经计算，1304（外）工作面回采期间注氮量为900</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s="仿宋"/>
          <w:color w:val="000000" w:themeColor="text1"/>
          <w:spacing w:val="-4"/>
          <w:sz w:val="24"/>
          <w14:textFill>
            <w14:solidFill>
              <w14:schemeClr w14:val="tx1"/>
            </w14:solidFill>
          </w14:textFill>
        </w:rPr>
        <w:t>/h。制氮设备能力应不低于注氮量的1.2倍。目前，我矿共有3台1200</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s="仿宋"/>
          <w:color w:val="000000" w:themeColor="text1"/>
          <w:spacing w:val="-4"/>
          <w:sz w:val="24"/>
          <w14:textFill>
            <w14:solidFill>
              <w14:schemeClr w14:val="tx1"/>
            </w14:solidFill>
          </w14:textFill>
        </w:rPr>
        <w:t xml:space="preserve">/h（DMJ1200）注氮机，实际注氮量能力不小于3000 </w:t>
      </w:r>
      <w:r>
        <w:rPr>
          <w:rFonts w:hint="eastAsia" w:ascii="仿宋" w:hAnsi="仿宋" w:eastAsia="仿宋"/>
          <w:color w:val="000000" w:themeColor="text1"/>
          <w:sz w:val="24"/>
          <w:lang w:val="en-US" w:eastAsia="zh-CN"/>
          <w14:textFill>
            <w14:solidFill>
              <w14:schemeClr w14:val="tx1"/>
            </w14:solidFill>
          </w14:textFill>
        </w:rPr>
        <w:t>m³</w:t>
      </w:r>
      <w:r>
        <w:rPr>
          <w:rFonts w:hint="eastAsia" w:ascii="仿宋" w:hAnsi="仿宋" w:eastAsia="仿宋" w:cs="仿宋"/>
          <w:color w:val="000000" w:themeColor="text1"/>
          <w:spacing w:val="-4"/>
          <w:sz w:val="24"/>
          <w14:textFill>
            <w14:solidFill>
              <w14:schemeClr w14:val="tx1"/>
            </w14:solidFill>
          </w14:textFill>
        </w:rPr>
        <w:t>/h，满足生产要求。正常回采期间，采用间歇性注氮，注氮周期每月不少于2次；日推进度小于3刀时，每月不少于3次。每次注氮量不低于5000</w:t>
      </w:r>
      <w:r>
        <w:rPr>
          <w:rFonts w:hint="eastAsia" w:ascii="仿宋" w:hAnsi="仿宋" w:eastAsia="仿宋"/>
          <w:color w:val="000000" w:themeColor="text1"/>
          <w:sz w:val="24"/>
          <w:lang w:val="en-US" w:eastAsia="zh-CN"/>
          <w14:textFill>
            <w14:solidFill>
              <w14:schemeClr w14:val="tx1"/>
            </w14:solidFill>
          </w14:textFill>
        </w:rPr>
        <w:t>m³</w:t>
      </w:r>
      <w:r>
        <w:rPr>
          <w:rFonts w:ascii="仿宋" w:hAnsi="仿宋" w:eastAsia="仿宋" w:cs="仿宋"/>
          <w:color w:val="000000" w:themeColor="text1"/>
          <w:spacing w:val="-4"/>
          <w:sz w:val="24"/>
          <w14:textFill>
            <w14:solidFill>
              <w14:schemeClr w14:val="tx1"/>
            </w14:solidFill>
          </w14:textFill>
        </w:rPr>
        <w:t>。</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（3）管路布置（具体见防灭火系统布置图）</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注氮管路布置路线：+780m水平制氮机硐室→北翼带式输送机大巷→1303机联巷→1303工作面机巷→1303工作面采空区。</w:t>
      </w:r>
    </w:p>
    <w:p>
      <w:pPr>
        <w:pStyle w:val="12"/>
        <w:keepNext w:val="0"/>
        <w:keepLines w:val="0"/>
        <w:pageBreakBefore w:val="0"/>
        <w:kinsoku/>
        <w:wordWrap/>
        <w:overflowPunct/>
        <w:topLinePunct w:val="0"/>
        <w:autoSpaceDE/>
        <w:autoSpaceDN/>
        <w:bidi w:val="0"/>
        <w:adjustRightInd w:val="0"/>
        <w:snapToGrid w:val="0"/>
        <w:spacing w:after="0" w:line="360" w:lineRule="auto"/>
        <w:ind w:firstLine="464"/>
        <w:textAlignment w:val="auto"/>
        <w:rPr>
          <w:rFonts w:ascii="仿宋" w:hAnsi="仿宋" w:eastAsia="仿宋" w:cs="仿宋"/>
          <w:color w:val="000000" w:themeColor="text1"/>
          <w:spacing w:val="-4"/>
          <w:sz w:val="24"/>
          <w14:textFill>
            <w14:solidFill>
              <w14:schemeClr w14:val="tx1"/>
            </w14:solidFill>
          </w14:textFill>
        </w:rPr>
      </w:pPr>
      <w:r>
        <w:rPr>
          <w:rFonts w:ascii="仿宋" w:hAnsi="仿宋" w:eastAsia="仿宋" w:cs="仿宋"/>
          <w:color w:val="000000" w:themeColor="text1"/>
          <w:spacing w:val="-4"/>
          <w:sz w:val="24"/>
          <w14:textFill>
            <w14:solidFill>
              <w14:schemeClr w14:val="tx1"/>
            </w14:solidFill>
          </w14:textFill>
        </w:rPr>
        <w:t>机巷布置一趟Ф108mm注氮管路，出口布置在进风隅角采空区30m-60m范围内，随工作面推进压茬切换。</w:t>
      </w:r>
    </w:p>
    <w:p>
      <w:pPr>
        <w:keepNext w:val="0"/>
        <w:keepLines w:val="0"/>
        <w:pageBreakBefore w:val="0"/>
        <w:kinsoku/>
        <w:wordWrap/>
        <w:overflowPunct/>
        <w:topLinePunct w:val="0"/>
        <w:autoSpaceDE/>
        <w:autoSpaceDN/>
        <w:bidi w:val="0"/>
        <w:snapToGrid w:val="0"/>
        <w:spacing w:line="360" w:lineRule="auto"/>
        <w:ind w:left="420" w:firstLine="0" w:firstLineChars="0"/>
        <w:textAlignment w:val="auto"/>
        <w:rPr>
          <w:rFonts w:ascii="仿宋" w:hAnsi="仿宋" w:eastAsia="仿宋"/>
          <w:b/>
          <w:sz w:val="24"/>
        </w:rPr>
      </w:pPr>
      <w:r>
        <w:rPr>
          <w:rFonts w:hint="eastAsia" w:ascii="仿宋" w:hAnsi="仿宋" w:eastAsia="仿宋"/>
          <w:b/>
          <w:sz w:val="24"/>
        </w:rPr>
        <w:t>附图11:1303工作面防灭火系统图</w:t>
      </w:r>
    </w:p>
    <w:p>
      <w:pPr>
        <w:keepNext w:val="0"/>
        <w:keepLines w:val="0"/>
        <w:pageBreakBefore w:val="0"/>
        <w:kinsoku/>
        <w:wordWrap/>
        <w:overflowPunct/>
        <w:topLinePunct w:val="0"/>
        <w:autoSpaceDE/>
        <w:autoSpaceDN/>
        <w:bidi w:val="0"/>
        <w:snapToGrid w:val="0"/>
        <w:spacing w:line="360" w:lineRule="auto"/>
        <w:ind w:firstLine="0" w:firstLineChars="0"/>
        <w:textAlignment w:val="auto"/>
        <w:rPr>
          <w:rFonts w:ascii="仿宋" w:hAnsi="仿宋" w:eastAsia="仿宋"/>
          <w:b/>
          <w:sz w:val="24"/>
        </w:rPr>
      </w:pPr>
      <w:bookmarkStart w:id="319" w:name="_Toc2841298"/>
      <w:r>
        <w:rPr>
          <w:rFonts w:hint="eastAsia" w:ascii="仿宋" w:hAnsi="仿宋" w:eastAsia="仿宋"/>
          <w:b/>
          <w:sz w:val="24"/>
        </w:rPr>
        <w:t>3、防灭火监测系统设计</w:t>
      </w:r>
      <w:bookmarkEnd w:id="319"/>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（1）束管监测</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束管监测系统配置一套JSG-7型煤矿束管火灾监测系统，一次取样可以完成对CO、CO</w:t>
      </w:r>
      <w:r>
        <w:rPr>
          <w:rFonts w:ascii="仿宋" w:hAnsi="仿宋" w:eastAsia="仿宋" w:cs="仿宋_GB2312"/>
          <w:sz w:val="24"/>
          <w:vertAlign w:val="subscript"/>
        </w:rPr>
        <w:t>2</w:t>
      </w:r>
      <w:r>
        <w:rPr>
          <w:rFonts w:ascii="仿宋" w:hAnsi="仿宋" w:eastAsia="仿宋" w:cs="仿宋_GB2312"/>
          <w:sz w:val="24"/>
        </w:rPr>
        <w:t>、CH</w:t>
      </w:r>
      <w:r>
        <w:rPr>
          <w:rFonts w:ascii="仿宋" w:hAnsi="仿宋" w:eastAsia="仿宋" w:cs="仿宋_GB2312"/>
          <w:sz w:val="24"/>
          <w:vertAlign w:val="subscript"/>
        </w:rPr>
        <w:t>4</w:t>
      </w:r>
      <w:r>
        <w:rPr>
          <w:rFonts w:ascii="仿宋" w:hAnsi="仿宋" w:eastAsia="仿宋" w:cs="仿宋_GB2312"/>
          <w:sz w:val="24"/>
        </w:rPr>
        <w:t>、C</w:t>
      </w:r>
      <w:r>
        <w:rPr>
          <w:rFonts w:ascii="仿宋" w:hAnsi="仿宋" w:eastAsia="仿宋" w:cs="仿宋_GB2312"/>
          <w:sz w:val="24"/>
          <w:vertAlign w:val="subscript"/>
        </w:rPr>
        <w:t>2</w:t>
      </w:r>
      <w:r>
        <w:rPr>
          <w:rFonts w:ascii="仿宋" w:hAnsi="仿宋" w:eastAsia="仿宋" w:cs="仿宋_GB2312"/>
          <w:sz w:val="24"/>
        </w:rPr>
        <w:t>H</w:t>
      </w:r>
      <w:r>
        <w:rPr>
          <w:rFonts w:ascii="仿宋" w:hAnsi="仿宋" w:eastAsia="仿宋" w:cs="仿宋_GB2312"/>
          <w:sz w:val="24"/>
          <w:vertAlign w:val="subscript"/>
        </w:rPr>
        <w:t>2</w:t>
      </w:r>
      <w:r>
        <w:rPr>
          <w:rFonts w:ascii="仿宋" w:hAnsi="仿宋" w:eastAsia="仿宋" w:cs="仿宋_GB2312"/>
          <w:sz w:val="24"/>
        </w:rPr>
        <w:t>、C</w:t>
      </w:r>
      <w:r>
        <w:rPr>
          <w:rFonts w:ascii="仿宋" w:hAnsi="仿宋" w:eastAsia="仿宋" w:cs="仿宋_GB2312"/>
          <w:sz w:val="24"/>
          <w:vertAlign w:val="subscript"/>
        </w:rPr>
        <w:t>2</w:t>
      </w:r>
      <w:r>
        <w:rPr>
          <w:rFonts w:ascii="仿宋" w:hAnsi="仿宋" w:eastAsia="仿宋" w:cs="仿宋_GB2312"/>
          <w:sz w:val="24"/>
        </w:rPr>
        <w:t>H</w:t>
      </w:r>
      <w:r>
        <w:rPr>
          <w:rFonts w:ascii="仿宋" w:hAnsi="仿宋" w:eastAsia="仿宋" w:cs="仿宋_GB2312"/>
          <w:sz w:val="24"/>
          <w:vertAlign w:val="subscript"/>
        </w:rPr>
        <w:t>4</w:t>
      </w:r>
      <w:r>
        <w:rPr>
          <w:rFonts w:ascii="仿宋" w:hAnsi="仿宋" w:eastAsia="仿宋" w:cs="仿宋_GB2312"/>
          <w:sz w:val="24"/>
        </w:rPr>
        <w:t>、C</w:t>
      </w:r>
      <w:r>
        <w:rPr>
          <w:rFonts w:ascii="仿宋" w:hAnsi="仿宋" w:eastAsia="仿宋" w:cs="仿宋_GB2312"/>
          <w:sz w:val="24"/>
          <w:vertAlign w:val="subscript"/>
        </w:rPr>
        <w:t>2</w:t>
      </w:r>
      <w:r>
        <w:rPr>
          <w:rFonts w:ascii="仿宋" w:hAnsi="仿宋" w:eastAsia="仿宋" w:cs="仿宋_GB2312"/>
          <w:sz w:val="24"/>
        </w:rPr>
        <w:t>H</w:t>
      </w:r>
      <w:r>
        <w:rPr>
          <w:rFonts w:ascii="仿宋" w:hAnsi="仿宋" w:eastAsia="仿宋" w:cs="仿宋_GB2312"/>
          <w:sz w:val="24"/>
          <w:vertAlign w:val="subscript"/>
        </w:rPr>
        <w:t>6</w:t>
      </w:r>
      <w:r>
        <w:rPr>
          <w:rFonts w:ascii="仿宋" w:hAnsi="仿宋" w:eastAsia="仿宋" w:cs="仿宋_GB2312"/>
          <w:sz w:val="24"/>
        </w:rPr>
        <w:t>、O</w:t>
      </w:r>
      <w:r>
        <w:rPr>
          <w:rFonts w:ascii="仿宋" w:hAnsi="仿宋" w:eastAsia="仿宋" w:cs="仿宋_GB2312"/>
          <w:sz w:val="24"/>
          <w:vertAlign w:val="subscript"/>
        </w:rPr>
        <w:t>2</w:t>
      </w:r>
      <w:r>
        <w:rPr>
          <w:rFonts w:ascii="仿宋" w:hAnsi="仿宋" w:eastAsia="仿宋" w:cs="仿宋_GB2312"/>
          <w:sz w:val="24"/>
        </w:rPr>
        <w:t>、N</w:t>
      </w:r>
      <w:r>
        <w:rPr>
          <w:rFonts w:ascii="仿宋" w:hAnsi="仿宋" w:eastAsia="仿宋" w:cs="仿宋_GB2312"/>
          <w:sz w:val="24"/>
          <w:vertAlign w:val="subscript"/>
        </w:rPr>
        <w:t>2</w:t>
      </w:r>
      <w:r>
        <w:rPr>
          <w:rFonts w:ascii="仿宋" w:hAnsi="仿宋" w:eastAsia="仿宋" w:cs="仿宋_GB2312"/>
          <w:sz w:val="24"/>
        </w:rPr>
        <w:t>等自然发火标志气体的全分析。</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①束管管路布置</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A.1303工作面机巷束管布置路线：消防材料库→北翼带式运输大巷→1303机巷联巷→1303工作面机巷→1303工作面进风隅角（采空区）。</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B.1303工作面风巷束管布置路线：消防材料库→北翼带式运输大巷→130</w:t>
      </w:r>
      <w:r>
        <w:rPr>
          <w:rFonts w:hint="eastAsia" w:ascii="仿宋" w:hAnsi="仿宋" w:eastAsia="仿宋" w:cs="仿宋_GB2312"/>
          <w:sz w:val="24"/>
          <w:lang w:val="en-US" w:eastAsia="zh-CN"/>
        </w:rPr>
        <w:t>5提料联巷</w:t>
      </w:r>
      <w:r>
        <w:rPr>
          <w:rFonts w:ascii="仿宋" w:hAnsi="仿宋" w:eastAsia="仿宋" w:cs="仿宋_GB2312"/>
          <w:sz w:val="24"/>
        </w:rPr>
        <w:t>→1303工作面风巷→1303工作面回风隅角（采空区）。</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② 测点布置</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1303机巷布置1路束管，风巷布置2路束管，延至进、回风隅角采空区进行监测。机巷、风巷束管进入采空区30m-60m采集气样进行分析；风巷另1路束管采样口位于工作面回风隅角切顶线往里2-5m位置，依次循环。每天进行取样分析。</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（2）安全监控在线监测</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距1303工作面风巷回风口10～15m范围内，1303工作面回风隅角布置的CO、温度传感器进行实时监测,在1303工作面瓦斯抽放管路中设置CO、温度传感器进行实时监测。</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（3）人工检测</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每班检测1303工作面回风流、回风隅角及工作面架间的CO、CH</w:t>
      </w:r>
      <w:r>
        <w:rPr>
          <w:rFonts w:ascii="仿宋" w:hAnsi="仿宋" w:eastAsia="仿宋" w:cs="仿宋_GB2312"/>
          <w:sz w:val="24"/>
          <w:vertAlign w:val="superscript"/>
        </w:rPr>
        <w:softHyphen/>
      </w:r>
      <w:r>
        <w:rPr>
          <w:rFonts w:ascii="仿宋" w:hAnsi="仿宋" w:eastAsia="仿宋" w:cs="仿宋_GB2312"/>
          <w:sz w:val="24"/>
          <w:vertAlign w:val="superscript"/>
        </w:rPr>
        <w:t>4</w:t>
      </w:r>
      <w:r>
        <w:rPr>
          <w:rFonts w:ascii="仿宋" w:hAnsi="仿宋" w:eastAsia="仿宋" w:cs="仿宋_GB2312"/>
          <w:sz w:val="24"/>
        </w:rPr>
        <w:t>和温度（架数间隔10架），每周采集采空区瓦斯抽放管路气样进行1次气相色谱分析。距1303风巷巷口10-15m位置设置自然发火观测站。</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hint="eastAsia" w:ascii="仿宋" w:hAnsi="仿宋" w:eastAsia="仿宋" w:cs="仿宋_GB2312"/>
          <w:sz w:val="24"/>
          <w:lang w:eastAsia="zh-CN"/>
        </w:rPr>
        <w:t>（</w:t>
      </w:r>
      <w:r>
        <w:rPr>
          <w:rFonts w:hint="eastAsia" w:ascii="仿宋" w:hAnsi="仿宋" w:eastAsia="仿宋" w:cs="仿宋_GB2312"/>
          <w:sz w:val="24"/>
          <w:lang w:val="en-US" w:eastAsia="zh-CN"/>
        </w:rPr>
        <w:t>4</w:t>
      </w:r>
      <w:r>
        <w:rPr>
          <w:rFonts w:hint="eastAsia" w:ascii="仿宋" w:hAnsi="仿宋" w:eastAsia="仿宋" w:cs="仿宋_GB2312"/>
          <w:sz w:val="24"/>
          <w:lang w:eastAsia="zh-CN"/>
        </w:rPr>
        <w:t>）</w:t>
      </w:r>
      <w:r>
        <w:rPr>
          <w:rFonts w:ascii="仿宋" w:hAnsi="仿宋" w:eastAsia="仿宋" w:cs="仿宋_GB2312"/>
          <w:sz w:val="24"/>
        </w:rPr>
        <w:t>矿用激光多气体监测系统</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在井下消防材料库装配矿用激光多气体监测主机一台，利用1303机、风巷采空区束管采集气体，通过矿用激光多气体监测主机对CO、CO</w:t>
      </w:r>
      <w:r>
        <w:rPr>
          <w:rFonts w:ascii="仿宋" w:hAnsi="仿宋" w:eastAsia="仿宋" w:cs="仿宋_GB2312"/>
          <w:sz w:val="24"/>
          <w:vertAlign w:val="subscript"/>
        </w:rPr>
        <w:t>2</w:t>
      </w:r>
      <w:r>
        <w:rPr>
          <w:rFonts w:ascii="仿宋" w:hAnsi="仿宋" w:eastAsia="仿宋" w:cs="仿宋_GB2312"/>
          <w:sz w:val="24"/>
        </w:rPr>
        <w:t>、CH</w:t>
      </w:r>
      <w:r>
        <w:rPr>
          <w:rFonts w:ascii="仿宋" w:hAnsi="仿宋" w:eastAsia="仿宋" w:cs="仿宋_GB2312"/>
          <w:sz w:val="24"/>
          <w:vertAlign w:val="subscript"/>
        </w:rPr>
        <w:t>4</w:t>
      </w:r>
      <w:r>
        <w:rPr>
          <w:rFonts w:ascii="仿宋" w:hAnsi="仿宋" w:eastAsia="仿宋" w:cs="仿宋_GB2312"/>
          <w:sz w:val="24"/>
        </w:rPr>
        <w:t>、O</w:t>
      </w:r>
      <w:r>
        <w:rPr>
          <w:rFonts w:ascii="仿宋" w:hAnsi="仿宋" w:eastAsia="仿宋" w:cs="仿宋_GB2312"/>
          <w:sz w:val="24"/>
          <w:vertAlign w:val="subscript"/>
        </w:rPr>
        <w:t>2</w:t>
      </w:r>
      <w:r>
        <w:rPr>
          <w:rFonts w:ascii="仿宋" w:hAnsi="仿宋" w:eastAsia="仿宋" w:cs="仿宋_GB2312"/>
          <w:sz w:val="24"/>
        </w:rPr>
        <w:t>、C</w:t>
      </w:r>
      <w:r>
        <w:rPr>
          <w:rFonts w:ascii="仿宋" w:hAnsi="仿宋" w:eastAsia="仿宋" w:cs="仿宋_GB2312"/>
          <w:sz w:val="24"/>
          <w:vertAlign w:val="subscript"/>
        </w:rPr>
        <w:t>2</w:t>
      </w:r>
      <w:r>
        <w:rPr>
          <w:rFonts w:ascii="仿宋" w:hAnsi="仿宋" w:eastAsia="仿宋" w:cs="仿宋_GB2312"/>
          <w:sz w:val="24"/>
        </w:rPr>
        <w:t>H</w:t>
      </w:r>
      <w:r>
        <w:rPr>
          <w:rFonts w:ascii="仿宋" w:hAnsi="仿宋" w:eastAsia="仿宋" w:cs="仿宋_GB2312"/>
          <w:sz w:val="24"/>
          <w:vertAlign w:val="subscript"/>
        </w:rPr>
        <w:t>4</w:t>
      </w:r>
      <w:r>
        <w:rPr>
          <w:rFonts w:ascii="仿宋" w:hAnsi="仿宋" w:eastAsia="仿宋" w:cs="仿宋_GB2312"/>
          <w:sz w:val="24"/>
        </w:rPr>
        <w:t>、C</w:t>
      </w:r>
      <w:r>
        <w:rPr>
          <w:rFonts w:ascii="仿宋" w:hAnsi="仿宋" w:eastAsia="仿宋" w:cs="仿宋_GB2312"/>
          <w:sz w:val="24"/>
          <w:vertAlign w:val="subscript"/>
        </w:rPr>
        <w:t>2</w:t>
      </w:r>
      <w:r>
        <w:rPr>
          <w:rFonts w:ascii="仿宋" w:hAnsi="仿宋" w:eastAsia="仿宋" w:cs="仿宋_GB2312"/>
          <w:sz w:val="24"/>
        </w:rPr>
        <w:t>H</w:t>
      </w:r>
      <w:r>
        <w:rPr>
          <w:rFonts w:ascii="仿宋" w:hAnsi="仿宋" w:eastAsia="仿宋" w:cs="仿宋_GB2312"/>
          <w:sz w:val="24"/>
          <w:vertAlign w:val="subscript"/>
        </w:rPr>
        <w:t>2</w:t>
      </w:r>
      <w:r>
        <w:rPr>
          <w:rFonts w:ascii="仿宋" w:hAnsi="仿宋" w:eastAsia="仿宋" w:cs="仿宋_GB2312"/>
          <w:sz w:val="24"/>
        </w:rPr>
        <w:t>浓度进行连续实时分析，从而更精确地掌握工作面采空区气体的状况。</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4、1303机、风巷高冒点、架棚处、钻孔防灭火治理</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 xml:space="preserve"> (1) 瓦检员每班检查一次高冒点、架棚处防火检查点。</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每周利用红外线成像仪检查一次高冒点及架棚处温度。</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架棚处观测孔每周取样一次进行气相色谱分析。</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钻孔每周检查一次CO、温度、瓦斯情况。</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检查地点有异常及时采取注水、注凝胶等防灭火措施。</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5、防火门设计</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防火门位置</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1303工作面机巷防火门：1303机巷与二车场三岔门以里5m处；</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rPr>
          <w:rFonts w:ascii="仿宋" w:hAnsi="仿宋" w:eastAsia="仿宋" w:cs="仿宋_GB2312"/>
          <w:sz w:val="24"/>
        </w:rPr>
      </w:pPr>
      <w:r>
        <w:rPr>
          <w:rFonts w:ascii="仿宋" w:hAnsi="仿宋" w:eastAsia="仿宋" w:cs="仿宋_GB2312"/>
          <w:sz w:val="24"/>
        </w:rPr>
        <w:t>1303工作面风巷防火门：1303风巷溜煤眼以里5m处。</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（2）防火门构筑要求:</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fldChar w:fldCharType="begin"/>
      </w:r>
      <w:r>
        <w:rPr>
          <w:rFonts w:ascii="仿宋" w:hAnsi="仿宋" w:eastAsia="仿宋" w:cs="仿宋_GB2312"/>
          <w:sz w:val="24"/>
        </w:rPr>
        <w:instrText xml:space="preserve"> = 1 \* GB3 </w:instrText>
      </w:r>
      <w:r>
        <w:rPr>
          <w:rFonts w:ascii="仿宋" w:hAnsi="仿宋" w:eastAsia="仿宋" w:cs="仿宋_GB2312"/>
          <w:sz w:val="24"/>
        </w:rPr>
        <w:fldChar w:fldCharType="separate"/>
      </w:r>
      <w:r>
        <w:rPr>
          <w:rFonts w:ascii="仿宋" w:hAnsi="仿宋" w:eastAsia="仿宋" w:cs="仿宋_GB2312"/>
          <w:sz w:val="24"/>
        </w:rPr>
        <w:t>①</w:t>
      </w:r>
      <w:r>
        <w:rPr>
          <w:rFonts w:ascii="仿宋" w:hAnsi="仿宋" w:eastAsia="仿宋" w:cs="仿宋_GB2312"/>
          <w:sz w:val="24"/>
        </w:rPr>
        <w:fldChar w:fldCharType="end"/>
      </w:r>
      <w:r>
        <w:rPr>
          <w:rFonts w:ascii="仿宋" w:hAnsi="仿宋" w:eastAsia="仿宋" w:cs="仿宋_GB2312"/>
          <w:sz w:val="24"/>
        </w:rPr>
        <w:t>防火门，必须采用不燃性材料建筑。</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fldChar w:fldCharType="begin"/>
      </w:r>
      <w:r>
        <w:rPr>
          <w:rFonts w:ascii="仿宋" w:hAnsi="仿宋" w:eastAsia="仿宋" w:cs="仿宋_GB2312"/>
          <w:sz w:val="24"/>
        </w:rPr>
        <w:instrText xml:space="preserve"> = 2 \* GB3 </w:instrText>
      </w:r>
      <w:r>
        <w:rPr>
          <w:rFonts w:ascii="仿宋" w:hAnsi="仿宋" w:eastAsia="仿宋" w:cs="仿宋_GB2312"/>
          <w:sz w:val="24"/>
        </w:rPr>
        <w:fldChar w:fldCharType="separate"/>
      </w:r>
      <w:r>
        <w:rPr>
          <w:rFonts w:ascii="仿宋" w:hAnsi="仿宋" w:eastAsia="仿宋" w:cs="仿宋_GB2312"/>
          <w:sz w:val="24"/>
        </w:rPr>
        <w:t>②</w:t>
      </w:r>
      <w:r>
        <w:rPr>
          <w:rFonts w:ascii="仿宋" w:hAnsi="仿宋" w:eastAsia="仿宋" w:cs="仿宋_GB2312"/>
          <w:sz w:val="24"/>
        </w:rPr>
        <w:fldChar w:fldCharType="end"/>
      </w:r>
      <w:r>
        <w:rPr>
          <w:rFonts w:ascii="仿宋" w:hAnsi="仿宋" w:eastAsia="仿宋" w:cs="仿宋_GB2312"/>
          <w:sz w:val="24"/>
        </w:rPr>
        <w:t>墙体厚度不得小于600mm。</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fldChar w:fldCharType="begin"/>
      </w:r>
      <w:r>
        <w:rPr>
          <w:rFonts w:ascii="仿宋" w:hAnsi="仿宋" w:eastAsia="仿宋" w:cs="仿宋_GB2312"/>
          <w:sz w:val="24"/>
        </w:rPr>
        <w:instrText xml:space="preserve"> = 3 \* GB3 </w:instrText>
      </w:r>
      <w:r>
        <w:rPr>
          <w:rFonts w:ascii="仿宋" w:hAnsi="仿宋" w:eastAsia="仿宋" w:cs="仿宋_GB2312"/>
          <w:sz w:val="24"/>
        </w:rPr>
        <w:fldChar w:fldCharType="separate"/>
      </w:r>
      <w:r>
        <w:rPr>
          <w:rFonts w:ascii="仿宋" w:hAnsi="仿宋" w:eastAsia="仿宋" w:cs="仿宋_GB2312"/>
          <w:sz w:val="24"/>
        </w:rPr>
        <w:t>③</w:t>
      </w:r>
      <w:r>
        <w:rPr>
          <w:rFonts w:ascii="仿宋" w:hAnsi="仿宋" w:eastAsia="仿宋" w:cs="仿宋_GB2312"/>
          <w:sz w:val="24"/>
        </w:rPr>
        <w:fldChar w:fldCharType="end"/>
      </w:r>
      <w:r>
        <w:rPr>
          <w:rFonts w:ascii="仿宋" w:hAnsi="仿宋" w:eastAsia="仿宋" w:cs="仿宋_GB2312"/>
          <w:sz w:val="24"/>
        </w:rPr>
        <w:t>墙体四周应与巷壁接实，掏槽深度不得小于300mm。</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④防火门采取“内插拆口”结构。</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⑤防火门断面，符合行人、通风和运输要求。</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⑥所有穿过防火门的管路、电缆等必须从墙体中穿过；电缆使用穿墙管保护并使用不燃性材料封堵穿墙管空隙。</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（3）封闭防火门所用的板材厚度不得小于30mm，每块板材宽度不小于300mm，拆口宽度不小于20mm。</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（4）封闭防火门所用的木板要逐次编号，排列摆放整齐，指定人员负责定期进行检查，发现如有变形或丢失要及时更换和补充</w:t>
      </w:r>
      <w:r>
        <w:rPr>
          <w:rFonts w:hint="eastAsia" w:ascii="仿宋" w:hAnsi="仿宋" w:eastAsia="仿宋" w:cs="仿宋_GB2312"/>
          <w:sz w:val="24"/>
        </w:rPr>
        <w:t>。</w:t>
      </w:r>
    </w:p>
    <w:p>
      <w:pPr>
        <w:keepNext w:val="0"/>
        <w:keepLines w:val="0"/>
        <w:pageBreakBefore w:val="0"/>
        <w:kinsoku/>
        <w:wordWrap/>
        <w:overflowPunct/>
        <w:topLinePunct w:val="0"/>
        <w:autoSpaceDE/>
        <w:autoSpaceDN/>
        <w:bidi w:val="0"/>
        <w:snapToGrid w:val="0"/>
        <w:spacing w:line="360" w:lineRule="auto"/>
        <w:ind w:firstLine="0" w:firstLineChars="0"/>
        <w:textAlignment w:val="auto"/>
        <w:outlineLvl w:val="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（四）安全技术措施</w:t>
      </w:r>
      <w:bookmarkEnd w:id="310"/>
      <w:bookmarkEnd w:id="311"/>
      <w:bookmarkEnd w:id="312"/>
      <w:bookmarkStart w:id="320" w:name="_Toc305416612"/>
      <w:bookmarkStart w:id="321" w:name="_Toc336720783"/>
    </w:p>
    <w:p>
      <w:pPr>
        <w:keepNext w:val="0"/>
        <w:keepLines w:val="0"/>
        <w:pageBreakBefore w:val="0"/>
        <w:kinsoku/>
        <w:wordWrap/>
        <w:overflowPunct/>
        <w:topLinePunct w:val="0"/>
        <w:autoSpaceDE/>
        <w:autoSpaceDN/>
        <w:bidi w:val="0"/>
        <w:snapToGrid w:val="0"/>
        <w:spacing w:line="360" w:lineRule="auto"/>
        <w:ind w:left="0" w:leftChars="0" w:firstLine="0" w:firstLineChars="0"/>
        <w:textAlignment w:val="auto"/>
        <w:rPr>
          <w:rFonts w:ascii="仿宋" w:hAnsi="仿宋" w:eastAsia="仿宋" w:cs="仿宋_GB2312"/>
          <w:b/>
          <w:bCs/>
          <w:sz w:val="24"/>
        </w:rPr>
      </w:pPr>
      <w:bookmarkStart w:id="322" w:name="_Toc2841300"/>
      <w:r>
        <w:rPr>
          <w:rFonts w:hint="eastAsia" w:ascii="仿宋" w:hAnsi="仿宋" w:eastAsia="仿宋" w:cs="仿宋_GB2312"/>
          <w:b/>
          <w:bCs/>
          <w:sz w:val="24"/>
          <w:lang w:val="en-US" w:eastAsia="zh-CN"/>
        </w:rPr>
        <w:t>一、</w:t>
      </w:r>
      <w:r>
        <w:rPr>
          <w:rFonts w:hint="eastAsia" w:ascii="仿宋" w:hAnsi="仿宋" w:eastAsia="仿宋" w:cs="仿宋_GB2312"/>
          <w:b/>
          <w:bCs/>
          <w:sz w:val="24"/>
        </w:rPr>
        <w:t>灌浆安全技术措施</w:t>
      </w:r>
      <w:bookmarkEnd w:id="320"/>
      <w:bookmarkEnd w:id="321"/>
      <w:bookmarkEnd w:id="322"/>
    </w:p>
    <w:p>
      <w:pPr>
        <w:keepNext w:val="0"/>
        <w:keepLines w:val="0"/>
        <w:pageBreakBefore w:val="0"/>
        <w:kinsoku/>
        <w:wordWrap/>
        <w:overflowPunct/>
        <w:topLinePunct w:val="0"/>
        <w:autoSpaceDE/>
        <w:autoSpaceDN/>
        <w:bidi w:val="0"/>
        <w:snapToGrid w:val="0"/>
        <w:spacing w:line="360" w:lineRule="auto"/>
        <w:ind w:left="0" w:leftChars="0" w:firstLine="0" w:firstLineChars="0"/>
        <w:textAlignment w:val="auto"/>
        <w:rPr>
          <w:rFonts w:ascii="仿宋" w:hAnsi="仿宋" w:eastAsia="仿宋" w:cs="仿宋_GB2312"/>
          <w:b/>
          <w:bCs/>
          <w:sz w:val="24"/>
        </w:rPr>
      </w:pPr>
      <w:bookmarkStart w:id="323" w:name="_Toc305416613"/>
      <w:bookmarkStart w:id="324" w:name="_Toc2841301"/>
      <w:bookmarkStart w:id="325" w:name="_Toc336720784"/>
      <w:r>
        <w:rPr>
          <w:rFonts w:hint="eastAsia" w:ascii="仿宋" w:hAnsi="仿宋" w:eastAsia="仿宋" w:cs="仿宋_GB2312"/>
          <w:b/>
          <w:bCs/>
          <w:sz w:val="24"/>
          <w:lang w:val="en-US" w:eastAsia="zh-CN"/>
        </w:rPr>
        <w:t>1、</w:t>
      </w:r>
      <w:r>
        <w:rPr>
          <w:rFonts w:ascii="仿宋" w:hAnsi="仿宋" w:eastAsia="仿宋" w:cs="仿宋_GB2312"/>
          <w:b/>
          <w:bCs/>
          <w:sz w:val="24"/>
        </w:rPr>
        <w:t>地面灌浆泵的操作</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hint="eastAsia" w:ascii="仿宋" w:hAnsi="仿宋" w:eastAsia="仿宋" w:cs="仿宋_GB2312"/>
          <w:sz w:val="24"/>
          <w:lang w:val="en-US" w:eastAsia="zh-CN"/>
        </w:rPr>
        <w:t>（1）</w:t>
      </w:r>
      <w:r>
        <w:rPr>
          <w:rFonts w:ascii="仿宋" w:hAnsi="仿宋" w:eastAsia="仿宋" w:cs="仿宋_GB2312"/>
          <w:sz w:val="24"/>
        </w:rPr>
        <w:t>接到要求供水的电话后，先开清水泵给清水，根据计划灌浆的流量和浓度调整水量。</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lang w:val="en-US" w:eastAsia="zh-CN"/>
        </w:rPr>
        <w:t>2</w:t>
      </w:r>
      <w:r>
        <w:rPr>
          <w:rFonts w:ascii="仿宋" w:hAnsi="仿宋" w:eastAsia="仿宋" w:cs="仿宋_GB2312"/>
          <w:sz w:val="24"/>
        </w:rPr>
        <w:t>）通水一段时间后，待管路畅通，接到要求灌浆的电话后，方可开泵灌浆。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lang w:val="en-US" w:eastAsia="zh-CN"/>
        </w:rPr>
        <w:t>3</w:t>
      </w:r>
      <w:r>
        <w:rPr>
          <w:rFonts w:ascii="仿宋" w:hAnsi="仿宋" w:eastAsia="仿宋" w:cs="仿宋_GB2312"/>
          <w:sz w:val="24"/>
        </w:rPr>
        <w:t>）渣浆泵工作时，非工作人员不得靠近工作区。</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lang w:val="en-US" w:eastAsia="zh-CN"/>
        </w:rPr>
        <w:t>4</w:t>
      </w:r>
      <w:r>
        <w:rPr>
          <w:rFonts w:ascii="仿宋" w:hAnsi="仿宋" w:eastAsia="仿宋" w:cs="仿宋_GB2312"/>
          <w:sz w:val="24"/>
        </w:rPr>
        <w:t>）压力表读数由专人读取，当发现超出工作压力区时应立即停泵，查明原因。</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lang w:val="en-US" w:eastAsia="zh-CN"/>
        </w:rPr>
        <w:t>5</w:t>
      </w:r>
      <w:r>
        <w:rPr>
          <w:rFonts w:ascii="仿宋" w:hAnsi="仿宋" w:eastAsia="仿宋" w:cs="仿宋_GB2312"/>
          <w:sz w:val="24"/>
        </w:rPr>
        <w:t>）渣浆泵工作过程中应经常检查油位、油路、油温及轴承温度，不得超过允许参数值。</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lang w:val="en-US" w:eastAsia="zh-CN"/>
        </w:rPr>
        <w:t>6</w:t>
      </w:r>
      <w:r>
        <w:rPr>
          <w:rFonts w:ascii="仿宋" w:hAnsi="仿宋" w:eastAsia="仿宋" w:cs="仿宋_GB2312"/>
          <w:sz w:val="24"/>
        </w:rPr>
        <w:t>）停泵前应用清水将泵及管路清洗干净。</w:t>
      </w:r>
    </w:p>
    <w:p>
      <w:pPr>
        <w:keepNext w:val="0"/>
        <w:keepLines w:val="0"/>
        <w:pageBreakBefore w:val="0"/>
        <w:kinsoku/>
        <w:wordWrap/>
        <w:overflowPunct/>
        <w:topLinePunct w:val="0"/>
        <w:autoSpaceDE/>
        <w:autoSpaceDN/>
        <w:bidi w:val="0"/>
        <w:snapToGrid w:val="0"/>
        <w:spacing w:line="360" w:lineRule="auto"/>
        <w:ind w:left="0" w:leftChars="0" w:firstLine="0" w:firstLineChars="0"/>
        <w:textAlignment w:val="auto"/>
        <w:rPr>
          <w:rFonts w:ascii="仿宋" w:hAnsi="仿宋" w:eastAsia="仿宋" w:cs="仿宋_GB2312"/>
          <w:b/>
          <w:bCs/>
          <w:sz w:val="24"/>
        </w:rPr>
      </w:pPr>
      <w:r>
        <w:rPr>
          <w:rFonts w:hint="eastAsia" w:ascii="仿宋" w:hAnsi="仿宋" w:eastAsia="仿宋" w:cs="仿宋_GB2312"/>
          <w:b/>
          <w:bCs/>
          <w:sz w:val="24"/>
          <w:lang w:val="en-US" w:eastAsia="zh-CN"/>
        </w:rPr>
        <w:t>2、</w:t>
      </w:r>
      <w:r>
        <w:rPr>
          <w:rFonts w:ascii="仿宋" w:hAnsi="仿宋" w:eastAsia="仿宋" w:cs="仿宋_GB2312"/>
          <w:b/>
          <w:bCs/>
          <w:sz w:val="24"/>
        </w:rPr>
        <w:t>停机后的整理工作</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接到井下停浆电话后，要先停电动泵和制浆机，然后给水冲洗管路(冲洗时间一般不少于20min),清理、冲刷浆池。并把水枪和管路中的水放干净。</w:t>
      </w:r>
    </w:p>
    <w:p>
      <w:pPr>
        <w:keepNext w:val="0"/>
        <w:keepLines w:val="0"/>
        <w:pageBreakBefore w:val="0"/>
        <w:kinsoku/>
        <w:wordWrap/>
        <w:overflowPunct/>
        <w:topLinePunct w:val="0"/>
        <w:autoSpaceDE/>
        <w:autoSpaceDN/>
        <w:bidi w:val="0"/>
        <w:snapToGrid w:val="0"/>
        <w:spacing w:line="360" w:lineRule="auto"/>
        <w:ind w:left="0" w:leftChars="0" w:firstLine="0" w:firstLineChars="0"/>
        <w:textAlignment w:val="auto"/>
        <w:rPr>
          <w:rFonts w:ascii="仿宋" w:hAnsi="仿宋" w:eastAsia="仿宋" w:cs="仿宋_GB2312"/>
          <w:b/>
          <w:bCs/>
          <w:sz w:val="24"/>
        </w:rPr>
      </w:pPr>
      <w:r>
        <w:rPr>
          <w:rFonts w:hint="eastAsia" w:ascii="仿宋" w:hAnsi="仿宋" w:eastAsia="仿宋" w:cs="仿宋_GB2312"/>
          <w:b/>
          <w:bCs/>
          <w:sz w:val="24"/>
          <w:lang w:val="en-US" w:eastAsia="zh-CN"/>
        </w:rPr>
        <w:t>3、</w:t>
      </w:r>
      <w:r>
        <w:rPr>
          <w:rFonts w:ascii="仿宋" w:hAnsi="仿宋" w:eastAsia="仿宋" w:cs="仿宋_GB2312"/>
          <w:b/>
          <w:bCs/>
          <w:sz w:val="24"/>
        </w:rPr>
        <w:t>井下灌浆操作</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lang w:val="en-US" w:eastAsia="zh-CN"/>
        </w:rPr>
        <w:t>1</w:t>
      </w:r>
      <w:r>
        <w:rPr>
          <w:rFonts w:ascii="仿宋" w:hAnsi="仿宋" w:eastAsia="仿宋" w:cs="仿宋_GB2312"/>
          <w:sz w:val="24"/>
        </w:rPr>
        <w:t>）准备工作就绪后，打开闸门，用电话与灌浆站联系，先供清水，检查管路。</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lang w:val="en-US" w:eastAsia="zh-CN"/>
        </w:rPr>
        <w:t>2</w:t>
      </w:r>
      <w:r>
        <w:rPr>
          <w:rFonts w:ascii="仿宋" w:hAnsi="仿宋" w:eastAsia="仿宋" w:cs="仿宋_GB2312"/>
          <w:sz w:val="24"/>
        </w:rPr>
        <w:t>）待管路畅通后，进行灌浆，灌注时间根据现场实际可进行调整。</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lang w:val="en-US" w:eastAsia="zh-CN"/>
        </w:rPr>
        <w:t>3</w:t>
      </w:r>
      <w:r>
        <w:rPr>
          <w:rFonts w:ascii="仿宋" w:hAnsi="仿宋" w:eastAsia="仿宋" w:cs="仿宋_GB2312"/>
          <w:sz w:val="24"/>
        </w:rPr>
        <w:t>）灌浆期间，灌浆工应密切注意管路及各处阀门的情况，发现堵塞或管路漏浆时，应首先通知井上停止下浆，同时派人关闭上一道阀门，然后进行处理。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（4）灌浆时，不要在隅角前管路附近停留，以防止管路崩坏伤人。</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（5）尽量在无浆水的情况下拆管路，特殊情况需在有浆水的情况下拆管路时，平接的先松下方的螺钉、吊挂的管路先松靠帮的螺钉，并用胶皮等盖住法兰盘，防止喷水伤人。</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（6）充填流量要均匀适度，切忌流量忽大忽小；接近充满时，要适当减少流量。</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（7）灌浆期间工作面设专人观察，当发现管路管路跳动或管路接头跑漏水、砂浆等现象时，要及时停止注浆，重新固定管路，检查闸阀及管路压力，问题解决后方可重新通知注胶。</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（8）在灌浆前清理巷道排水系统，以便发生渗漏时应急使用。</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（9）必须有瓦检员现场不定期检查瓦斯和其他有毒有害气体的检查，发现瓦斯和其他有毒有害气体超限时，必须停止作业，撤出人员，汇报矿调度指挥中心，进行处理。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4、在灌浆作业过程中，除灌浆检查、监护人员外，其他人员严禁开关灌浆闸阀。</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5、严格按照操作规程进行作业，灌浆前要认真仔细检查电气设备的完好情况，检查管路连接是否完好、是否畅通，发现问题及时处理，避免由于检查不到位而引起的人员和设备的损伤。</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6、控制大颗粒(大于5mm)进入输浆管路中。灌浆前应将大块黄土挑拣出来，浆池上设置除渣装置，然后下浆。灌浆结束后，再用清水清洗，以免泥浆在管内沉淀。</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 xml:space="preserve">7、为防止在灌浆过程中或灌浆后发生溃浆、透水事故，特制定如下措施： </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（1）在灌浆前清理巷道排水沟、沉淀池、排水泵及管路系统，以便发生溃浆、透水时应急使用。并在预灌浆的采空区上下端头建垛袋墙，墙与巷道壁接头打牢。</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（2）必须有瓦检员现场不定期检查瓦斯和其他有毒有害气体的检查，发现瓦斯和其他有毒有害气体超限时，必须停止作业，撤出人员，汇报矿调度指挥中心，进行处理。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（3）按规定的灌浆浆液的水土比灌浆，根据浆液浓度增设增稠剂，确保防灭火效果。</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（4）灌浆期间一旦发现被灌浆区域淋水加大、顶板掉渣、有异响以及气体浓度发生变化，必须立即停止注浆，采取措施。 </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（5）当地面浆池液位不下降，灌浆站停止泥浆泵的运行，查明原因，进行处理</w:t>
      </w:r>
      <w:r>
        <w:rPr>
          <w:rFonts w:hint="eastAsia" w:ascii="仿宋" w:hAnsi="仿宋" w:eastAsia="仿宋" w:cs="仿宋_GB2312"/>
          <w:sz w:val="24"/>
        </w:rPr>
        <w:t>。</w:t>
      </w:r>
    </w:p>
    <w:p>
      <w:pPr>
        <w:keepNext w:val="0"/>
        <w:keepLines w:val="0"/>
        <w:pageBreakBefore w:val="0"/>
        <w:kinsoku/>
        <w:wordWrap/>
        <w:overflowPunct/>
        <w:topLinePunct w:val="0"/>
        <w:autoSpaceDE/>
        <w:autoSpaceDN/>
        <w:bidi w:val="0"/>
        <w:snapToGrid w:val="0"/>
        <w:spacing w:line="360" w:lineRule="auto"/>
        <w:ind w:left="0" w:leftChars="0" w:firstLine="0" w:firstLineChars="0"/>
        <w:textAlignment w:val="auto"/>
        <w:rPr>
          <w:rFonts w:ascii="仿宋" w:hAnsi="仿宋" w:eastAsia="仿宋" w:cs="仿宋_GB2312"/>
          <w:b/>
          <w:bCs/>
          <w:sz w:val="24"/>
        </w:rPr>
      </w:pPr>
      <w:r>
        <w:rPr>
          <w:rFonts w:hint="eastAsia" w:ascii="仿宋" w:hAnsi="仿宋" w:eastAsia="仿宋" w:cs="仿宋_GB2312"/>
          <w:b/>
          <w:bCs/>
          <w:sz w:val="24"/>
          <w:lang w:val="en-US" w:eastAsia="zh-CN"/>
        </w:rPr>
        <w:t>二</w:t>
      </w:r>
      <w:r>
        <w:rPr>
          <w:rFonts w:hint="eastAsia" w:ascii="仿宋" w:hAnsi="仿宋" w:eastAsia="仿宋" w:cs="仿宋_GB2312"/>
          <w:b/>
          <w:bCs/>
          <w:sz w:val="24"/>
        </w:rPr>
        <w:t>、注氮安全技术措施</w:t>
      </w:r>
      <w:bookmarkEnd w:id="323"/>
      <w:bookmarkEnd w:id="324"/>
      <w:bookmarkEnd w:id="325"/>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bookmarkStart w:id="326" w:name="_Toc2841302"/>
      <w:bookmarkStart w:id="327" w:name="_Toc336720786"/>
      <w:bookmarkStart w:id="328" w:name="_Toc305416616"/>
      <w:r>
        <w:rPr>
          <w:rFonts w:ascii="仿宋" w:hAnsi="仿宋" w:eastAsia="仿宋" w:cs="仿宋_GB2312"/>
          <w:sz w:val="24"/>
        </w:rPr>
        <w:t>1</w:t>
      </w:r>
      <w:r>
        <w:rPr>
          <w:rFonts w:hint="eastAsia" w:ascii="仿宋" w:hAnsi="仿宋" w:eastAsia="仿宋" w:cs="仿宋_GB2312"/>
          <w:sz w:val="24"/>
          <w:lang w:eastAsia="zh-CN"/>
        </w:rPr>
        <w:t>、</w:t>
      </w:r>
      <w:r>
        <w:rPr>
          <w:rFonts w:ascii="仿宋" w:hAnsi="仿宋" w:eastAsia="仿宋" w:cs="仿宋_GB2312"/>
          <w:sz w:val="24"/>
        </w:rPr>
        <w:t>注氮操作</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（1）通过采空区预留管路进行注氮,注氮前应检查管路迈步距离，并保证管路、阀门完好。</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2</w:t>
      </w:r>
      <w:r>
        <w:rPr>
          <w:rFonts w:ascii="仿宋" w:hAnsi="仿宋" w:eastAsia="仿宋" w:cs="仿宋_GB2312"/>
          <w:sz w:val="24"/>
        </w:rPr>
        <w:t>）注氮工打开阀门后，通知调度室或通防部门，由其通知制氮硐室供气。</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3</w:t>
      </w:r>
      <w:r>
        <w:rPr>
          <w:rFonts w:ascii="仿宋" w:hAnsi="仿宋" w:eastAsia="仿宋" w:cs="仿宋_GB2312"/>
          <w:sz w:val="24"/>
        </w:rPr>
        <w:t>）观察并记录注氮量。每隔lh记录1次仪表值，并填写注氮记录表上。</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4</w:t>
      </w:r>
      <w:r>
        <w:rPr>
          <w:rFonts w:ascii="仿宋" w:hAnsi="仿宋" w:eastAsia="仿宋" w:cs="仿宋_GB2312"/>
          <w:sz w:val="24"/>
        </w:rPr>
        <w:t>）随时检查瓦斯、一氧化碳、氧气等气体的浓度，超限时要停止工作，进行处理。</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5</w:t>
      </w:r>
      <w:r>
        <w:rPr>
          <w:rFonts w:ascii="仿宋" w:hAnsi="仿宋" w:eastAsia="仿宋" w:cs="仿宋_GB2312"/>
          <w:sz w:val="24"/>
        </w:rPr>
        <w:t>）达到设计的注氮量时，要停止注氮，由有关人员验收后，再决定关闭阀门或继续注氮。</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6</w:t>
      </w:r>
      <w:r>
        <w:rPr>
          <w:rFonts w:ascii="仿宋" w:hAnsi="仿宋" w:eastAsia="仿宋" w:cs="仿宋_GB2312"/>
          <w:sz w:val="24"/>
        </w:rPr>
        <w:t>）停止注氮时，要先通知调度室或通防部门、注氮机组值班人员后，再关闭阀门。</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 xml:space="preserve">2、制氮机组的操作 </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（1）首先对设备、冷却水系统、电器、仪器仪表进行检查，要求：</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①检查空压机油气桶的油位，油位应位于窥镜刻度线的上限与下限之间。</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②检查制氮机组各阀门的位置。注氮阀门应处于关闭位置，注氮压力调节阀处于预先调节好的位置 (一经调节好以后，无须再动)，注氮放空阀应处于开启位置。</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③检查冷却器水量是否充满、水温是否满足冷却要求。</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④检查电器设备，绝缘与防爆要符合要求。</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⑤制氮机组所有的排污阀，进行1次排放。</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2</w:t>
      </w:r>
      <w:r>
        <w:rPr>
          <w:rFonts w:ascii="仿宋" w:hAnsi="仿宋" w:eastAsia="仿宋" w:cs="仿宋_GB2312"/>
          <w:sz w:val="24"/>
        </w:rPr>
        <w:t>）开启冷却水进水阀门，使冷却水循环系统开始工作。</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3</w:t>
      </w:r>
      <w:r>
        <w:rPr>
          <w:rFonts w:ascii="仿宋" w:hAnsi="仿宋" w:eastAsia="仿宋" w:cs="仿宋_GB2312"/>
          <w:sz w:val="24"/>
        </w:rPr>
        <w:t>）合上高低压电源开关，检查电压指示是否正常。</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4</w:t>
      </w:r>
      <w:r>
        <w:rPr>
          <w:rFonts w:ascii="仿宋" w:hAnsi="仿宋" w:eastAsia="仿宋" w:cs="仿宋_GB2312"/>
          <w:sz w:val="24"/>
        </w:rPr>
        <w:t>）瞬时点动空压机电机，检查电机转向是否正确(应符合 电机旋转指示方向)。</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5</w:t>
      </w:r>
      <w:r>
        <w:rPr>
          <w:rFonts w:ascii="仿宋" w:hAnsi="仿宋" w:eastAsia="仿宋" w:cs="仿宋_GB2312"/>
          <w:sz w:val="24"/>
        </w:rPr>
        <w:t>）启动空压机，使得空气罐升至满压，打开膜分离系统的进气阀。</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6</w:t>
      </w:r>
      <w:r>
        <w:rPr>
          <w:rFonts w:ascii="仿宋" w:hAnsi="仿宋" w:eastAsia="仿宋" w:cs="仿宋_GB2312"/>
          <w:sz w:val="24"/>
        </w:rPr>
        <w:t>）手动闭合膜分离系统电控箱内的断路器，然后按下膜分离系统上的启动按钮，启动氮气系统，使系统达到正常压力。</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7</w:t>
      </w:r>
      <w:r>
        <w:rPr>
          <w:rFonts w:ascii="仿宋" w:hAnsi="仿宋" w:eastAsia="仿宋" w:cs="仿宋_GB2312"/>
          <w:sz w:val="24"/>
        </w:rPr>
        <w:t>）校验氧分析仪。将氮气取样阀关闭，旋开氧电池底部的螺钉，让空气直接进入氧电池，等待5min，观察测量值是否为20.9%，如果不是，需继续调整。</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8</w:t>
      </w:r>
      <w:r>
        <w:rPr>
          <w:rFonts w:ascii="仿宋" w:hAnsi="仿宋" w:eastAsia="仿宋" w:cs="仿宋_GB2312"/>
          <w:sz w:val="24"/>
        </w:rPr>
        <w:t>）调整纯度控制阀，直至产出的氮气浓度合格。在产出合格的氮气之前，产出的气体将自动通过放空电磁阀排空。</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9</w:t>
      </w:r>
      <w:r>
        <w:rPr>
          <w:rFonts w:ascii="仿宋" w:hAnsi="仿宋" w:eastAsia="仿宋" w:cs="仿宋_GB2312"/>
          <w:sz w:val="24"/>
        </w:rPr>
        <w:t>）打开产品氮气出气阀。</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w:t>
      </w:r>
      <w:r>
        <w:rPr>
          <w:rFonts w:hint="eastAsia" w:ascii="仿宋" w:hAnsi="仿宋" w:eastAsia="仿宋" w:cs="仿宋_GB2312"/>
          <w:sz w:val="24"/>
        </w:rPr>
        <w:t>10</w:t>
      </w:r>
      <w:r>
        <w:rPr>
          <w:rFonts w:ascii="仿宋" w:hAnsi="仿宋" w:eastAsia="仿宋" w:cs="仿宋_GB2312"/>
          <w:sz w:val="24"/>
        </w:rPr>
        <w:t>）制氮机组运行中要随时注意观察排气温度，一般应控制在50—60℃。</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（1</w:t>
      </w:r>
      <w:r>
        <w:rPr>
          <w:rFonts w:hint="eastAsia" w:ascii="仿宋" w:hAnsi="仿宋" w:eastAsia="仿宋" w:cs="仿宋_GB2312"/>
          <w:sz w:val="24"/>
        </w:rPr>
        <w:t>1</w:t>
      </w:r>
      <w:r>
        <w:rPr>
          <w:rFonts w:ascii="仿宋" w:hAnsi="仿宋" w:eastAsia="仿宋" w:cs="仿宋_GB2312"/>
          <w:sz w:val="24"/>
        </w:rPr>
        <w:t>）制氮机组运行中空气缓冲罐每隔lh必须排污1次。</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（1</w:t>
      </w:r>
      <w:r>
        <w:rPr>
          <w:rFonts w:hint="eastAsia" w:ascii="仿宋" w:hAnsi="仿宋" w:eastAsia="仿宋" w:cs="仿宋_GB2312"/>
          <w:sz w:val="24"/>
        </w:rPr>
        <w:t>2</w:t>
      </w:r>
      <w:r>
        <w:rPr>
          <w:rFonts w:ascii="仿宋" w:hAnsi="仿宋" w:eastAsia="仿宋" w:cs="仿宋_GB2312"/>
          <w:sz w:val="24"/>
        </w:rPr>
        <w:t>）制氮机组运行中每隔1h作1次运行记录。</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（1</w:t>
      </w:r>
      <w:r>
        <w:rPr>
          <w:rFonts w:hint="eastAsia" w:ascii="仿宋" w:hAnsi="仿宋" w:eastAsia="仿宋" w:cs="仿宋_GB2312"/>
          <w:sz w:val="24"/>
        </w:rPr>
        <w:t>3</w:t>
      </w:r>
      <w:r>
        <w:rPr>
          <w:rFonts w:ascii="仿宋" w:hAnsi="仿宋" w:eastAsia="仿宋" w:cs="仿宋_GB2312"/>
          <w:sz w:val="24"/>
        </w:rPr>
        <w:t>）制氮机组停机时，应按照下列顺序操作:</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①按下膜分离系统上的停止按钮。</w:t>
      </w:r>
    </w:p>
    <w:p>
      <w:pPr>
        <w:keepNext w:val="0"/>
        <w:keepLines w:val="0"/>
        <w:pageBreakBefore w:val="0"/>
        <w:kinsoku/>
        <w:wordWrap/>
        <w:overflowPunct/>
        <w:topLinePunct w:val="0"/>
        <w:autoSpaceDE/>
        <w:autoSpaceDN/>
        <w:bidi w:val="0"/>
        <w:snapToGrid w:val="0"/>
        <w:spacing w:line="360" w:lineRule="auto"/>
        <w:ind w:firstLine="480"/>
        <w:textAlignment w:val="auto"/>
        <w:rPr>
          <w:rFonts w:ascii="仿宋" w:hAnsi="仿宋" w:eastAsia="仿宋" w:cs="仿宋_GB2312"/>
          <w:sz w:val="24"/>
        </w:rPr>
      </w:pPr>
      <w:r>
        <w:rPr>
          <w:rFonts w:ascii="仿宋" w:hAnsi="仿宋" w:eastAsia="仿宋" w:cs="仿宋_GB2312"/>
          <w:sz w:val="24"/>
        </w:rPr>
        <w:t>②关闭空压机 (按照操作说明规定执行)，膜分离器将在停止进空气时通过渗透侧放空管自动降压。</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s="仿宋_GB2312"/>
          <w:sz w:val="24"/>
        </w:rPr>
      </w:pPr>
      <w:r>
        <w:rPr>
          <w:rFonts w:ascii="仿宋" w:hAnsi="仿宋" w:eastAsia="仿宋" w:cs="仿宋_GB2312"/>
          <w:sz w:val="24"/>
        </w:rPr>
        <w:t>③关闭氮气输出控制阀。</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s="仿宋_GB2312"/>
          <w:sz w:val="24"/>
        </w:rPr>
      </w:pPr>
      <w:r>
        <w:rPr>
          <w:rFonts w:ascii="仿宋" w:hAnsi="仿宋" w:eastAsia="仿宋" w:cs="仿宋_GB2312"/>
          <w:sz w:val="24"/>
        </w:rPr>
        <w:t>④断开膜分离系统电控箱内的断路器。</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s="仿宋_GB2312"/>
          <w:sz w:val="24"/>
        </w:rPr>
      </w:pPr>
      <w:r>
        <w:rPr>
          <w:rFonts w:ascii="仿宋" w:hAnsi="仿宋" w:eastAsia="仿宋" w:cs="仿宋_GB2312"/>
          <w:sz w:val="24"/>
        </w:rPr>
        <w:t>⑤关闭水冷却系统水源。</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s="仿宋_GB2312"/>
          <w:sz w:val="24"/>
        </w:rPr>
      </w:pPr>
      <w:r>
        <w:rPr>
          <w:rFonts w:ascii="仿宋" w:hAnsi="仿宋" w:eastAsia="仿宋" w:cs="仿宋_GB2312"/>
          <w:sz w:val="24"/>
        </w:rPr>
        <w:t>（1</w:t>
      </w:r>
      <w:r>
        <w:rPr>
          <w:rFonts w:hint="eastAsia" w:ascii="仿宋" w:hAnsi="仿宋" w:eastAsia="仿宋" w:cs="仿宋_GB2312"/>
          <w:sz w:val="24"/>
        </w:rPr>
        <w:t>4</w:t>
      </w:r>
      <w:r>
        <w:rPr>
          <w:rFonts w:ascii="仿宋" w:hAnsi="仿宋" w:eastAsia="仿宋" w:cs="仿宋_GB2312"/>
          <w:sz w:val="24"/>
        </w:rPr>
        <w:t>）定期更换过滤芯。在更换过滤芯之前，应关闭压缩空气</w:t>
      </w:r>
      <w:r>
        <w:rPr>
          <w:rFonts w:hint="eastAsia" w:ascii="仿宋" w:hAnsi="仿宋" w:eastAsia="仿宋" w:cs="仿宋_GB2312"/>
          <w:sz w:val="24"/>
          <w:lang w:val="en-US" w:eastAsia="zh-CN"/>
        </w:rPr>
        <w:t>入口</w:t>
      </w:r>
      <w:r>
        <w:rPr>
          <w:rFonts w:ascii="仿宋" w:hAnsi="仿宋" w:eastAsia="仿宋" w:cs="仿宋_GB2312"/>
          <w:sz w:val="24"/>
        </w:rPr>
        <w:t>阀门，使管路泄压。</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s="仿宋_GB2312"/>
          <w:sz w:val="24"/>
        </w:rPr>
      </w:pPr>
      <w:r>
        <w:rPr>
          <w:rFonts w:ascii="仿宋" w:hAnsi="仿宋" w:eastAsia="仿宋" w:cs="仿宋_GB2312"/>
          <w:sz w:val="24"/>
        </w:rPr>
        <w:t>（1</w:t>
      </w:r>
      <w:r>
        <w:rPr>
          <w:rFonts w:hint="eastAsia" w:ascii="仿宋" w:hAnsi="仿宋" w:eastAsia="仿宋" w:cs="仿宋_GB2312"/>
          <w:sz w:val="24"/>
        </w:rPr>
        <w:t>5</w:t>
      </w:r>
      <w:r>
        <w:rPr>
          <w:rFonts w:ascii="仿宋" w:hAnsi="仿宋" w:eastAsia="仿宋" w:cs="仿宋_GB2312"/>
          <w:sz w:val="24"/>
        </w:rPr>
        <w:t>）定期对安全阀、冷凝液排放管路进行检查，发现问题及时处理。</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s="仿宋_GB2312"/>
          <w:sz w:val="24"/>
        </w:rPr>
      </w:pPr>
      <w:r>
        <w:rPr>
          <w:rFonts w:ascii="仿宋" w:hAnsi="仿宋" w:eastAsia="仿宋" w:cs="仿宋_GB2312"/>
          <w:sz w:val="24"/>
        </w:rPr>
        <w:t>3、制氮装置应放置在通风良好，周围空气中无甲烷、煤尘爆炸性气体混合物，无滴水，无强烈颠簸和振动等的场所中。</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ascii="仿宋" w:hAnsi="仿宋" w:eastAsia="仿宋" w:cs="仿宋_GB2312"/>
          <w:sz w:val="24"/>
        </w:rPr>
      </w:pPr>
      <w:r>
        <w:rPr>
          <w:rFonts w:ascii="仿宋" w:hAnsi="仿宋" w:eastAsia="仿宋" w:cs="仿宋_GB2312"/>
          <w:sz w:val="24"/>
        </w:rPr>
        <w:t>4、制氮设备的操作人员，必须进行操作前培训，掌握制氮机的结构、性能、工作原理、维修保养及排除故障的知识。</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5、制氮设备附近要安装电话，制氮设备因故障检修或其他原因停止运转时，制氮设备操作人员必须及时汇报矿调度及通防部调度。</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6、定期检查安全装置的可靠性。</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7、制氮装置的维护和保养工作必须在停机、断电的情况下才能进行。</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8、油路系统附近不得进行焊接操作，不能用烧焊或其他方法修改任何压力容器。</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9、卸除任何带压元件前，需保证整个系统处于无压状态。</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10、启动制氮装置时，排空阀应处于排空状态，以避免空压机超压。</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11、开机前应仔细检查整个制氮装置，确认无任何工具、零件或其他物件留在空压机中。</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12、制氮装置运行前，软管开口一定要固定把牢，以防软管伤人.</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13、所使用的冷却水水质应无腐蚀性，无杂质。</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14、第1次向采空区注氮，或停止注氮后恢复注氮，必须先排出管路中的空气，避免将空气注入采空区。</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15、管路维修人员定期检查注氮管路情况，防止管路跑、漏气现象。</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16、</w:t>
      </w:r>
      <w:r>
        <w:rPr>
          <w:rFonts w:hint="eastAsia" w:ascii="仿宋" w:hAnsi="仿宋" w:eastAsia="仿宋" w:cs="仿宋_GB2312"/>
          <w:sz w:val="24"/>
          <w:lang w:val="en-US" w:eastAsia="zh-CN"/>
        </w:rPr>
        <w:t>每周对制氮机管路取样分析，</w:t>
      </w:r>
      <w:r>
        <w:rPr>
          <w:rFonts w:ascii="仿宋" w:hAnsi="仿宋" w:eastAsia="仿宋" w:cs="仿宋_GB2312"/>
          <w:sz w:val="24"/>
        </w:rPr>
        <w:t>制氮设备操作人员确保制氮机出口氮气浓度不得低于97%。</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17、工作面隅角需安装氧气传感器。注氮期间加强工作面、隅角及回风流的氧气检测，发现O</w:t>
      </w:r>
      <w:r>
        <w:rPr>
          <w:rFonts w:ascii="仿宋" w:hAnsi="仿宋" w:eastAsia="仿宋" w:cs="仿宋_GB2312"/>
          <w:sz w:val="24"/>
          <w:vertAlign w:val="subscript"/>
        </w:rPr>
        <w:t>2</w:t>
      </w:r>
      <w:r>
        <w:rPr>
          <w:rFonts w:ascii="仿宋" w:hAnsi="仿宋" w:eastAsia="仿宋" w:cs="仿宋_GB2312"/>
          <w:sz w:val="24"/>
        </w:rPr>
        <w:t>浓度小于20%，必须立即停止工作，撤出人员，减小注氮量，待O</w:t>
      </w:r>
      <w:r>
        <w:rPr>
          <w:rFonts w:ascii="仿宋" w:hAnsi="仿宋" w:eastAsia="仿宋" w:cs="仿宋_GB2312"/>
          <w:sz w:val="24"/>
          <w:vertAlign w:val="subscript"/>
        </w:rPr>
        <w:t>2</w:t>
      </w:r>
      <w:r>
        <w:rPr>
          <w:rFonts w:ascii="仿宋" w:hAnsi="仿宋" w:eastAsia="仿宋" w:cs="仿宋_GB2312"/>
          <w:sz w:val="24"/>
        </w:rPr>
        <w:t>浓度大于20%后，方可恢复工作。</w:t>
      </w:r>
    </w:p>
    <w:p>
      <w:pPr>
        <w:pStyle w:val="28"/>
        <w:keepNext w:val="0"/>
        <w:keepLines w:val="0"/>
        <w:pageBreakBefore w:val="0"/>
        <w:widowControl w:val="0"/>
        <w:kinsoku/>
        <w:wordWrap/>
        <w:overflowPunct/>
        <w:topLinePunct w:val="0"/>
        <w:autoSpaceDE/>
        <w:autoSpaceDN/>
        <w:bidi w:val="0"/>
        <w:adjustRightInd/>
        <w:spacing w:line="420" w:lineRule="exact"/>
        <w:ind w:left="0" w:firstLine="480" w:firstLineChars="200"/>
        <w:jc w:val="left"/>
        <w:textAlignment w:val="auto"/>
        <w:rPr>
          <w:rFonts w:ascii="仿宋" w:hAnsi="仿宋" w:eastAsia="仿宋" w:cs="仿宋_GB2312"/>
          <w:sz w:val="24"/>
        </w:rPr>
      </w:pPr>
      <w:r>
        <w:rPr>
          <w:rFonts w:ascii="仿宋" w:hAnsi="仿宋" w:eastAsia="仿宋" w:cs="仿宋_GB2312"/>
          <w:sz w:val="24"/>
        </w:rPr>
        <w:t>18、注意检查工作面、回风流，特别是回风隅角的瓦斯浓度，发现上述地点瓦斯浓度超限时，可适当减小或停止注氮。</w:t>
      </w:r>
    </w:p>
    <w:p>
      <w:pPr>
        <w:pStyle w:val="28"/>
        <w:keepNext w:val="0"/>
        <w:keepLines w:val="0"/>
        <w:pageBreakBefore w:val="0"/>
        <w:widowControl w:val="0"/>
        <w:kinsoku/>
        <w:wordWrap/>
        <w:overflowPunct/>
        <w:topLinePunct w:val="0"/>
        <w:autoSpaceDE/>
        <w:autoSpaceDN/>
        <w:bidi w:val="0"/>
        <w:adjustRightInd/>
        <w:spacing w:line="420" w:lineRule="exact"/>
        <w:ind w:left="0" w:firstLine="480" w:firstLineChars="200"/>
        <w:jc w:val="left"/>
        <w:textAlignment w:val="auto"/>
        <w:rPr>
          <w:rFonts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19、注氮地点及与其相连巷道安全通风量验算：</w:t>
      </w:r>
    </w:p>
    <w:p>
      <w:pPr>
        <w:pStyle w:val="28"/>
        <w:keepNext w:val="0"/>
        <w:keepLines w:val="0"/>
        <w:pageBreakBefore w:val="0"/>
        <w:widowControl w:val="0"/>
        <w:kinsoku/>
        <w:wordWrap/>
        <w:overflowPunct/>
        <w:topLinePunct w:val="0"/>
        <w:autoSpaceDE/>
        <w:autoSpaceDN/>
        <w:bidi w:val="0"/>
        <w:adjustRightInd/>
        <w:spacing w:line="420" w:lineRule="exact"/>
        <w:ind w:left="0" w:firstLine="480" w:firstLineChars="200"/>
        <w:jc w:val="left"/>
        <w:textAlignment w:val="auto"/>
        <w:rPr>
          <w:rFonts w:ascii="仿宋" w:hAnsi="仿宋" w:eastAsia="仿宋" w:cs="仿宋_GB2312"/>
          <w:kern w:val="2"/>
          <w:sz w:val="24"/>
          <w:szCs w:val="24"/>
          <w:lang w:val="en-US" w:eastAsia="zh-CN" w:bidi="ar-SA"/>
        </w:rPr>
      </w:pPr>
      <m:oMathPara>
        <m:oMath>
          <m:sSub>
            <m:sSubPr>
              <m:ctrlPr>
                <w:rPr>
                  <w:rFonts w:ascii="Cambria Math" w:hAnsi="Cambria Math" w:eastAsia="仿宋" w:cs="仿宋_GB2312"/>
                  <w:kern w:val="2"/>
                  <w:sz w:val="24"/>
                  <w:szCs w:val="24"/>
                  <w:lang w:val="en-US" w:eastAsia="zh-CN" w:bidi="ar-SA"/>
                </w:rPr>
              </m:ctrlPr>
            </m:sSubPr>
            <m:e>
              <m:r>
                <m:rPr>
                  <m:sty m:val="p"/>
                </m:rPr>
                <w:rPr>
                  <w:rFonts w:ascii="Cambria Math" w:hAnsi="Cambria Math" w:eastAsia="仿宋" w:cs="仿宋_GB2312"/>
                  <w:kern w:val="2"/>
                  <w:sz w:val="24"/>
                  <w:szCs w:val="24"/>
                  <w:lang w:val="en-US" w:eastAsia="zh-CN" w:bidi="ar-SA"/>
                </w:rPr>
                <m:t>Q</m:t>
              </m:r>
              <m:ctrlPr>
                <w:rPr>
                  <w:rFonts w:ascii="Cambria Math" w:hAnsi="Cambria Math" w:eastAsia="仿宋" w:cs="仿宋_GB2312"/>
                  <w:kern w:val="2"/>
                  <w:sz w:val="24"/>
                  <w:szCs w:val="24"/>
                  <w:lang w:val="en-US" w:eastAsia="zh-CN" w:bidi="ar-SA"/>
                </w:rPr>
              </m:ctrlPr>
            </m:e>
            <m:sub>
              <m:r>
                <m:rPr>
                  <m:sty m:val="p"/>
                </m:rPr>
                <w:rPr>
                  <w:rFonts w:ascii="Cambria Math" w:hAnsi="Cambria Math" w:eastAsia="仿宋" w:cs="仿宋_GB2312"/>
                  <w:kern w:val="2"/>
                  <w:sz w:val="24"/>
                  <w:szCs w:val="24"/>
                  <w:lang w:val="en-US" w:eastAsia="zh-CN" w:bidi="ar-SA"/>
                </w:rPr>
                <m:t>0</m:t>
              </m:r>
              <m:ctrlPr>
                <w:rPr>
                  <w:rFonts w:ascii="Cambria Math" w:hAnsi="Cambria Math" w:eastAsia="仿宋" w:cs="仿宋_GB2312"/>
                  <w:kern w:val="2"/>
                  <w:sz w:val="24"/>
                  <w:szCs w:val="24"/>
                  <w:lang w:val="en-US" w:eastAsia="zh-CN" w:bidi="ar-SA"/>
                </w:rPr>
              </m:ctrlPr>
            </m:sub>
          </m:sSub>
          <m:r>
            <m:rPr>
              <m:sty m:val="p"/>
            </m:rPr>
            <w:rPr>
              <w:rFonts w:ascii="Cambria Math" w:hAnsi="Cambria Math" w:eastAsia="仿宋" w:cs="仿宋_GB2312"/>
              <w:kern w:val="2"/>
              <w:sz w:val="24"/>
              <w:szCs w:val="24"/>
              <w:lang w:val="en-US" w:eastAsia="zh-CN" w:bidi="ar-SA"/>
            </w:rPr>
            <m:t>≥</m:t>
          </m:r>
          <m:f>
            <m:fPr>
              <m:ctrlPr>
                <w:rPr>
                  <w:rFonts w:ascii="Cambria Math" w:hAnsi="Cambria Math" w:eastAsia="仿宋" w:cs="仿宋_GB2312"/>
                  <w:kern w:val="2"/>
                  <w:sz w:val="24"/>
                  <w:szCs w:val="24"/>
                  <w:lang w:val="en-US" w:eastAsia="zh-CN" w:bidi="ar-SA"/>
                </w:rPr>
              </m:ctrlPr>
            </m:fPr>
            <m:num>
              <m:sSub>
                <m:sSubPr>
                  <m:ctrlPr>
                    <w:rPr>
                      <w:rFonts w:ascii="Cambria Math" w:hAnsi="Cambria Math" w:eastAsia="仿宋" w:cs="仿宋_GB2312"/>
                      <w:kern w:val="2"/>
                      <w:sz w:val="24"/>
                      <w:szCs w:val="24"/>
                      <w:lang w:val="en-US" w:eastAsia="zh-CN" w:bidi="ar-SA"/>
                    </w:rPr>
                  </m:ctrlPr>
                </m:sSubPr>
                <m:e>
                  <m:r>
                    <m:rPr>
                      <m:sty m:val="p"/>
                    </m:rPr>
                    <w:rPr>
                      <w:rFonts w:ascii="Cambria Math" w:hAnsi="Cambria Math" w:eastAsia="仿宋" w:cs="仿宋_GB2312"/>
                      <w:kern w:val="2"/>
                      <w:sz w:val="24"/>
                      <w:szCs w:val="24"/>
                      <w:lang w:val="en-US" w:eastAsia="zh-CN" w:bidi="ar-SA"/>
                    </w:rPr>
                    <m:t>Q</m:t>
                  </m:r>
                  <m:ctrlPr>
                    <w:rPr>
                      <w:rFonts w:ascii="Cambria Math" w:hAnsi="Cambria Math" w:eastAsia="仿宋" w:cs="仿宋_GB2312"/>
                      <w:kern w:val="2"/>
                      <w:sz w:val="24"/>
                      <w:szCs w:val="24"/>
                      <w:lang w:val="en-US" w:eastAsia="zh-CN" w:bidi="ar-SA"/>
                    </w:rPr>
                  </m:ctrlPr>
                </m:e>
                <m:sub>
                  <m:r>
                    <m:rPr>
                      <m:sty m:val="p"/>
                    </m:rPr>
                    <w:rPr>
                      <w:rFonts w:ascii="Cambria Math" w:hAnsi="Cambria Math" w:eastAsia="仿宋" w:cs="仿宋_GB2312"/>
                      <w:kern w:val="2"/>
                      <w:sz w:val="24"/>
                      <w:szCs w:val="24"/>
                      <w:lang w:val="en-US" w:eastAsia="zh-CN" w:bidi="ar-SA"/>
                    </w:rPr>
                    <m:t>N</m:t>
                  </m:r>
                  <m:ctrlPr>
                    <w:rPr>
                      <w:rFonts w:ascii="Cambria Math" w:hAnsi="Cambria Math" w:eastAsia="仿宋" w:cs="仿宋_GB2312"/>
                      <w:kern w:val="2"/>
                      <w:sz w:val="24"/>
                      <w:szCs w:val="24"/>
                      <w:lang w:val="en-US" w:eastAsia="zh-CN" w:bidi="ar-SA"/>
                    </w:rPr>
                  </m:ctrlPr>
                </m:sub>
              </m:sSub>
              <m:d>
                <m:dPr>
                  <m:ctrlPr>
                    <w:rPr>
                      <w:rFonts w:ascii="Cambria Math" w:hAnsi="Cambria Math" w:eastAsia="仿宋" w:cs="仿宋_GB2312"/>
                      <w:kern w:val="2"/>
                      <w:sz w:val="24"/>
                      <w:szCs w:val="24"/>
                      <w:lang w:val="en-US" w:eastAsia="zh-CN" w:bidi="ar-SA"/>
                    </w:rPr>
                  </m:ctrlPr>
                </m:dPr>
                <m:e>
                  <m:sSub>
                    <m:sSubPr>
                      <m:ctrlPr>
                        <w:rPr>
                          <w:rFonts w:ascii="Cambria Math" w:hAnsi="Cambria Math" w:eastAsia="仿宋" w:cs="仿宋_GB2312"/>
                          <w:kern w:val="2"/>
                          <w:sz w:val="24"/>
                          <w:szCs w:val="24"/>
                          <w:lang w:val="en-US" w:eastAsia="zh-CN" w:bidi="ar-SA"/>
                        </w:rPr>
                      </m:ctrlPr>
                    </m:sSubPr>
                    <m:e>
                      <m:r>
                        <m:rPr>
                          <m:sty m:val="p"/>
                        </m:rPr>
                        <w:rPr>
                          <w:rFonts w:ascii="Cambria Math" w:hAnsi="Cambria Math" w:eastAsia="仿宋" w:cs="仿宋_GB2312"/>
                          <w:kern w:val="2"/>
                          <w:sz w:val="24"/>
                          <w:szCs w:val="24"/>
                          <w:lang w:val="en-US" w:eastAsia="zh-CN" w:bidi="ar-SA"/>
                        </w:rPr>
                        <m:t>C</m:t>
                      </m:r>
                      <m:ctrlPr>
                        <w:rPr>
                          <w:rFonts w:ascii="Cambria Math" w:hAnsi="Cambria Math" w:eastAsia="仿宋" w:cs="仿宋_GB2312"/>
                          <w:kern w:val="2"/>
                          <w:sz w:val="24"/>
                          <w:szCs w:val="24"/>
                          <w:lang w:val="en-US" w:eastAsia="zh-CN" w:bidi="ar-SA"/>
                        </w:rPr>
                      </m:ctrlPr>
                    </m:e>
                    <m:sub>
                      <m:r>
                        <m:rPr>
                          <m:sty m:val="p"/>
                        </m:rPr>
                        <w:rPr>
                          <w:rFonts w:ascii="Cambria Math" w:hAnsi="Cambria Math" w:eastAsia="仿宋" w:cs="仿宋_GB2312"/>
                          <w:kern w:val="2"/>
                          <w:sz w:val="24"/>
                          <w:szCs w:val="24"/>
                          <w:lang w:val="en-US" w:eastAsia="zh-CN" w:bidi="ar-SA"/>
                        </w:rPr>
                        <m:t>N</m:t>
                      </m:r>
                      <m:ctrlPr>
                        <w:rPr>
                          <w:rFonts w:ascii="Cambria Math" w:hAnsi="Cambria Math" w:eastAsia="仿宋" w:cs="仿宋_GB2312"/>
                          <w:kern w:val="2"/>
                          <w:sz w:val="24"/>
                          <w:szCs w:val="24"/>
                          <w:lang w:val="en-US" w:eastAsia="zh-CN" w:bidi="ar-SA"/>
                        </w:rPr>
                      </m:ctrlPr>
                    </m:sub>
                  </m:sSub>
                  <m:r>
                    <m:rPr>
                      <m:sty m:val="p"/>
                    </m:rPr>
                    <w:rPr>
                      <w:rFonts w:ascii="Cambria Math" w:hAnsi="Cambria Math" w:eastAsia="仿宋" w:cs="仿宋_GB2312"/>
                      <w:kern w:val="2"/>
                      <w:sz w:val="24"/>
                      <w:szCs w:val="24"/>
                      <w:lang w:val="en-US" w:eastAsia="zh-CN" w:bidi="ar-SA"/>
                    </w:rPr>
                    <m:t>+</m:t>
                  </m:r>
                  <m:sSub>
                    <m:sSubPr>
                      <m:ctrlPr>
                        <w:rPr>
                          <w:rFonts w:ascii="Cambria Math" w:hAnsi="Cambria Math" w:eastAsia="仿宋" w:cs="仿宋_GB2312"/>
                          <w:kern w:val="2"/>
                          <w:sz w:val="24"/>
                          <w:szCs w:val="24"/>
                          <w:lang w:val="en-US" w:eastAsia="zh-CN" w:bidi="ar-SA"/>
                        </w:rPr>
                      </m:ctrlPr>
                    </m:sSubPr>
                    <m:e>
                      <m:r>
                        <m:rPr>
                          <m:sty m:val="p"/>
                        </m:rPr>
                        <w:rPr>
                          <w:rFonts w:ascii="Cambria Math" w:hAnsi="Cambria Math" w:eastAsia="仿宋" w:cs="仿宋_GB2312"/>
                          <w:kern w:val="2"/>
                          <w:sz w:val="24"/>
                          <w:szCs w:val="24"/>
                          <w:lang w:val="en-US" w:eastAsia="zh-CN" w:bidi="ar-SA"/>
                        </w:rPr>
                        <m:t>C</m:t>
                      </m:r>
                      <m:ctrlPr>
                        <w:rPr>
                          <w:rFonts w:ascii="Cambria Math" w:hAnsi="Cambria Math" w:eastAsia="仿宋" w:cs="仿宋_GB2312"/>
                          <w:kern w:val="2"/>
                          <w:sz w:val="24"/>
                          <w:szCs w:val="24"/>
                          <w:lang w:val="en-US" w:eastAsia="zh-CN" w:bidi="ar-SA"/>
                        </w:rPr>
                      </m:ctrlPr>
                    </m:e>
                    <m:sub>
                      <m:r>
                        <m:rPr>
                          <m:sty m:val="p"/>
                        </m:rPr>
                        <w:rPr>
                          <w:rFonts w:ascii="Cambria Math" w:hAnsi="Cambria Math" w:eastAsia="仿宋" w:cs="仿宋_GB2312"/>
                          <w:kern w:val="2"/>
                          <w:sz w:val="24"/>
                          <w:szCs w:val="24"/>
                          <w:lang w:val="en-US" w:eastAsia="zh-CN" w:bidi="ar-SA"/>
                        </w:rPr>
                        <m:t>1</m:t>
                      </m:r>
                      <m:ctrlPr>
                        <w:rPr>
                          <w:rFonts w:ascii="Cambria Math" w:hAnsi="Cambria Math" w:eastAsia="仿宋" w:cs="仿宋_GB2312"/>
                          <w:kern w:val="2"/>
                          <w:sz w:val="24"/>
                          <w:szCs w:val="24"/>
                          <w:lang w:val="en-US" w:eastAsia="zh-CN" w:bidi="ar-SA"/>
                        </w:rPr>
                      </m:ctrlPr>
                    </m:sub>
                  </m:sSub>
                  <m:r>
                    <m:rPr>
                      <m:sty m:val="p"/>
                    </m:rPr>
                    <w:rPr>
                      <w:rFonts w:ascii="Cambria Math" w:hAnsi="Cambria Math" w:eastAsia="仿宋" w:cs="仿宋_GB2312"/>
                      <w:kern w:val="2"/>
                      <w:sz w:val="24"/>
                      <w:szCs w:val="24"/>
                      <w:lang w:val="en-US" w:eastAsia="zh-CN" w:bidi="ar-SA"/>
                    </w:rPr>
                    <m:t>−1</m:t>
                  </m:r>
                  <m:ctrlPr>
                    <w:rPr>
                      <w:rFonts w:ascii="Cambria Math" w:hAnsi="Cambria Math" w:eastAsia="仿宋" w:cs="仿宋_GB2312"/>
                      <w:kern w:val="2"/>
                      <w:sz w:val="24"/>
                      <w:szCs w:val="24"/>
                      <w:lang w:val="en-US" w:eastAsia="zh-CN" w:bidi="ar-SA"/>
                    </w:rPr>
                  </m:ctrlPr>
                </m:e>
              </m:d>
              <m:ctrlPr>
                <w:rPr>
                  <w:rFonts w:ascii="Cambria Math" w:hAnsi="Cambria Math" w:eastAsia="仿宋" w:cs="仿宋_GB2312"/>
                  <w:kern w:val="2"/>
                  <w:sz w:val="24"/>
                  <w:szCs w:val="24"/>
                  <w:lang w:val="en-US" w:eastAsia="zh-CN" w:bidi="ar-SA"/>
                </w:rPr>
              </m:ctrlPr>
            </m:num>
            <m:den>
              <m:sSub>
                <m:sSubPr>
                  <m:ctrlPr>
                    <w:rPr>
                      <w:rFonts w:ascii="Cambria Math" w:hAnsi="Cambria Math" w:eastAsia="仿宋" w:cs="仿宋_GB2312"/>
                      <w:kern w:val="2"/>
                      <w:sz w:val="24"/>
                      <w:szCs w:val="24"/>
                      <w:lang w:val="en-US" w:eastAsia="zh-CN" w:bidi="ar-SA"/>
                    </w:rPr>
                  </m:ctrlPr>
                </m:sSubPr>
                <m:e>
                  <m:r>
                    <m:rPr>
                      <m:sty m:val="p"/>
                    </m:rPr>
                    <w:rPr>
                      <w:rFonts w:ascii="Cambria Math" w:hAnsi="Cambria Math" w:eastAsia="仿宋" w:cs="仿宋_GB2312"/>
                      <w:kern w:val="2"/>
                      <w:sz w:val="24"/>
                      <w:szCs w:val="24"/>
                      <w:lang w:val="en-US" w:eastAsia="zh-CN" w:bidi="ar-SA"/>
                    </w:rPr>
                    <m:t>C</m:t>
                  </m:r>
                  <m:ctrlPr>
                    <w:rPr>
                      <w:rFonts w:ascii="Cambria Math" w:hAnsi="Cambria Math" w:eastAsia="仿宋" w:cs="仿宋_GB2312"/>
                      <w:kern w:val="2"/>
                      <w:sz w:val="24"/>
                      <w:szCs w:val="24"/>
                      <w:lang w:val="en-US" w:eastAsia="zh-CN" w:bidi="ar-SA"/>
                    </w:rPr>
                  </m:ctrlPr>
                </m:e>
                <m:sub>
                  <m:r>
                    <m:rPr>
                      <m:sty m:val="p"/>
                    </m:rPr>
                    <w:rPr>
                      <w:rFonts w:ascii="Cambria Math" w:hAnsi="Cambria Math" w:eastAsia="仿宋" w:cs="仿宋_GB2312"/>
                      <w:kern w:val="2"/>
                      <w:sz w:val="24"/>
                      <w:szCs w:val="24"/>
                      <w:lang w:val="en-US" w:eastAsia="zh-CN" w:bidi="ar-SA"/>
                    </w:rPr>
                    <m:t>1</m:t>
                  </m:r>
                  <m:ctrlPr>
                    <w:rPr>
                      <w:rFonts w:ascii="Cambria Math" w:hAnsi="Cambria Math" w:eastAsia="仿宋" w:cs="仿宋_GB2312"/>
                      <w:kern w:val="2"/>
                      <w:sz w:val="24"/>
                      <w:szCs w:val="24"/>
                      <w:lang w:val="en-US" w:eastAsia="zh-CN" w:bidi="ar-SA"/>
                    </w:rPr>
                  </m:ctrlPr>
                </m:sub>
              </m:sSub>
              <m:r>
                <m:rPr>
                  <m:sty m:val="p"/>
                </m:rPr>
                <w:rPr>
                  <w:rFonts w:ascii="Cambria Math" w:hAnsi="Cambria Math" w:eastAsia="仿宋" w:cs="仿宋_GB2312"/>
                  <w:kern w:val="2"/>
                  <w:sz w:val="24"/>
                  <w:szCs w:val="24"/>
                  <w:lang w:val="en-US" w:eastAsia="zh-CN" w:bidi="ar-SA"/>
                </w:rPr>
                <m:t>−</m:t>
              </m:r>
              <m:sSub>
                <m:sSubPr>
                  <m:ctrlPr>
                    <w:rPr>
                      <w:rFonts w:ascii="Cambria Math" w:hAnsi="Cambria Math" w:eastAsia="仿宋" w:cs="仿宋_GB2312"/>
                      <w:kern w:val="2"/>
                      <w:sz w:val="24"/>
                      <w:szCs w:val="24"/>
                      <w:lang w:val="en-US" w:eastAsia="zh-CN" w:bidi="ar-SA"/>
                    </w:rPr>
                  </m:ctrlPr>
                </m:sSubPr>
                <m:e>
                  <m:r>
                    <m:rPr>
                      <m:sty m:val="p"/>
                    </m:rPr>
                    <w:rPr>
                      <w:rFonts w:ascii="Cambria Math" w:hAnsi="Cambria Math" w:eastAsia="仿宋" w:cs="仿宋_GB2312"/>
                      <w:kern w:val="2"/>
                      <w:sz w:val="24"/>
                      <w:szCs w:val="24"/>
                      <w:lang w:val="en-US" w:eastAsia="zh-CN" w:bidi="ar-SA"/>
                    </w:rPr>
                    <m:t>C</m:t>
                  </m:r>
                  <m:ctrlPr>
                    <w:rPr>
                      <w:rFonts w:ascii="Cambria Math" w:hAnsi="Cambria Math" w:eastAsia="仿宋" w:cs="仿宋_GB2312"/>
                      <w:kern w:val="2"/>
                      <w:sz w:val="24"/>
                      <w:szCs w:val="24"/>
                      <w:lang w:val="en-US" w:eastAsia="zh-CN" w:bidi="ar-SA"/>
                    </w:rPr>
                  </m:ctrlPr>
                </m:e>
                <m:sub>
                  <m:r>
                    <m:rPr>
                      <m:sty m:val="p"/>
                    </m:rPr>
                    <w:rPr>
                      <w:rFonts w:ascii="Cambria Math" w:hAnsi="Cambria Math" w:eastAsia="仿宋" w:cs="仿宋_GB2312"/>
                      <w:kern w:val="2"/>
                      <w:sz w:val="24"/>
                      <w:szCs w:val="24"/>
                      <w:lang w:val="en-US" w:eastAsia="zh-CN" w:bidi="ar-SA"/>
                    </w:rPr>
                    <m:t>2</m:t>
                  </m:r>
                  <m:ctrlPr>
                    <w:rPr>
                      <w:rFonts w:ascii="Cambria Math" w:hAnsi="Cambria Math" w:eastAsia="仿宋" w:cs="仿宋_GB2312"/>
                      <w:kern w:val="2"/>
                      <w:sz w:val="24"/>
                      <w:szCs w:val="24"/>
                      <w:lang w:val="en-US" w:eastAsia="zh-CN" w:bidi="ar-SA"/>
                    </w:rPr>
                  </m:ctrlPr>
                </m:sub>
              </m:sSub>
              <m:ctrlPr>
                <w:rPr>
                  <w:rFonts w:ascii="Cambria Math" w:hAnsi="Cambria Math" w:eastAsia="仿宋" w:cs="仿宋_GB2312"/>
                  <w:kern w:val="2"/>
                  <w:sz w:val="24"/>
                  <w:szCs w:val="24"/>
                  <w:lang w:val="en-US" w:eastAsia="zh-CN" w:bidi="ar-SA"/>
                </w:rPr>
              </m:ctrlPr>
            </m:den>
          </m:f>
        </m:oMath>
      </m:oMathPara>
    </w:p>
    <w:p>
      <w:pPr>
        <w:pStyle w:val="28"/>
        <w:keepNext w:val="0"/>
        <w:keepLines w:val="0"/>
        <w:pageBreakBefore w:val="0"/>
        <w:widowControl w:val="0"/>
        <w:kinsoku/>
        <w:wordWrap/>
        <w:overflowPunct/>
        <w:topLinePunct w:val="0"/>
        <w:autoSpaceDE/>
        <w:autoSpaceDN/>
        <w:bidi w:val="0"/>
        <w:adjustRightInd/>
        <w:spacing w:line="420" w:lineRule="exact"/>
        <w:ind w:left="0" w:firstLine="480" w:firstLineChars="200"/>
        <w:jc w:val="left"/>
        <w:textAlignment w:val="auto"/>
        <w:rPr>
          <w:rFonts w:ascii="仿宋" w:hAnsi="仿宋" w:eastAsia="仿宋" w:cs="仿宋_GB2312"/>
          <w:kern w:val="2"/>
          <w:sz w:val="24"/>
          <w:szCs w:val="24"/>
          <w:lang w:val="en-US" w:eastAsia="zh-CN" w:bidi="ar-SA"/>
        </w:rPr>
      </w:pPr>
      <w:r>
        <w:rPr>
          <w:rFonts w:ascii="仿宋" w:hAnsi="仿宋" w:eastAsia="仿宋" w:cs="仿宋_GB2312"/>
          <w:kern w:val="2"/>
          <w:sz w:val="24"/>
          <w:szCs w:val="24"/>
          <w:lang w:val="en-US" w:eastAsia="zh-CN" w:bidi="ar-SA"/>
        </w:rPr>
        <w:t>式中：Q0---工作场所的安全通风量，m3/min；</w:t>
      </w:r>
    </w:p>
    <w:p>
      <w:pPr>
        <w:pStyle w:val="28"/>
        <w:keepNext w:val="0"/>
        <w:keepLines w:val="0"/>
        <w:pageBreakBefore w:val="0"/>
        <w:widowControl w:val="0"/>
        <w:kinsoku/>
        <w:wordWrap/>
        <w:overflowPunct/>
        <w:topLinePunct w:val="0"/>
        <w:autoSpaceDE/>
        <w:autoSpaceDN/>
        <w:bidi w:val="0"/>
        <w:adjustRightInd/>
        <w:spacing w:line="420" w:lineRule="exact"/>
        <w:ind w:left="0" w:firstLine="1200" w:firstLineChars="500"/>
        <w:jc w:val="left"/>
        <w:textAlignment w:val="auto"/>
        <w:rPr>
          <w:rFonts w:ascii="仿宋" w:hAnsi="仿宋" w:eastAsia="仿宋" w:cs="仿宋_GB2312"/>
          <w:kern w:val="2"/>
          <w:sz w:val="24"/>
          <w:szCs w:val="24"/>
          <w:lang w:val="en-US" w:eastAsia="zh-CN" w:bidi="ar-SA"/>
        </w:rPr>
      </w:pPr>
      <w:r>
        <w:rPr>
          <w:rFonts w:ascii="仿宋" w:hAnsi="仿宋" w:eastAsia="仿宋" w:cs="仿宋_GB2312"/>
          <w:kern w:val="2"/>
          <w:sz w:val="24"/>
          <w:szCs w:val="24"/>
          <w:lang w:val="en-US" w:eastAsia="zh-CN" w:bidi="ar-SA"/>
        </w:rPr>
        <w:t>QN---最大氮气泄漏量，m</w:t>
      </w:r>
      <w:r>
        <w:rPr>
          <w:rFonts w:ascii="仿宋" w:hAnsi="仿宋" w:eastAsia="仿宋" w:cs="仿宋_GB2312"/>
          <w:kern w:val="2"/>
          <w:sz w:val="24"/>
          <w:szCs w:val="24"/>
          <w:vertAlign w:val="superscript"/>
          <w:lang w:val="en-US" w:eastAsia="zh-CN" w:bidi="ar-SA"/>
        </w:rPr>
        <w:t>3</w:t>
      </w:r>
      <w:r>
        <w:rPr>
          <w:rFonts w:ascii="仿宋" w:hAnsi="仿宋" w:eastAsia="仿宋" w:cs="仿宋_GB2312"/>
          <w:kern w:val="2"/>
          <w:sz w:val="24"/>
          <w:szCs w:val="24"/>
          <w:lang w:val="en-US" w:eastAsia="zh-CN" w:bidi="ar-SA"/>
        </w:rPr>
        <w:t>/min，取15.84m</w:t>
      </w:r>
      <w:r>
        <w:rPr>
          <w:rFonts w:ascii="仿宋" w:hAnsi="仿宋" w:eastAsia="仿宋" w:cs="仿宋_GB2312"/>
          <w:kern w:val="2"/>
          <w:sz w:val="24"/>
          <w:szCs w:val="24"/>
          <w:vertAlign w:val="superscript"/>
          <w:lang w:val="en-US" w:eastAsia="zh-CN" w:bidi="ar-SA"/>
        </w:rPr>
        <w:t>3</w:t>
      </w:r>
      <w:r>
        <w:rPr>
          <w:rFonts w:ascii="仿宋" w:hAnsi="仿宋" w:eastAsia="仿宋" w:cs="仿宋_GB2312"/>
          <w:kern w:val="2"/>
          <w:sz w:val="24"/>
          <w:szCs w:val="24"/>
          <w:lang w:val="en-US" w:eastAsia="zh-CN" w:bidi="ar-SA"/>
        </w:rPr>
        <w:t>/min；</w:t>
      </w:r>
    </w:p>
    <w:p>
      <w:pPr>
        <w:pStyle w:val="28"/>
        <w:keepNext w:val="0"/>
        <w:keepLines w:val="0"/>
        <w:pageBreakBefore w:val="0"/>
        <w:widowControl w:val="0"/>
        <w:kinsoku/>
        <w:wordWrap/>
        <w:overflowPunct/>
        <w:topLinePunct w:val="0"/>
        <w:autoSpaceDE/>
        <w:autoSpaceDN/>
        <w:bidi w:val="0"/>
        <w:adjustRightInd/>
        <w:spacing w:line="420" w:lineRule="exact"/>
        <w:ind w:left="0" w:firstLine="1200" w:firstLineChars="500"/>
        <w:jc w:val="left"/>
        <w:textAlignment w:val="auto"/>
        <w:rPr>
          <w:rFonts w:ascii="仿宋" w:hAnsi="仿宋" w:eastAsia="仿宋" w:cs="仿宋_GB2312"/>
          <w:kern w:val="2"/>
          <w:sz w:val="24"/>
          <w:szCs w:val="24"/>
          <w:lang w:val="en-US" w:eastAsia="zh-CN" w:bidi="ar-SA"/>
        </w:rPr>
      </w:pPr>
      <w:r>
        <w:rPr>
          <w:rFonts w:ascii="仿宋" w:hAnsi="仿宋" w:eastAsia="仿宋" w:cs="仿宋_GB2312"/>
          <w:kern w:val="2"/>
          <w:sz w:val="24"/>
          <w:szCs w:val="24"/>
          <w:lang w:val="en-US" w:eastAsia="zh-CN" w:bidi="ar-SA"/>
        </w:rPr>
        <w:t>CN---泄露氮气中的氮气浓度，%，取97%；</w:t>
      </w:r>
    </w:p>
    <w:p>
      <w:pPr>
        <w:pStyle w:val="28"/>
        <w:keepNext w:val="0"/>
        <w:keepLines w:val="0"/>
        <w:pageBreakBefore w:val="0"/>
        <w:widowControl w:val="0"/>
        <w:kinsoku/>
        <w:wordWrap/>
        <w:overflowPunct/>
        <w:topLinePunct w:val="0"/>
        <w:autoSpaceDE/>
        <w:autoSpaceDN/>
        <w:bidi w:val="0"/>
        <w:adjustRightInd/>
        <w:spacing w:line="420" w:lineRule="exact"/>
        <w:ind w:left="0" w:firstLine="1200" w:firstLineChars="500"/>
        <w:jc w:val="left"/>
        <w:textAlignment w:val="auto"/>
        <w:rPr>
          <w:rFonts w:ascii="仿宋" w:hAnsi="仿宋" w:eastAsia="仿宋" w:cs="仿宋_GB2312"/>
          <w:kern w:val="2"/>
          <w:sz w:val="24"/>
          <w:szCs w:val="24"/>
          <w:lang w:val="en-US" w:eastAsia="zh-CN" w:bidi="ar-SA"/>
        </w:rPr>
      </w:pPr>
      <w:r>
        <w:rPr>
          <w:rFonts w:ascii="仿宋" w:hAnsi="仿宋" w:eastAsia="仿宋" w:cs="仿宋_GB2312"/>
          <w:kern w:val="2"/>
          <w:sz w:val="24"/>
          <w:szCs w:val="24"/>
          <w:lang w:val="en-US" w:eastAsia="zh-CN" w:bidi="ar-SA"/>
        </w:rPr>
        <w:t>C1---工作面或巷道中原始氧气浓度，取20.8%；</w:t>
      </w:r>
    </w:p>
    <w:p>
      <w:pPr>
        <w:pStyle w:val="28"/>
        <w:keepNext w:val="0"/>
        <w:keepLines w:val="0"/>
        <w:pageBreakBefore w:val="0"/>
        <w:widowControl w:val="0"/>
        <w:kinsoku/>
        <w:wordWrap/>
        <w:overflowPunct/>
        <w:topLinePunct w:val="0"/>
        <w:autoSpaceDE/>
        <w:autoSpaceDN/>
        <w:bidi w:val="0"/>
        <w:adjustRightInd/>
        <w:spacing w:line="420" w:lineRule="exact"/>
        <w:ind w:left="0" w:firstLine="1200" w:firstLineChars="500"/>
        <w:jc w:val="left"/>
        <w:textAlignment w:val="auto"/>
        <w:rPr>
          <w:rFonts w:ascii="仿宋" w:hAnsi="仿宋" w:eastAsia="仿宋" w:cs="仿宋_GB2312"/>
          <w:kern w:val="2"/>
          <w:sz w:val="24"/>
          <w:szCs w:val="24"/>
          <w:lang w:val="en-US" w:eastAsia="zh-CN" w:bidi="ar-SA"/>
        </w:rPr>
      </w:pPr>
      <w:r>
        <w:rPr>
          <w:rFonts w:ascii="仿宋" w:hAnsi="仿宋" w:eastAsia="仿宋" w:cs="仿宋_GB2312"/>
          <w:kern w:val="2"/>
          <w:sz w:val="24"/>
          <w:szCs w:val="24"/>
          <w:lang w:val="en-US" w:eastAsia="zh-CN" w:bidi="ar-SA"/>
        </w:rPr>
        <w:t>C2---工作场所的安全氧浓度指标，18.5%。</w:t>
      </w:r>
    </w:p>
    <w:p>
      <w:pPr>
        <w:pStyle w:val="28"/>
        <w:keepNext w:val="0"/>
        <w:keepLines w:val="0"/>
        <w:pageBreakBefore w:val="0"/>
        <w:widowControl w:val="0"/>
        <w:kinsoku/>
        <w:wordWrap/>
        <w:overflowPunct/>
        <w:topLinePunct w:val="0"/>
        <w:autoSpaceDE/>
        <w:autoSpaceDN/>
        <w:bidi w:val="0"/>
        <w:adjustRightInd/>
        <w:spacing w:line="420" w:lineRule="exact"/>
        <w:ind w:left="0" w:firstLine="1200" w:firstLineChars="500"/>
        <w:jc w:val="left"/>
        <w:textAlignment w:val="auto"/>
        <w:rPr>
          <w:rFonts w:ascii="仿宋" w:hAnsi="仿宋" w:eastAsia="仿宋" w:cs="仿宋_GB2312"/>
          <w:kern w:val="2"/>
          <w:sz w:val="24"/>
          <w:szCs w:val="24"/>
          <w:lang w:val="en-US" w:eastAsia="zh-CN" w:bidi="ar-SA"/>
        </w:rPr>
      </w:pPr>
      <w:r>
        <w:rPr>
          <w:rFonts w:ascii="仿宋" w:hAnsi="仿宋" w:eastAsia="仿宋" w:cs="仿宋_GB2312"/>
          <w:kern w:val="2"/>
          <w:sz w:val="24"/>
          <w:szCs w:val="24"/>
          <w:lang w:val="en-US" w:eastAsia="zh-CN" w:bidi="ar-SA"/>
        </w:rPr>
        <w:t>Q0=15.84×（0.97+0.208-1）/（0.208-0.185）</w:t>
      </w:r>
    </w:p>
    <w:p>
      <w:pPr>
        <w:pStyle w:val="28"/>
        <w:keepNext w:val="0"/>
        <w:keepLines w:val="0"/>
        <w:pageBreakBefore w:val="0"/>
        <w:widowControl w:val="0"/>
        <w:kinsoku/>
        <w:wordWrap/>
        <w:overflowPunct/>
        <w:topLinePunct w:val="0"/>
        <w:autoSpaceDE/>
        <w:autoSpaceDN/>
        <w:bidi w:val="0"/>
        <w:adjustRightInd/>
        <w:spacing w:line="420" w:lineRule="exact"/>
        <w:ind w:left="0" w:firstLine="1200" w:firstLineChars="500"/>
        <w:jc w:val="left"/>
        <w:textAlignment w:val="auto"/>
        <w:rPr>
          <w:rFonts w:ascii="仿宋" w:hAnsi="仿宋" w:eastAsia="仿宋" w:cs="仿宋_GB2312"/>
          <w:kern w:val="2"/>
          <w:sz w:val="24"/>
          <w:szCs w:val="24"/>
          <w:lang w:val="en-US" w:eastAsia="zh-CN" w:bidi="ar-SA"/>
        </w:rPr>
      </w:pPr>
      <w:r>
        <w:rPr>
          <w:rFonts w:ascii="仿宋" w:hAnsi="仿宋" w:eastAsia="仿宋" w:cs="仿宋_GB2312"/>
          <w:kern w:val="2"/>
          <w:sz w:val="24"/>
          <w:szCs w:val="24"/>
          <w:lang w:val="en-US" w:eastAsia="zh-CN" w:bidi="ar-SA"/>
        </w:rPr>
        <w:t xml:space="preserve">  =122.59m</w:t>
      </w:r>
      <w:r>
        <w:rPr>
          <w:rFonts w:ascii="仿宋" w:hAnsi="仿宋" w:eastAsia="仿宋" w:cs="仿宋_GB2312"/>
          <w:kern w:val="2"/>
          <w:sz w:val="24"/>
          <w:szCs w:val="24"/>
          <w:vertAlign w:val="superscript"/>
          <w:lang w:val="en-US" w:eastAsia="zh-CN" w:bidi="ar-SA"/>
        </w:rPr>
        <w:t>3</w:t>
      </w:r>
      <w:r>
        <w:rPr>
          <w:rFonts w:ascii="仿宋" w:hAnsi="仿宋" w:eastAsia="仿宋" w:cs="仿宋_GB2312"/>
          <w:kern w:val="2"/>
          <w:sz w:val="24"/>
          <w:szCs w:val="24"/>
          <w:lang w:val="en-US" w:eastAsia="zh-CN" w:bidi="ar-SA"/>
        </w:rPr>
        <w:t>/min</w:t>
      </w:r>
    </w:p>
    <w:p>
      <w:pPr>
        <w:pStyle w:val="28"/>
        <w:keepNext w:val="0"/>
        <w:keepLines w:val="0"/>
        <w:pageBreakBefore w:val="0"/>
        <w:widowControl w:val="0"/>
        <w:kinsoku/>
        <w:wordWrap/>
        <w:overflowPunct/>
        <w:topLinePunct w:val="0"/>
        <w:autoSpaceDE/>
        <w:autoSpaceDN/>
        <w:bidi w:val="0"/>
        <w:adjustRightInd/>
        <w:spacing w:line="420" w:lineRule="exact"/>
        <w:ind w:left="0" w:firstLine="1200" w:firstLineChars="500"/>
        <w:jc w:val="left"/>
        <w:textAlignment w:val="auto"/>
        <w:rPr>
          <w:rFonts w:ascii="仿宋" w:hAnsi="仿宋" w:eastAsia="仿宋" w:cs="仿宋_GB2312"/>
          <w:sz w:val="24"/>
        </w:rPr>
      </w:pPr>
      <w:r>
        <w:rPr>
          <w:rFonts w:ascii="仿宋" w:hAnsi="仿宋" w:eastAsia="仿宋" w:cs="仿宋_GB2312"/>
          <w:kern w:val="2"/>
          <w:sz w:val="24"/>
          <w:szCs w:val="24"/>
          <w:lang w:val="en-US" w:eastAsia="zh-CN" w:bidi="ar-SA"/>
        </w:rPr>
        <w:t>注氮地点1303机巷配风量1583m</w:t>
      </w:r>
      <w:r>
        <w:rPr>
          <w:rFonts w:ascii="仿宋" w:hAnsi="仿宋" w:eastAsia="仿宋" w:cs="仿宋_GB2312"/>
          <w:kern w:val="2"/>
          <w:sz w:val="24"/>
          <w:szCs w:val="24"/>
          <w:vertAlign w:val="superscript"/>
          <w:lang w:val="en-US" w:eastAsia="zh-CN" w:bidi="ar-SA"/>
        </w:rPr>
        <w:t>3</w:t>
      </w:r>
      <w:r>
        <w:rPr>
          <w:rFonts w:ascii="仿宋" w:hAnsi="仿宋" w:eastAsia="仿宋" w:cs="仿宋_GB2312"/>
          <w:kern w:val="2"/>
          <w:sz w:val="24"/>
          <w:szCs w:val="24"/>
          <w:lang w:val="en-US" w:eastAsia="zh-CN" w:bidi="ar-SA"/>
        </w:rPr>
        <w:t>/min＞Q0,满足安全通风量需求。</w:t>
      </w:r>
    </w:p>
    <w:p>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textAlignment w:val="auto"/>
        <w:rPr>
          <w:rFonts w:ascii="仿宋" w:hAnsi="仿宋" w:eastAsia="仿宋" w:cs="仿宋_GB2312"/>
          <w:b/>
          <w:bCs/>
          <w:sz w:val="24"/>
        </w:rPr>
      </w:pPr>
      <w:r>
        <w:rPr>
          <w:rFonts w:hint="eastAsia" w:ascii="仿宋" w:hAnsi="仿宋" w:eastAsia="仿宋" w:cs="仿宋_GB2312"/>
          <w:b/>
          <w:bCs/>
          <w:sz w:val="24"/>
          <w:lang w:val="en-US" w:eastAsia="zh-CN"/>
        </w:rPr>
        <w:t>三、</w:t>
      </w:r>
      <w:r>
        <w:rPr>
          <w:rFonts w:hint="eastAsia" w:ascii="仿宋" w:hAnsi="仿宋" w:eastAsia="仿宋" w:cs="仿宋_GB2312"/>
          <w:b/>
          <w:bCs/>
          <w:sz w:val="24"/>
        </w:rPr>
        <w:t>外因防灭火措施</w:t>
      </w:r>
      <w:bookmarkEnd w:id="326"/>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bookmarkStart w:id="329" w:name="_Toc2841303"/>
      <w:r>
        <w:rPr>
          <w:rFonts w:ascii="仿宋" w:hAnsi="仿宋" w:eastAsia="仿宋" w:cs="仿宋_GB2312"/>
          <w:sz w:val="24"/>
        </w:rPr>
        <w:t>1、入井人员严禁携带明火、易燃、易爆物品及穿化纤衣服下井。</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2、对电器设备运转不良及机械摩擦产生的过热现象，必须及时消除。</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3、电气设备着火时，应首先切断电源；在切断电源前，只准使用不导电的灭火器材进行灭火。</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4、巷道内使用的机油必须装入盖严的铁桶内，由专人押运送至使用地点，剩余的机油必须运回地面，严禁井下存放。迎头使用的润滑油、棉纱、布头等必须存放在盖严的铁桶内，不得乱扔乱放。严禁将剩油、废油泼洒在巷道内。</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5、严格按爆破管理规定放炮。</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6、设置消防供水系统，井下消防管路系统每隔10</w:t>
      </w:r>
      <w:r>
        <w:rPr>
          <w:rFonts w:hint="eastAsia" w:ascii="仿宋" w:hAnsi="仿宋" w:eastAsia="仿宋" w:cs="仿宋_GB2312"/>
          <w:sz w:val="24"/>
        </w:rPr>
        <w:t>0</w:t>
      </w:r>
      <w:r>
        <w:rPr>
          <w:rFonts w:ascii="仿宋" w:hAnsi="仿宋" w:eastAsia="仿宋" w:cs="仿宋_GB2312"/>
          <w:sz w:val="24"/>
        </w:rPr>
        <w:t>米设置支管和阀门，胶带输送机的巷道中应每隔50米设置支管和阀门。消防水池须经常保持足量的水量。</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hint="eastAsia" w:ascii="仿宋" w:hAnsi="仿宋" w:eastAsia="仿宋" w:cs="仿宋_GB2312"/>
          <w:sz w:val="24"/>
        </w:rPr>
        <w:t>7、井下各地点消防器材按要求配备，按期巡查。</w:t>
      </w:r>
    </w:p>
    <w:p>
      <w:pPr>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hint="eastAsia" w:ascii="仿宋" w:hAnsi="仿宋" w:eastAsia="仿宋" w:cs="仿宋_GB2312"/>
          <w:sz w:val="24"/>
        </w:rPr>
        <w:t>8</w:t>
      </w:r>
      <w:r>
        <w:rPr>
          <w:rFonts w:ascii="仿宋" w:hAnsi="仿宋" w:eastAsia="仿宋" w:cs="仿宋_GB2312"/>
          <w:sz w:val="24"/>
        </w:rPr>
        <w:t>、电气设备、缆线着火时，首先切断电源，用沙子、岩粉灭火。</w:t>
      </w:r>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hint="eastAsia" w:ascii="仿宋" w:hAnsi="仿宋" w:eastAsia="仿宋" w:cs="仿宋_GB2312"/>
          <w:sz w:val="24"/>
        </w:rPr>
        <w:t>9</w:t>
      </w:r>
      <w:r>
        <w:rPr>
          <w:rFonts w:ascii="仿宋" w:hAnsi="仿宋" w:eastAsia="仿宋" w:cs="仿宋_GB2312"/>
          <w:sz w:val="24"/>
        </w:rPr>
        <w:t>、因机械摩擦生热、油脂、纱布或其他引发火灾，可利用身边物件水管直接灭火。</w:t>
      </w:r>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hint="eastAsia" w:ascii="仿宋" w:hAnsi="仿宋" w:eastAsia="仿宋" w:cs="仿宋_GB2312"/>
          <w:sz w:val="24"/>
        </w:rPr>
        <w:t>10</w:t>
      </w:r>
      <w:r>
        <w:rPr>
          <w:rFonts w:ascii="仿宋" w:hAnsi="仿宋" w:eastAsia="仿宋" w:cs="仿宋_GB2312"/>
          <w:sz w:val="24"/>
        </w:rPr>
        <w:t>、火灾不能扑灭时，应听从矿调度安排或按避灾路线，及时将受火灾威胁人员撤到有新鲜风流的安全地点。</w:t>
      </w:r>
    </w:p>
    <w:p>
      <w:pPr>
        <w:keepNext w:val="0"/>
        <w:keepLines w:val="0"/>
        <w:pageBreakBefore w:val="0"/>
        <w:widowControl/>
        <w:kinsoku/>
        <w:wordWrap/>
        <w:overflowPunct/>
        <w:topLinePunct w:val="0"/>
        <w:autoSpaceDE/>
        <w:autoSpaceDN/>
        <w:bidi w:val="0"/>
        <w:adjustRightInd/>
        <w:snapToGrid w:val="0"/>
        <w:spacing w:line="420" w:lineRule="exact"/>
        <w:ind w:left="0" w:leftChars="0" w:firstLine="0" w:firstLineChars="0"/>
        <w:textAlignment w:val="auto"/>
        <w:outlineLvl w:val="1"/>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四、其他</w:t>
      </w:r>
      <w:r>
        <w:rPr>
          <w:rFonts w:hint="eastAsia" w:ascii="仿宋" w:hAnsi="仿宋" w:eastAsia="仿宋" w:cs="仿宋"/>
          <w:b/>
          <w:bCs/>
          <w:color w:val="000000" w:themeColor="text1"/>
          <w:sz w:val="24"/>
          <w14:textFill>
            <w14:solidFill>
              <w14:schemeClr w14:val="tx1"/>
            </w14:solidFill>
          </w14:textFill>
        </w:rPr>
        <w:t>安全技术措施</w:t>
      </w:r>
      <w:bookmarkEnd w:id="327"/>
      <w:bookmarkEnd w:id="328"/>
      <w:bookmarkEnd w:id="329"/>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bookmarkStart w:id="330" w:name="_Toc2841304"/>
      <w:r>
        <w:rPr>
          <w:rFonts w:ascii="仿宋" w:hAnsi="仿宋" w:eastAsia="仿宋" w:cs="仿宋_GB2312"/>
          <w:color w:val="000000" w:themeColor="text1"/>
          <w:sz w:val="24"/>
          <w14:textFill>
            <w14:solidFill>
              <w14:schemeClr w14:val="tx1"/>
            </w14:solidFill>
          </w14:textFill>
        </w:rPr>
        <w:t>1、加强井下作业人员的防灭火知识培训，掌握必须的防灾、避灾知识。</w:t>
      </w:r>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color w:val="000000" w:themeColor="text1"/>
          <w:sz w:val="24"/>
          <w14:textFill>
            <w14:solidFill>
              <w14:schemeClr w14:val="tx1"/>
            </w14:solidFill>
          </w14:textFill>
        </w:rPr>
        <w:t>2、入井</w:t>
      </w:r>
      <w:r>
        <w:rPr>
          <w:rFonts w:ascii="仿宋" w:hAnsi="仿宋" w:eastAsia="仿宋" w:cs="仿宋_GB2312"/>
          <w:sz w:val="24"/>
        </w:rPr>
        <w:t>人员必须随身携带隔离式自救器。施工地点要标明本区域火灾避灾线路，所有井下工作人员都必须掌握灭火器材的使用方法，并明确本职工作区域内灭火器材的存放地点。</w:t>
      </w:r>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3、每天对抽放管路的CO和温度传感器监测数据进行分析。</w:t>
      </w:r>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4、瓦斯抽放管路上必须安设调节阀，以便合理调整抽放负压和抽放流量。</w:t>
      </w:r>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5、工作面回风流、上隅角及采空区的CO、温度检查结果必须记录并向通防调度汇报。</w:t>
      </w:r>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6、选择确定风门、风窗、挡风墙等通风设施的位置时，应尽可能降低采空区和煤柱裂隙处的漏风压差，减少漏风量。</w:t>
      </w:r>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7、回采过程中不得留设设计外煤柱和顶煤。采煤工作面采到停采线时，必须采取措施确保顶板冒落严实。</w:t>
      </w:r>
    </w:p>
    <w:p>
      <w:pPr>
        <w:keepNext w:val="0"/>
        <w:keepLines w:val="0"/>
        <w:pageBreakBefore w:val="0"/>
        <w:kinsoku/>
        <w:wordWrap/>
        <w:overflowPunct/>
        <w:topLinePunct w:val="0"/>
        <w:autoSpaceDE/>
        <w:autoSpaceDN/>
        <w:bidi w:val="0"/>
        <w:adjustRightInd/>
        <w:snapToGrid w:val="0"/>
        <w:spacing w:line="420" w:lineRule="exact"/>
        <w:ind w:left="0" w:leftChars="0" w:firstLine="0" w:firstLineChars="0"/>
        <w:textAlignment w:val="auto"/>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lang w:val="en-US" w:eastAsia="zh-CN"/>
          <w14:textFill>
            <w14:solidFill>
              <w14:schemeClr w14:val="tx1"/>
            </w14:solidFill>
          </w14:textFill>
        </w:rPr>
        <w:t>五、</w:t>
      </w:r>
      <w:r>
        <w:rPr>
          <w:rFonts w:hint="eastAsia" w:ascii="仿宋" w:hAnsi="仿宋" w:eastAsia="仿宋" w:cs="仿宋_GB2312"/>
          <w:b/>
          <w:bCs/>
          <w:color w:val="000000" w:themeColor="text1"/>
          <w:sz w:val="24"/>
          <w14:textFill>
            <w14:solidFill>
              <w14:schemeClr w14:val="tx1"/>
            </w14:solidFill>
          </w14:textFill>
        </w:rPr>
        <w:t>应急处置措施</w:t>
      </w:r>
      <w:bookmarkEnd w:id="330"/>
    </w:p>
    <w:p>
      <w:pPr>
        <w:keepNext w:val="0"/>
        <w:keepLines w:val="0"/>
        <w:pageBreakBefore w:val="0"/>
        <w:kinsoku/>
        <w:wordWrap/>
        <w:overflowPunct/>
        <w:topLinePunct w:val="0"/>
        <w:autoSpaceDE/>
        <w:autoSpaceDN/>
        <w:bidi w:val="0"/>
        <w:adjustRightInd/>
        <w:snapToGrid w:val="0"/>
        <w:spacing w:line="420" w:lineRule="exact"/>
        <w:ind w:firstLine="480"/>
        <w:textAlignment w:val="auto"/>
        <w:rPr>
          <w:rFonts w:ascii="仿宋" w:hAnsi="仿宋" w:eastAsia="仿宋" w:cs="仿宋_GB2312"/>
          <w:sz w:val="24"/>
        </w:rPr>
      </w:pPr>
      <w:r>
        <w:rPr>
          <w:rFonts w:ascii="仿宋" w:hAnsi="仿宋" w:eastAsia="仿宋" w:cs="仿宋_GB2312"/>
          <w:color w:val="000000" w:themeColor="text1"/>
          <w:sz w:val="24"/>
          <w14:textFill>
            <w14:solidFill>
              <w14:schemeClr w14:val="tx1"/>
            </w14:solidFill>
          </w14:textFill>
        </w:rPr>
        <w:t>1、</w:t>
      </w:r>
      <w:r>
        <w:rPr>
          <w:rFonts w:ascii="仿宋" w:hAnsi="仿宋" w:eastAsia="仿宋" w:cs="仿宋_GB2312"/>
          <w:sz w:val="24"/>
        </w:rPr>
        <w:t>任何人发现</w:t>
      </w:r>
      <w:bookmarkStart w:id="331" w:name="OLE_LINK45"/>
      <w:bookmarkStart w:id="332" w:name="OLE_LINK43"/>
      <w:bookmarkStart w:id="333" w:name="OLE_LINK44"/>
      <w:r>
        <w:rPr>
          <w:rFonts w:ascii="仿宋" w:hAnsi="仿宋" w:eastAsia="仿宋" w:cs="仿宋_GB2312"/>
          <w:sz w:val="24"/>
        </w:rPr>
        <w:t>风流中</w:t>
      </w:r>
      <w:bookmarkEnd w:id="331"/>
      <w:bookmarkEnd w:id="332"/>
      <w:bookmarkEnd w:id="333"/>
      <w:r>
        <w:rPr>
          <w:rFonts w:ascii="仿宋" w:hAnsi="仿宋" w:eastAsia="仿宋" w:cs="仿宋_GB2312"/>
          <w:sz w:val="24"/>
        </w:rPr>
        <w:t>一氧化碳超过24ppm，采空区内一氧化碳</w:t>
      </w:r>
      <w:bookmarkStart w:id="334" w:name="OLE_LINK54"/>
      <w:bookmarkStart w:id="335" w:name="OLE_LINK53"/>
      <w:bookmarkStart w:id="336" w:name="OLE_LINK52"/>
      <w:r>
        <w:rPr>
          <w:rFonts w:ascii="仿宋" w:hAnsi="仿宋" w:eastAsia="仿宋" w:cs="仿宋_GB2312"/>
          <w:sz w:val="24"/>
        </w:rPr>
        <w:t>超过</w:t>
      </w:r>
      <w:bookmarkEnd w:id="334"/>
      <w:bookmarkEnd w:id="335"/>
      <w:bookmarkEnd w:id="336"/>
      <w:r>
        <w:rPr>
          <w:rFonts w:ascii="仿宋" w:hAnsi="仿宋" w:eastAsia="仿宋" w:cs="仿宋_GB2312"/>
          <w:sz w:val="24"/>
        </w:rPr>
        <w:t>200ppm（且持续缓慢上升，温度也持续缓慢上升）；出现乙烯、乙炔；巷道湿度、温度增大，发现雾气；巷道中有焦油味，人处于其中头疼闷热四肢无力；有明火或明烟现象等，说明附近煤层自燃，应立即自救，同时尽快通知矿调度。</w:t>
      </w:r>
      <w:bookmarkStart w:id="337" w:name="OLE_LINK47"/>
      <w:bookmarkStart w:id="338" w:name="OLE_LINK48"/>
      <w:bookmarkStart w:id="339" w:name="OLE_LINK46"/>
      <w:r>
        <w:rPr>
          <w:rFonts w:ascii="仿宋" w:hAnsi="仿宋" w:eastAsia="仿宋" w:cs="仿宋_GB2312"/>
          <w:sz w:val="24"/>
        </w:rPr>
        <w:t>矿调度</w:t>
      </w:r>
      <w:bookmarkEnd w:id="337"/>
      <w:bookmarkEnd w:id="338"/>
      <w:bookmarkEnd w:id="339"/>
      <w:r>
        <w:rPr>
          <w:rFonts w:ascii="仿宋" w:hAnsi="仿宋" w:eastAsia="仿宋" w:cs="仿宋_GB2312"/>
          <w:sz w:val="24"/>
        </w:rPr>
        <w:t>立即安排现场停止作业，先切断火区电源，视火灾情况，采取一切可能的办法直接灭火，控制火势，力争在火灾初期扑灭火源；现场人员在直接灭火时应保证工作面风流方向的稳定性，在火源的回风侧设水幕，以降低火烟温度和避免形成火风压。</w:t>
      </w:r>
    </w:p>
    <w:p>
      <w:pPr>
        <w:keepNext w:val="0"/>
        <w:keepLines w:val="0"/>
        <w:pageBreakBefore w:val="0"/>
        <w:kinsoku/>
        <w:wordWrap/>
        <w:overflowPunct/>
        <w:topLinePunct w:val="0"/>
        <w:autoSpaceDE/>
        <w:autoSpaceDN/>
        <w:bidi w:val="0"/>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2、如果火势发展较为严重，现场瓦斯员或施工负责人立即组织工作人员撤离。矿调度指挥中心接到火警报告后，应立即按矿井灾害预防与处理计划的规定通知有关人员。同时，矿调度及时通知</w:t>
      </w:r>
      <w:bookmarkStart w:id="340" w:name="OLE_LINK36"/>
      <w:bookmarkStart w:id="341" w:name="OLE_LINK37"/>
      <w:bookmarkStart w:id="342" w:name="OLE_LINK38"/>
      <w:r>
        <w:rPr>
          <w:rFonts w:ascii="仿宋" w:hAnsi="仿宋" w:eastAsia="仿宋" w:cs="仿宋_GB2312"/>
          <w:sz w:val="24"/>
        </w:rPr>
        <w:t>矿防灭火领导小组</w:t>
      </w:r>
      <w:bookmarkEnd w:id="340"/>
      <w:bookmarkEnd w:id="341"/>
      <w:bookmarkEnd w:id="342"/>
      <w:r>
        <w:rPr>
          <w:rFonts w:ascii="仿宋" w:hAnsi="仿宋" w:eastAsia="仿宋" w:cs="仿宋_GB2312"/>
          <w:sz w:val="24"/>
        </w:rPr>
        <w:t>和施工单位、</w:t>
      </w:r>
      <w:bookmarkStart w:id="343" w:name="OLE_LINK33"/>
      <w:bookmarkStart w:id="344" w:name="OLE_LINK35"/>
      <w:bookmarkStart w:id="345" w:name="OLE_LINK34"/>
      <w:r>
        <w:rPr>
          <w:rFonts w:ascii="仿宋" w:hAnsi="仿宋" w:eastAsia="仿宋" w:cs="仿宋_GB2312"/>
          <w:sz w:val="24"/>
        </w:rPr>
        <w:t>矿山救护</w:t>
      </w:r>
      <w:bookmarkEnd w:id="343"/>
      <w:bookmarkEnd w:id="344"/>
      <w:bookmarkEnd w:id="345"/>
      <w:r>
        <w:rPr>
          <w:rFonts w:ascii="仿宋" w:hAnsi="仿宋" w:eastAsia="仿宋" w:cs="仿宋_GB2312"/>
          <w:sz w:val="24"/>
        </w:rPr>
        <w:t>、技术、安监、机电、运输、通防、采煤等单位相关人员,迅速</w:t>
      </w:r>
      <w:bookmarkStart w:id="346" w:name="OLE_LINK42"/>
      <w:bookmarkStart w:id="347" w:name="OLE_LINK39"/>
      <w:bookmarkStart w:id="348" w:name="OLE_LINK40"/>
      <w:bookmarkStart w:id="349" w:name="OLE_LINK41"/>
      <w:r>
        <w:rPr>
          <w:rFonts w:ascii="仿宋" w:hAnsi="仿宋" w:eastAsia="仿宋" w:cs="仿宋_GB2312"/>
          <w:sz w:val="24"/>
        </w:rPr>
        <w:t>组织抢救</w:t>
      </w:r>
      <w:bookmarkEnd w:id="346"/>
      <w:bookmarkEnd w:id="347"/>
      <w:bookmarkEnd w:id="348"/>
      <w:bookmarkEnd w:id="349"/>
      <w:r>
        <w:rPr>
          <w:rFonts w:ascii="仿宋" w:hAnsi="仿宋" w:eastAsia="仿宋" w:cs="仿宋_GB2312"/>
          <w:sz w:val="24"/>
        </w:rPr>
        <w:t>。</w:t>
      </w:r>
    </w:p>
    <w:p>
      <w:pPr>
        <w:keepNext w:val="0"/>
        <w:keepLines w:val="0"/>
        <w:pageBreakBefore w:val="0"/>
        <w:kinsoku/>
        <w:wordWrap/>
        <w:overflowPunct/>
        <w:topLinePunct w:val="0"/>
        <w:autoSpaceDE/>
        <w:autoSpaceDN/>
        <w:bidi w:val="0"/>
        <w:snapToGrid w:val="0"/>
        <w:spacing w:line="420" w:lineRule="exact"/>
        <w:ind w:firstLine="480"/>
        <w:textAlignment w:val="auto"/>
        <w:rPr>
          <w:rFonts w:ascii="仿宋" w:hAnsi="仿宋" w:eastAsia="仿宋" w:cs="仿宋_GB2312"/>
          <w:sz w:val="24"/>
        </w:rPr>
      </w:pPr>
      <w:bookmarkStart w:id="350" w:name="OLE_LINK31"/>
      <w:bookmarkStart w:id="351" w:name="OLE_LINK32"/>
      <w:r>
        <w:rPr>
          <w:rFonts w:ascii="仿宋" w:hAnsi="仿宋" w:eastAsia="仿宋" w:cs="仿宋_GB2312"/>
          <w:sz w:val="24"/>
        </w:rPr>
        <w:t>3、相关人员</w:t>
      </w:r>
      <w:bookmarkEnd w:id="350"/>
      <w:bookmarkEnd w:id="351"/>
      <w:r>
        <w:rPr>
          <w:rFonts w:ascii="仿宋" w:hAnsi="仿宋" w:eastAsia="仿宋" w:cs="仿宋_GB2312"/>
          <w:sz w:val="24"/>
        </w:rPr>
        <w:t>赶往现场按照矿防灭火领导小组指挥组织抢救。矿山救护队到达现场后，</w:t>
      </w:r>
      <w:bookmarkStart w:id="352" w:name="OLE_LINK49"/>
      <w:bookmarkStart w:id="353" w:name="OLE_LINK50"/>
      <w:bookmarkStart w:id="354" w:name="OLE_LINK51"/>
      <w:r>
        <w:rPr>
          <w:rFonts w:ascii="仿宋" w:hAnsi="仿宋" w:eastAsia="仿宋" w:cs="仿宋_GB2312"/>
          <w:sz w:val="24"/>
        </w:rPr>
        <w:t>首先组织人员进行侦察工作，准确探明火灾事故的性质、原因、范</w:t>
      </w:r>
    </w:p>
    <w:p>
      <w:pPr>
        <w:keepNext w:val="0"/>
        <w:keepLines w:val="0"/>
        <w:pageBreakBefore w:val="0"/>
        <w:kinsoku/>
        <w:wordWrap/>
        <w:overflowPunct/>
        <w:topLinePunct w:val="0"/>
        <w:autoSpaceDE/>
        <w:autoSpaceDN/>
        <w:bidi w:val="0"/>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围、被困人员可能所在位置，以及巷道通风、瓦斯等情况，为指挥部制定抢救方案提供可靠依据</w:t>
      </w:r>
      <w:bookmarkEnd w:id="352"/>
      <w:bookmarkEnd w:id="353"/>
      <w:bookmarkEnd w:id="354"/>
      <w:r>
        <w:rPr>
          <w:rFonts w:ascii="仿宋" w:hAnsi="仿宋" w:eastAsia="仿宋" w:cs="仿宋_GB2312"/>
          <w:sz w:val="24"/>
        </w:rPr>
        <w:t>。查明火情后向矿调度指挥中心及矿值班领导、总经理、总工程师汇报。并根据火灾情况，经董事长、总经理、总工程师同意后迅速采取控制火势的紧急措施，进行积极灭火。在未经总经理、总工程师的同意，任何人无权擅自改变该区域的通风系统。</w:t>
      </w:r>
    </w:p>
    <w:p>
      <w:pPr>
        <w:keepNext w:val="0"/>
        <w:keepLines w:val="0"/>
        <w:pageBreakBefore w:val="0"/>
        <w:kinsoku/>
        <w:wordWrap/>
        <w:overflowPunct/>
        <w:topLinePunct w:val="0"/>
        <w:autoSpaceDE/>
        <w:autoSpaceDN/>
        <w:bidi w:val="0"/>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4、灭火后，救护队员必须两人及以上同行在发火区域设置检测点进行连续监测随时掌握火区的变化，监测风流中CH</w:t>
      </w:r>
      <w:r>
        <w:rPr>
          <w:rFonts w:ascii="仿宋" w:hAnsi="仿宋" w:eastAsia="仿宋" w:cs="仿宋_GB2312"/>
          <w:sz w:val="24"/>
          <w:vertAlign w:val="subscript"/>
        </w:rPr>
        <w:t>4</w:t>
      </w:r>
      <w:r>
        <w:rPr>
          <w:rFonts w:ascii="仿宋" w:hAnsi="仿宋" w:eastAsia="仿宋" w:cs="仿宋_GB2312"/>
          <w:sz w:val="24"/>
        </w:rPr>
        <w:t>、CO、CO</w:t>
      </w:r>
      <w:r>
        <w:rPr>
          <w:rFonts w:ascii="仿宋" w:hAnsi="仿宋" w:eastAsia="仿宋" w:cs="仿宋_GB2312"/>
          <w:sz w:val="24"/>
          <w:vertAlign w:val="subscript"/>
        </w:rPr>
        <w:t>2</w:t>
      </w:r>
      <w:r>
        <w:rPr>
          <w:rFonts w:ascii="仿宋" w:hAnsi="仿宋" w:eastAsia="仿宋" w:cs="仿宋_GB2312"/>
          <w:sz w:val="24"/>
        </w:rPr>
        <w:t>、O</w:t>
      </w:r>
      <w:r>
        <w:rPr>
          <w:rFonts w:ascii="仿宋" w:hAnsi="仿宋" w:eastAsia="仿宋" w:cs="仿宋_GB2312"/>
          <w:sz w:val="24"/>
          <w:vertAlign w:val="subscript"/>
        </w:rPr>
        <w:t>2</w:t>
      </w:r>
      <w:r>
        <w:rPr>
          <w:rFonts w:ascii="仿宋" w:hAnsi="仿宋" w:eastAsia="仿宋" w:cs="仿宋_GB2312"/>
          <w:sz w:val="24"/>
        </w:rPr>
        <w:t>、温度等，测完尽快向矿调度汇报，矿调度立即汇报矿防治煤层自然发火领导小组，及时采取补充措施处理。</w:t>
      </w:r>
    </w:p>
    <w:p>
      <w:pPr>
        <w:keepNext w:val="0"/>
        <w:keepLines w:val="0"/>
        <w:pageBreakBefore w:val="0"/>
        <w:kinsoku/>
        <w:wordWrap/>
        <w:overflowPunct/>
        <w:topLinePunct w:val="0"/>
        <w:autoSpaceDE/>
        <w:autoSpaceDN/>
        <w:bidi w:val="0"/>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5、火区无法扑灭或无法接近火区时必须立即采取封闭注浆、注氮、灌注液态CO</w:t>
      </w:r>
      <w:r>
        <w:rPr>
          <w:rFonts w:ascii="仿宋" w:hAnsi="仿宋" w:eastAsia="仿宋" w:cs="仿宋_GB2312"/>
          <w:sz w:val="24"/>
          <w:vertAlign w:val="subscript"/>
        </w:rPr>
        <w:t>2</w:t>
      </w:r>
      <w:r>
        <w:rPr>
          <w:rFonts w:ascii="仿宋" w:hAnsi="仿宋" w:eastAsia="仿宋" w:cs="仿宋_GB2312"/>
          <w:sz w:val="24"/>
        </w:rPr>
        <w:t>等其</w:t>
      </w:r>
      <w:r>
        <w:rPr>
          <w:rFonts w:hint="eastAsia" w:ascii="仿宋" w:hAnsi="仿宋" w:eastAsia="仿宋" w:cs="仿宋_GB2312"/>
          <w:sz w:val="24"/>
          <w:lang w:val="en-US" w:eastAsia="zh-CN"/>
        </w:rPr>
        <w:t>他</w:t>
      </w:r>
      <w:r>
        <w:rPr>
          <w:rFonts w:ascii="仿宋" w:hAnsi="仿宋" w:eastAsia="仿宋" w:cs="仿宋_GB2312"/>
          <w:sz w:val="24"/>
        </w:rPr>
        <w:t>特殊方式进行灭火。封闭时应坚持火源进、回风侧同时封闭，在封闭过程中，必须至少每隔10min检查一次进、回风流中的瓦斯、二氧化碳、一氧化碳和氧气含量，根据气体浓度判断其爆炸危险性，然后采取相应措施。</w:t>
      </w:r>
    </w:p>
    <w:p>
      <w:pPr>
        <w:keepNext w:val="0"/>
        <w:keepLines w:val="0"/>
        <w:pageBreakBefore w:val="0"/>
        <w:kinsoku/>
        <w:wordWrap/>
        <w:overflowPunct/>
        <w:topLinePunct w:val="0"/>
        <w:autoSpaceDE/>
        <w:autoSpaceDN/>
        <w:bidi w:val="0"/>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6、应急物资储备。</w:t>
      </w:r>
    </w:p>
    <w:p>
      <w:pPr>
        <w:keepNext w:val="0"/>
        <w:keepLines w:val="0"/>
        <w:pageBreakBefore w:val="0"/>
        <w:kinsoku/>
        <w:wordWrap/>
        <w:overflowPunct/>
        <w:topLinePunct w:val="0"/>
        <w:autoSpaceDE/>
        <w:autoSpaceDN/>
        <w:bidi w:val="0"/>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（1）井上、下消防材料库存储的应急物资符合矿井消灾计划要求。</w:t>
      </w:r>
    </w:p>
    <w:p>
      <w:pPr>
        <w:keepNext w:val="0"/>
        <w:keepLines w:val="0"/>
        <w:pageBreakBefore w:val="0"/>
        <w:kinsoku/>
        <w:wordWrap/>
        <w:overflowPunct/>
        <w:topLinePunct w:val="0"/>
        <w:autoSpaceDE/>
        <w:autoSpaceDN/>
        <w:bidi w:val="0"/>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（2）地面灌浆站储备三相泡沫10吨、黄土100吨。</w:t>
      </w:r>
    </w:p>
    <w:p>
      <w:pPr>
        <w:keepNext w:val="0"/>
        <w:keepLines w:val="0"/>
        <w:pageBreakBefore w:val="0"/>
        <w:kinsoku/>
        <w:wordWrap/>
        <w:overflowPunct/>
        <w:topLinePunct w:val="0"/>
        <w:autoSpaceDE/>
        <w:autoSpaceDN/>
        <w:bidi w:val="0"/>
        <w:snapToGrid w:val="0"/>
        <w:spacing w:line="420" w:lineRule="exact"/>
        <w:ind w:firstLine="480"/>
        <w:textAlignment w:val="auto"/>
        <w:rPr>
          <w:rFonts w:ascii="仿宋" w:hAnsi="仿宋" w:eastAsia="仿宋" w:cs="仿宋_GB2312"/>
          <w:sz w:val="24"/>
        </w:rPr>
      </w:pPr>
      <w:r>
        <w:rPr>
          <w:rFonts w:ascii="仿宋" w:hAnsi="仿宋" w:eastAsia="仿宋" w:cs="仿宋_GB2312"/>
          <w:sz w:val="24"/>
        </w:rPr>
        <w:t>（3）井下制氮机完好。</w:t>
      </w:r>
    </w:p>
    <w:p>
      <w:pPr>
        <w:pStyle w:val="12"/>
        <w:keepNext w:val="0"/>
        <w:keepLines w:val="0"/>
        <w:pageBreakBefore w:val="0"/>
        <w:kinsoku/>
        <w:wordWrap/>
        <w:overflowPunct/>
        <w:topLinePunct w:val="0"/>
        <w:autoSpaceDE/>
        <w:autoSpaceDN/>
        <w:bidi w:val="0"/>
        <w:adjustRightInd w:val="0"/>
        <w:snapToGrid w:val="0"/>
        <w:spacing w:after="0" w:line="420" w:lineRule="exact"/>
        <w:ind w:firstLine="0" w:firstLineChars="0"/>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六、爆破管理</w:t>
      </w:r>
    </w:p>
    <w:p>
      <w:pPr>
        <w:pStyle w:val="12"/>
        <w:keepNext w:val="0"/>
        <w:keepLines w:val="0"/>
        <w:pageBreakBefore w:val="0"/>
        <w:kinsoku/>
        <w:wordWrap/>
        <w:overflowPunct/>
        <w:topLinePunct w:val="0"/>
        <w:autoSpaceDE/>
        <w:autoSpaceDN/>
        <w:bidi w:val="0"/>
        <w:adjustRightInd w:val="0"/>
        <w:snapToGrid w:val="0"/>
        <w:spacing w:after="0" w:line="420" w:lineRule="exact"/>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（一）打眼</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1、打眼前，首先进行敲帮问顶，找掉施工地点活矸危岩。</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2、打眼前，先检查风水管路是否完好无损、畅通；打眼工具各部件是否齐全、正常。</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3、打眼工在有下列情况之一时，不得打眼：①安全条件不好或发生异常情况时。②防尘管路无水。③工作面处理拒爆未结束。④装药时。⑤有空顶现象。</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4、严禁边打眼边装药，严禁套残眼打眼。</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5、严格按专项措施中的爆破图表所规定的眼位、深度、方位点眼位打眼。施工过程中，可根据岩性和实际情况及时调整打眼眼距、打眼深度、眼数等爆破参数。</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42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6、打眼后将打眼工具设备搬离施工地点，存放在安全地点，将风带、水带盘放整齐。</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420" w:lineRule="exact"/>
        <w:ind w:firstLine="480"/>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7、井下严禁施工干眼，遇泥岩或泥岩破碎带，采取湿式打孔容易造成塌孔、成孔率较低时可以视现场情况采取干式打眼，必须采取捕尘措施，并使用个体防尘保护用品。</w:t>
      </w:r>
    </w:p>
    <w:p>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（二）装药前的准备工作</w:t>
      </w:r>
    </w:p>
    <w:p>
      <w:pPr>
        <w:keepNext w:val="0"/>
        <w:keepLines w:val="0"/>
        <w:pageBreakBefore w:val="0"/>
        <w:kinsoku/>
        <w:wordWrap/>
        <w:overflowPunct/>
        <w:topLinePunct w:val="0"/>
        <w:autoSpaceDE/>
        <w:autoSpaceDN/>
        <w:bidi w:val="0"/>
        <w:snapToGrid w:val="0"/>
        <w:spacing w:line="42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1、爆破地点10m范围内加强支护，以防放炮崩坏、崩倒；</w:t>
      </w:r>
    </w:p>
    <w:p>
      <w:pPr>
        <w:keepNext w:val="0"/>
        <w:keepLines w:val="0"/>
        <w:pageBreakBefore w:val="0"/>
        <w:kinsoku/>
        <w:wordWrap/>
        <w:overflowPunct/>
        <w:topLinePunct w:val="0"/>
        <w:autoSpaceDE/>
        <w:autoSpaceDN/>
        <w:bidi w:val="0"/>
        <w:snapToGrid w:val="0"/>
        <w:spacing w:line="42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2、检查炮眼布置是否符合爆破图表，眼内岩粉和水是否已用压气吹净；</w:t>
      </w:r>
    </w:p>
    <w:p>
      <w:pPr>
        <w:keepNext w:val="0"/>
        <w:keepLines w:val="0"/>
        <w:pageBreakBefore w:val="0"/>
        <w:kinsoku/>
        <w:wordWrap/>
        <w:overflowPunct/>
        <w:topLinePunct w:val="0"/>
        <w:autoSpaceDE/>
        <w:autoSpaceDN/>
        <w:bidi w:val="0"/>
        <w:snapToGrid w:val="0"/>
        <w:spacing w:line="42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3、装药前要检查距离工作面20m范围内的瓦斯浓度，瓦斯超限时严禁装药，并按照规定及时处理；</w:t>
      </w:r>
    </w:p>
    <w:p>
      <w:pPr>
        <w:keepNext w:val="0"/>
        <w:keepLines w:val="0"/>
        <w:pageBreakBefore w:val="0"/>
        <w:kinsoku/>
        <w:wordWrap/>
        <w:overflowPunct/>
        <w:topLinePunct w:val="0"/>
        <w:autoSpaceDE/>
        <w:autoSpaceDN/>
        <w:bidi w:val="0"/>
        <w:snapToGrid w:val="0"/>
        <w:spacing w:line="42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4、装药前，必须在爆破工监管下用抗静电不易破损的专用</w:t>
      </w:r>
      <w:r>
        <w:rPr>
          <w:rFonts w:hint="eastAsia" w:ascii="仿宋" w:hAnsi="仿宋" w:eastAsia="仿宋" w:cs="仿宋"/>
          <w:color w:val="000000" w:themeColor="text1"/>
          <w:sz w:val="24"/>
          <w:lang w:val="en-US" w:eastAsia="zh-CN"/>
          <w14:textFill>
            <w14:solidFill>
              <w14:schemeClr w14:val="tx1"/>
            </w14:solidFill>
          </w14:textFill>
        </w:rPr>
        <w:t>工具包</w:t>
      </w:r>
      <w:r>
        <w:rPr>
          <w:rFonts w:hint="eastAsia" w:ascii="仿宋" w:hAnsi="仿宋" w:eastAsia="仿宋" w:cs="仿宋"/>
          <w:color w:val="000000" w:themeColor="text1"/>
          <w:sz w:val="24"/>
          <w14:textFill>
            <w14:solidFill>
              <w14:schemeClr w14:val="tx1"/>
            </w14:solidFill>
          </w14:textFill>
        </w:rPr>
        <w:t>将</w:t>
      </w:r>
      <w:r>
        <w:rPr>
          <w:rFonts w:hint="eastAsia" w:ascii="仿宋" w:hAnsi="仿宋" w:eastAsia="仿宋" w:cs="仿宋"/>
          <w:color w:val="000000" w:themeColor="text1"/>
          <w:sz w:val="24"/>
          <w:lang w:val="en-US" w:eastAsia="zh-CN"/>
          <w14:textFill>
            <w14:solidFill>
              <w14:schemeClr w14:val="tx1"/>
            </w14:solidFill>
          </w14:textFill>
        </w:rPr>
        <w:t>爆破器材</w:t>
      </w:r>
      <w:r>
        <w:rPr>
          <w:rFonts w:hint="eastAsia" w:ascii="仿宋" w:hAnsi="仿宋" w:eastAsia="仿宋" w:cs="仿宋"/>
          <w:color w:val="000000" w:themeColor="text1"/>
          <w:sz w:val="24"/>
          <w14:textFill>
            <w14:solidFill>
              <w14:schemeClr w14:val="tx1"/>
            </w14:solidFill>
          </w14:textFill>
        </w:rPr>
        <w:t>、炮泥、水炮泥分装分运到工作面，炸药、电雷管分开存放。</w:t>
      </w:r>
    </w:p>
    <w:p>
      <w:pPr>
        <w:keepNext w:val="0"/>
        <w:keepLines w:val="0"/>
        <w:pageBreakBefore w:val="0"/>
        <w:kinsoku/>
        <w:wordWrap/>
        <w:overflowPunct/>
        <w:topLinePunct w:val="0"/>
        <w:autoSpaceDE/>
        <w:autoSpaceDN/>
        <w:bidi w:val="0"/>
        <w:snapToGrid w:val="0"/>
        <w:spacing w:line="42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5、从成束的电雷管中抽取单个电雷管时，不得手拉脚线硬拽管体，也不得手拉管体硬拽脚线，应当将成束的电雷管顺好，拉住前端脚线将电雷管抽出。抽出单个电雷管后，必须将其脚线扭结成短路。</w:t>
      </w:r>
    </w:p>
    <w:p>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（三）装药</w:t>
      </w:r>
    </w:p>
    <w:p>
      <w:pPr>
        <w:keepNext w:val="0"/>
        <w:keepLines w:val="0"/>
        <w:pageBreakBefore w:val="0"/>
        <w:kinsoku/>
        <w:wordWrap/>
        <w:overflowPunct/>
        <w:topLinePunct w:val="0"/>
        <w:autoSpaceDE/>
        <w:autoSpaceDN/>
        <w:bidi w:val="0"/>
        <w:snapToGrid w:val="0"/>
        <w:spacing w:line="42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1、装配起爆药卷时，必须遵守下列规定：</w:t>
      </w:r>
    </w:p>
    <w:p>
      <w:pPr>
        <w:keepNext w:val="0"/>
        <w:keepLines w:val="0"/>
        <w:pageBreakBefore w:val="0"/>
        <w:kinsoku/>
        <w:wordWrap/>
        <w:overflowPunct/>
        <w:topLinePunct w:val="0"/>
        <w:autoSpaceDE/>
        <w:autoSpaceDN/>
        <w:bidi w:val="0"/>
        <w:snapToGrid w:val="0"/>
        <w:spacing w:line="42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①应由爆破工亲自操作，必须在顶板完好、避开电气设备和导电体的爆破工作地点附近进行。严禁坐在爆炸材料箱上装配起爆药卷。装配起爆药卷数量，以每次装药数量为准。</w:t>
      </w:r>
    </w:p>
    <w:p>
      <w:pPr>
        <w:keepNext w:val="0"/>
        <w:keepLines w:val="0"/>
        <w:pageBreakBefore w:val="0"/>
        <w:kinsoku/>
        <w:wordWrap/>
        <w:overflowPunct/>
        <w:topLinePunct w:val="0"/>
        <w:autoSpaceDE/>
        <w:autoSpaceDN/>
        <w:bidi w:val="0"/>
        <w:snapToGrid w:val="0"/>
        <w:spacing w:line="42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②装配起爆药卷必须防止电雷管受震动、冲击，折断脚线和损坏脚线绝缘层。</w:t>
      </w:r>
    </w:p>
    <w:p>
      <w:pPr>
        <w:keepNext w:val="0"/>
        <w:keepLines w:val="0"/>
        <w:pageBreakBefore w:val="0"/>
        <w:kinsoku/>
        <w:wordWrap/>
        <w:overflowPunct/>
        <w:topLinePunct w:val="0"/>
        <w:autoSpaceDE/>
        <w:autoSpaceDN/>
        <w:bidi w:val="0"/>
        <w:snapToGrid w:val="0"/>
        <w:spacing w:line="42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③电雷管必须由药卷的顶部装入，严禁用电雷管代替竹、木棍扎眼。电雷管必须全部插入药卷内。严禁将电雷管斜插在药卷的中部或捆在药卷上。</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hint="eastAsia" w:ascii="仿宋" w:hAnsi="仿宋" w:eastAsia="仿宋" w:cs="仿宋"/>
          <w:color w:val="000000" w:themeColor="text1"/>
          <w:sz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hint="eastAsia" w:ascii="仿宋" w:hAnsi="仿宋" w:eastAsia="仿宋" w:cs="仿宋"/>
          <w:color w:val="000000" w:themeColor="text1"/>
          <w:sz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④电雷管插入药卷后，必须用脚线将药卷缠住，并将电雷管脚线扭结成短路。</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2、装药前，首先必须清除炮眼内的岩粉，装入座底泥（不少于50mm）。装药时，先将</w:t>
      </w:r>
      <w:r>
        <w:rPr>
          <w:rFonts w:hint="eastAsia" w:ascii="仿宋" w:hAnsi="仿宋" w:eastAsia="仿宋" w:cs="仿宋"/>
          <w:color w:val="000000" w:themeColor="text1"/>
          <w:sz w:val="24"/>
          <w:lang w:val="en-US" w:eastAsia="zh-CN"/>
          <w14:textFill>
            <w14:solidFill>
              <w14:schemeClr w14:val="tx1"/>
            </w14:solidFill>
          </w14:textFill>
        </w:rPr>
        <w:t>起爆药包</w:t>
      </w:r>
      <w:r>
        <w:rPr>
          <w:rFonts w:hint="eastAsia" w:ascii="仿宋" w:hAnsi="仿宋" w:eastAsia="仿宋" w:cs="仿宋"/>
          <w:color w:val="000000" w:themeColor="text1"/>
          <w:sz w:val="24"/>
          <w14:textFill>
            <w14:solidFill>
              <w14:schemeClr w14:val="tx1"/>
            </w14:solidFill>
          </w14:textFill>
        </w:rPr>
        <w:t>的雷管脚线放开（放一个装一个），按照规定的装药结构和装药数量，在眼口内排列好，然后一人一手捏住脚线头，另一手用木质炮棍轻轻将药卷送入眼内，不得冲撞或捣实，炮眼内的各药卷必须彼此密接。</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装药后，炮眼封泥先用水炮泥，水炮泥外剩余的炮眼部分应用粘土炮泥，填满炮泥用炮棍捣实封口。注意要始终提住脚线，以免捅破。最后将外露脚线绕成圈，置于眼口。严禁用块状材料或其他可燃性材料作炮眼封泥。无封泥、封泥不足或不实的炮眼严禁爆破。</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4、把电雷管脚线悬空，严禁电雷管脚线、爆破母线与运输设备、电气设备以及采掘机械等导电体相接触。严禁裸露爆破。</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5、雷管号段、药量、水炮泥、炮泥用量，要严格执行爆破说明书中的规定，不得乱用乱装。一次爆破必须使用同一厂家、</w:t>
      </w:r>
      <w:r>
        <w:rPr>
          <w:rFonts w:hint="eastAsia" w:ascii="仿宋" w:hAnsi="仿宋" w:eastAsia="仿宋" w:cs="仿宋"/>
          <w:color w:val="000000" w:themeColor="text1"/>
          <w:sz w:val="24"/>
          <w:lang w:val="en-US" w:eastAsia="zh-CN"/>
          <w14:textFill>
            <w14:solidFill>
              <w14:schemeClr w14:val="tx1"/>
            </w14:solidFill>
          </w14:textFill>
        </w:rPr>
        <w:t>同批</w:t>
      </w:r>
      <w:r>
        <w:rPr>
          <w:rFonts w:hint="eastAsia" w:ascii="仿宋" w:hAnsi="仿宋" w:eastAsia="仿宋" w:cs="仿宋"/>
          <w:color w:val="000000" w:themeColor="text1"/>
          <w:sz w:val="24"/>
          <w14:textFill>
            <w14:solidFill>
              <w14:schemeClr w14:val="tx1"/>
            </w14:solidFill>
          </w14:textFill>
        </w:rPr>
        <w:t>同一品种</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同型号</w:t>
      </w:r>
      <w:r>
        <w:rPr>
          <w:rFonts w:hint="eastAsia" w:ascii="仿宋" w:hAnsi="仿宋" w:eastAsia="仿宋" w:cs="仿宋"/>
          <w:color w:val="000000" w:themeColor="text1"/>
          <w:sz w:val="24"/>
          <w14:textFill>
            <w14:solidFill>
              <w14:schemeClr w14:val="tx1"/>
            </w14:solidFill>
          </w14:textFill>
        </w:rPr>
        <w:t>的电雷管。</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6、炮眼深度和炮眼的封泥长度应符合下列要求：</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①炮眼深度小于0.6m时，不得装药、爆破；在特殊条件下，如挖底、刷帮、挑顶确需浅眼爆破时，必须另行制定安全措施。</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②炮眼深度为0.6～1m时，封泥长度不得小于炮眼深度的1/2。</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③炮眼深度超过1m时，封泥长度不得小于0.5m。</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④炮眼深度超过2.5m时，封泥长度不得小于1m。</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⑤深孔爆破时，封泥长度不得小于孔深的1/3。</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6 \* GB3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⑥</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光面爆破时，周边光爆炮眼应用炮泥封实，且封泥长度不得小于0.3m。</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 7 \* GB3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⑦</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工作面有2个及以上自由面时，在煤层中最小抵抗线不得小于0.5m，在岩层中最小抵抗线不得小于0.3m。浅孔装药爆破大块岩石时，最小抵抗线和封泥长度都不得小于0.3m。</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彩带使用：要求炮采工作面底眼、采掘工作面掏槽以下炮眼必须用彩带。彩带颜色为红色，必须抗静电、阻燃，并由爆破工随身携带。装药时，根据现场炮眼封泥的长度截取彩带，由爆破工利用彩带打扣结栓在引药外段1/3处，随引药轻轻送入炮眼内，彩带外露长度300～500mm。炮后，爆破工、班队长要认真检查爆破地点5m范围内是否有彩带，发现彩带后立即查明原因。若为拒爆、残爆，必须进行处理。严禁生拉硬扯彩带。</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8、装药前，必须对工作面附近进行检查，发现问题必须报告班队长，及时处理。有下列情况之一者，在未妥善处理前严禁装药：</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①未检查甲烷浓度或装药地点附近20m范围内的风流中甲烷浓度达到1.0%；</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②工作面风量不足；</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③工作面控顶距不符合作业规程的规定，或支架有损坏，或者伞檐超过规定；</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④装药地点20m以内，未清除的煤(矸)或者其他物体堵塞巷道断面1/3以上。</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⑤炮眼深度、角度与最小抵抗线不符合要求；</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⑥炮眼内发现异状、温度骤高骤低、有显著甲烷涌出、煤岩松散、透老空、炮眼内煤岩粉未清除干净；</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⑦不符合质量和数量要求的粘土炮泥和水炮泥；</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hint="eastAsia"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⑧工作面正在打眼，装炮距回柱放顶及打眼距离不符合规定；</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⑨过断层冒顶区无安全措施；</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⑩有冒顶、透水预兆。</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0" w:firstLineChars="0"/>
        <w:textAlignment w:val="auto"/>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（四）连线</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1、爆破母线及连接线必须符合下列规定：</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①爆破母线必须保证其有良好的绝缘性，严禁爆破母线有破皮和明接头。</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②爆破母线和连接线、电雷管脚线和连接线、脚线和脚线之间的接头相互扭紧并悬空，不得与轨道、金属管、金属网、钢丝绳、刮板输送机等导电体相接触。</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③巷道采掘时，爆破母线应随用随挂，不得使用固定爆破母线。</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④爆破母线与电缆、信号线应分别悬挂在巷道的两侧，如必须挂在同一侧，爆破母线必须悬挂在电缆的下方，并应保持0.3m以上的距离。</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⑤只准采用绝缘母线单回路爆破，严禁用轨道、金属管、金属网、水或大地</w:t>
      </w:r>
      <w:r>
        <w:rPr>
          <w:rFonts w:hint="eastAsia" w:ascii="仿宋" w:hAnsi="仿宋" w:eastAsia="仿宋" w:cs="仿宋_GB2312"/>
          <w:bCs/>
          <w:color w:val="000000" w:themeColor="text1"/>
          <w:sz w:val="24"/>
          <w:lang w:val="en-US" w:eastAsia="zh-CN"/>
          <w14:textFill>
            <w14:solidFill>
              <w14:schemeClr w14:val="tx1"/>
            </w14:solidFill>
          </w14:textFill>
        </w:rPr>
        <w:t>当作</w:t>
      </w:r>
      <w:r>
        <w:rPr>
          <w:rFonts w:hint="eastAsia" w:ascii="仿宋" w:hAnsi="仿宋" w:eastAsia="仿宋" w:cs="仿宋_GB2312"/>
          <w:bCs/>
          <w:color w:val="000000" w:themeColor="text1"/>
          <w:sz w:val="24"/>
          <w14:textFill>
            <w14:solidFill>
              <w14:schemeClr w14:val="tx1"/>
            </w14:solidFill>
          </w14:textFill>
        </w:rPr>
        <w:t>回路。</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⑥爆破前爆破母线必须扭结成短路。</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 xml:space="preserve">⑦爆破母线必须符合规定，长度不得小于300m。 </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hint="eastAsia" w:ascii="仿宋" w:hAnsi="仿宋" w:eastAsia="仿宋" w:cs="仿宋_GB2312"/>
          <w:bCs/>
          <w:color w:val="000000" w:themeColor="text1"/>
          <w:sz w:val="24"/>
          <w14:textFill>
            <w14:solidFill>
              <w14:schemeClr w14:val="tx1"/>
            </w14:solidFill>
          </w14:textFill>
        </w:rPr>
      </w:pP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2、连线时，无关人员应撤离工作面，以保安全。</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3、连线时，必须把雷管脚线的接头刮净并</w:t>
      </w:r>
      <w:r>
        <w:rPr>
          <w:rFonts w:hint="eastAsia" w:ascii="仿宋" w:hAnsi="仿宋" w:eastAsia="仿宋" w:cs="仿宋_GB2312"/>
          <w:bCs/>
          <w:color w:val="000000" w:themeColor="text1"/>
          <w:sz w:val="24"/>
          <w:lang w:val="en-US" w:eastAsia="zh-CN"/>
          <w14:textFill>
            <w14:solidFill>
              <w14:schemeClr w14:val="tx1"/>
            </w14:solidFill>
          </w14:textFill>
        </w:rPr>
        <w:t>扭结</w:t>
      </w:r>
      <w:r>
        <w:rPr>
          <w:rFonts w:hint="eastAsia" w:ascii="仿宋" w:hAnsi="仿宋" w:eastAsia="仿宋" w:cs="仿宋_GB2312"/>
          <w:bCs/>
          <w:color w:val="000000" w:themeColor="text1"/>
          <w:sz w:val="24"/>
          <w14:textFill>
            <w14:solidFill>
              <w14:schemeClr w14:val="tx1"/>
            </w14:solidFill>
          </w14:textFill>
        </w:rPr>
        <w:t>牢靠，以免接触不良产生瞎炮。</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4、连线时，要先将雷管脚线连接好，最后与母线接通。</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5、连线结束后，利用网络电阻测定仪器测定网络电阻，并将测定值与计算值进行比对，测定电阻在计算电阻值范围内方可进行起爆。</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6、爆破母线联接脚线、检查线路和通电工作，只准由爆破工一人操作，脚线的联接工作可由经过专门训练的班组长协助进行。</w:t>
      </w:r>
    </w:p>
    <w:p>
      <w:pPr>
        <w:keepNext w:val="0"/>
        <w:keepLines w:val="0"/>
        <w:pageBreakBefore w:val="0"/>
        <w:kinsoku/>
        <w:wordWrap/>
        <w:overflowPunct/>
        <w:topLinePunct w:val="0"/>
        <w:autoSpaceDE/>
        <w:autoSpaceDN/>
        <w:bidi w:val="0"/>
        <w:snapToGrid w:val="0"/>
        <w:spacing w:line="360" w:lineRule="auto"/>
        <w:ind w:firstLine="0" w:firstLineChars="0"/>
        <w:jc w:val="left"/>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（五）爆破</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1、工作面所有爆破人员，包括爆破、送药、装药人员，必须熟悉爆炸材料性能及煤矿安全规程的有关规定。</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2、井下爆破工必须由专职爆破工担任，并严格按照专项措施中的爆破说明书要求进行爆破作业。</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爆破作业必须严格执行“一炮三检”（即装药前、爆破前、爆破后检查瓦斯）、“一炮三泥”（即座底泥、水炮泥、封口泥）、“三人连锁”爆破制、“一炮三哨制”和“三汇报”（即装药前、爆破前、爆破后），并做到“人、牌、网”三警戒。爆破前开启喷雾，爆破后洒水灭尘。</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4、有下列情况之一者，严禁爆破：</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①工作面的控顶距离不符合作业规程规定；</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②爆破地点附近20m以内风流中瓦斯浓度达到1.0%以上或没有严格执行 “五个三”爆破制度时；</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③爆破地点20m范围内，未清理的矸或其它物体阻塞巷道断面1/3以上时；</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④炮眼内发现异状、温度骤高骤低、有显著瓦斯涌出、煤岩松软、透老空、有突水、瓦斯突出预兆等情况时；</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⑤工作面风量不足时，风流不正常；</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⑥爆破母线长度不够或有明接头时；炮眼深度及装药量不符合规定时；</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⑦巷道内动力电源未断电时；</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⑧工作面10m长度内支架未加固或空顶作业，爆破地点20m内未洒水降尘；</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⑨人员未撤到安全地点，设备电缆未保护好；无爆破掩体，“三警戒”不全或不符合要求。</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爆破前，班队长必须带领警戒人员亲自布置警戒，待警戒人员到位，严禁人员进入警戒区域。警戒人员必须在安全地点警戒。警戒线处应设置警戒牌、栏杆或拉绳。爆破工必须最后一个离开爆破地点，并在安全地点起爆。警戒区域内必须停电、撤人。爆破前，爆破工、警戒人及其他所有人员必须撤到警戒线以外的顶板和支护完好且有可靠掩护的地点。爆破前，爆破地点的电气设备、通风设施、管线电缆等其他爆破可能导致损坏的物品要按照爆破工要求保护到位，否则不得爆破。</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6、警戒距离：警戒点距爆破点，不得小于300m。起爆地点位于工作面进风巷内。</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带班队长向矿调度室报告瓦斯、煤尘、支护等情况，经同意后方可进行爆破，严禁擅自爆破。爆破前，班队长必须清点人数，确认无误后，并接到各处警戒反馈来的警戒到位信息并且向矿调度汇报后方可下达爆破命令；接到爆破命令，爆破工必须发出爆破警号，至少再等5秒钟，方可爆破。</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8、爆破必须采用一次装药，一次爆破，严禁一次装药，分次爆破。</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井下爆破必须使用矿用发爆器（矿用增安型），严禁用其它电器代替发爆器爆破。必须定期校验发爆器的各项性能参数，并进行防爆性能检查，不符合要求的严禁使用。严禁使用矿灯及动力电源爆破;严禁放糊炮、明炮、空心炮，不得用电雷管脚线做为爆破母线爆破。</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10、爆破母线及脚线的连接、线路的检查、通电工作只准由爆破工一人操作，爆破器的钥匙，必须由爆破工随身携带，且爆破工最后一个离开爆破地点。</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11、爆破后，爆破工必须立即将把手或钥匙拨出，摘掉母线，并扭结成短路。</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爆破30min后，待工作面炮烟被吹散，爆破工、瓦斯检查工和班组长必须首先巡视爆破地点，检查通风、瓦斯、岩尘、顶板、支护、拒爆、残爆等情况，如有危险情况，必须立即处理，确认安全无隐患的前提下，警戒人由布置警戒的班组长亲自撤回后，人员方可进入工作面工作。担任警戒的人员接不到或听不清撤岗信号，不准私自撤岗。爆破后要严格执行清底验炮制度，验炮工作结束后，确认无误，当班班（队）长应在《爆破工手册》完成任务栏上签字。</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13、装药的炮眼应当班爆破完毕。特殊情况下，当班留有</w:t>
      </w:r>
      <w:r>
        <w:rPr>
          <w:rFonts w:hint="eastAsia" w:ascii="仿宋" w:hAnsi="仿宋" w:eastAsia="仿宋" w:cs="仿宋"/>
          <w:color w:val="000000" w:themeColor="text1"/>
          <w:sz w:val="24"/>
          <w:lang w:val="en-US" w:eastAsia="zh-CN"/>
          <w14:textFill>
            <w14:solidFill>
              <w14:schemeClr w14:val="tx1"/>
            </w14:solidFill>
          </w14:textFill>
        </w:rPr>
        <w:t>盲炮</w:t>
      </w:r>
      <w:r>
        <w:rPr>
          <w:rFonts w:hint="eastAsia" w:ascii="仿宋" w:hAnsi="仿宋" w:eastAsia="仿宋" w:cs="仿宋"/>
          <w:color w:val="000000" w:themeColor="text1"/>
          <w:sz w:val="24"/>
          <w14:textFill>
            <w14:solidFill>
              <w14:schemeClr w14:val="tx1"/>
            </w14:solidFill>
          </w14:textFill>
        </w:rPr>
        <w:t>或者处理拒爆、残爆时，必须由爆破工处理，并应在当班处理完毕。如当班处理不完，爆破工必须同下一班爆破工现场交接清楚。</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14、通电以后拒爆时，爆破工必须先取下把手或钥匙并将爆破母线从电源上摘下，扭结成短路，再等一定时间（至少等15min），才可沿线路检查，找出拒爆的原因。</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15、处理拒爆时，必须遵守下列规定：</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①由于连接不良造成的拒爆，可重新联线爆破；</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②在距拒爆炮眼0.3m以外另打与拒爆炮眼平行的新炮眼，重新装药爆破；</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③严禁用镐刨或从炮眼中取出原放置的引药或从引药中拉出雷管。严禁将炮眼残底继续加深；严禁用打眼的方法往外掏药，严禁用压风吹拒爆（残爆）炮眼；</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④处理拒爆的炮眼爆炸后，爆破工必须详细检查炸落的矸石，收集未爆的电雷管和炸药；</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⑤处理拒爆完毕之前，严禁在该地点进行与处理拒爆无关的工作。</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16、工作面在爆破前，爆破地点附近20m的巷道内都必须洒水。</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30" w:lineRule="exact"/>
        <w:ind w:firstLine="0" w:firstLineChars="0"/>
        <w:textAlignment w:val="auto"/>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（六）爆炸材料管理</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1、严格执行爆破材料管理制度，爆破工必须把炸药和雷管分别存放在炸药箱和雷管箱内并加锁，严禁乱扔乱放。每次炸药入箱时，必须由爆破工和瓦检工进行清点数量。</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2、现场每班实际使用量由班、队长负责标定签字，当班剩余的炸药、雷管必须退库。</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3、炸药箱必须放在顶板完好、支架完整，避开机械、电气设备的地点。炸药箱必须放到警戒线以外的安全地点。爆炸材料必须放在专用的爆炸材料箱内，并加锁，严禁乱扔、乱放。</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4、爆破工必须随身携带起爆器，电雷管放置在雷管箱内，雷管箱随身携带。炸药应装入抗静电不易破损的专用</w:t>
      </w:r>
      <w:r>
        <w:rPr>
          <w:rFonts w:hint="eastAsia" w:ascii="仿宋" w:hAnsi="仿宋" w:eastAsia="仿宋" w:cs="仿宋"/>
          <w:color w:val="000000" w:themeColor="text1"/>
          <w:sz w:val="24"/>
          <w:lang w:val="en-US" w:eastAsia="zh-CN"/>
          <w14:textFill>
            <w14:solidFill>
              <w14:schemeClr w14:val="tx1"/>
            </w14:solidFill>
          </w14:textFill>
        </w:rPr>
        <w:t>工具</w:t>
      </w:r>
      <w:r>
        <w:rPr>
          <w:rFonts w:hint="eastAsia" w:ascii="仿宋" w:hAnsi="仿宋" w:eastAsia="仿宋" w:cs="仿宋"/>
          <w:color w:val="000000" w:themeColor="text1"/>
          <w:sz w:val="24"/>
          <w14:textFill>
            <w14:solidFill>
              <w14:schemeClr w14:val="tx1"/>
            </w14:solidFill>
          </w14:textFill>
        </w:rPr>
        <w:t>包内运送。不得将电雷管和炸药混装。炸药应由爆破工或在爆破工监护下由其他人员运送。领取爆炸物品后，应尽快入井，避开人员密集地点。在交接班、人员上下井的时间内，严禁运送爆炸物品。</w:t>
      </w:r>
    </w:p>
    <w:p>
      <w:pPr>
        <w:keepNext w:val="0"/>
        <w:keepLines w:val="0"/>
        <w:pageBreakBefore w:val="0"/>
        <w:widowControl w:val="0"/>
        <w:kinsoku/>
        <w:wordWrap/>
        <w:overflowPunct/>
        <w:topLinePunct w:val="0"/>
        <w:autoSpaceDE/>
        <w:autoSpaceDN/>
        <w:bidi w:val="0"/>
        <w:adjustRightInd/>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5、爆破材料必须装在耐压和抗撞击、防震、防静电的非金属容器内。电雷管和炸药严禁装在同一容器内，严禁将爆炸材料装在衣袋内，领取爆炸材料后应直接送到工作地点，严禁途中逗留。</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6、电雷管数量不得超过当班当地需要量；拆箱运送炸药数量不得超过20 kg；背运原包装炸药数量不得超过1箱。   </w:t>
      </w:r>
    </w:p>
    <w:p>
      <w:pPr>
        <w:keepNext w:val="0"/>
        <w:keepLines w:val="0"/>
        <w:pageBreakBefore w:val="0"/>
        <w:kinsoku/>
        <w:wordWrap/>
        <w:overflowPunct/>
        <w:topLinePunct w:val="0"/>
        <w:autoSpaceDE/>
        <w:autoSpaceDN/>
        <w:bidi w:val="0"/>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7、严禁用刮板输送机、带式输送机运输爆炸物品。</w:t>
      </w:r>
    </w:p>
    <w:p>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360" w:lineRule="auto"/>
        <w:ind w:firstLine="480"/>
        <w:textAlignment w:val="auto"/>
        <w:rPr>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8、报废的爆炸物品需升井时，通防部必须与安监、保卫部门联系,并通知副井有关人员后，方可升井。严禁任何人私自将爆炸物品带到地面。</w:t>
      </w:r>
    </w:p>
    <w:p>
      <w:pPr>
        <w:ind w:firstLine="420"/>
        <w:rPr>
          <w:color w:val="000000" w:themeColor="text1"/>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before="0" w:after="0" w:line="480" w:lineRule="exact"/>
        <w:ind w:firstLine="0" w:firstLineChars="0"/>
        <w:textAlignment w:val="auto"/>
        <w:rPr>
          <w:rFonts w:ascii="仿宋" w:hAnsi="仿宋" w:eastAsia="仿宋"/>
          <w:color w:val="000000" w:themeColor="text1"/>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第五节  运输管理</w:t>
      </w:r>
      <w:bookmarkEnd w:id="296"/>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所有人员必须严格执行《恒源煤电股份公司运输管理规定》、《</w:t>
      </w:r>
      <w:r>
        <w:fldChar w:fldCharType="begin"/>
      </w:r>
      <w:r>
        <w:instrText xml:space="preserve"> HYPERLINK "http://192.168.85.102:82/d/file/content/2020/05/5eb8f4e774851.pdf" \o "皖北煤电集团公司辅助运输车辆装车封车管理规定.pdf" </w:instrText>
      </w:r>
      <w:r>
        <w:fldChar w:fldCharType="separate"/>
      </w:r>
      <w:r>
        <w:rPr>
          <w:rFonts w:hint="eastAsia" w:ascii="仿宋" w:hAnsi="仿宋" w:eastAsia="仿宋" w:cs="仿宋"/>
          <w:color w:val="000000" w:themeColor="text1"/>
          <w:sz w:val="24"/>
          <w14:textFill>
            <w14:solidFill>
              <w14:schemeClr w14:val="tx1"/>
            </w14:solidFill>
          </w14:textFill>
        </w:rPr>
        <w:t>皖北煤电集团公司辅助运输车辆装车封车管理规定</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》、《陕西金源招贤矿业有限公司机电运输管理规定》、《招贤矿业设备、物料装车封车管理实施办法》中相关规定，严禁违反相关规定“违章”施工。</w:t>
      </w:r>
    </w:p>
    <w:p>
      <w:pPr>
        <w:pStyle w:val="60"/>
        <w:keepNext w:val="0"/>
        <w:keepLines w:val="0"/>
        <w:pageBreakBefore w:val="0"/>
        <w:widowControl w:val="0"/>
        <w:kinsoku/>
        <w:wordWrap/>
        <w:overflowPunct/>
        <w:topLinePunct w:val="0"/>
        <w:autoSpaceDE/>
        <w:autoSpaceDN/>
        <w:bidi w:val="0"/>
        <w:adjustRightInd/>
        <w:snapToGrid w:val="0"/>
        <w:spacing w:line="48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一、矿车装、封车规定</w:t>
      </w:r>
    </w:p>
    <w:p>
      <w:pPr>
        <w:pStyle w:val="60"/>
        <w:keepNext w:val="0"/>
        <w:keepLines w:val="0"/>
        <w:pageBreakBefore w:val="0"/>
        <w:widowControl w:val="0"/>
        <w:kinsoku/>
        <w:wordWrap/>
        <w:overflowPunct/>
        <w:topLinePunct w:val="0"/>
        <w:autoSpaceDE/>
        <w:autoSpaceDN/>
        <w:bidi w:val="0"/>
        <w:adjustRightInd/>
        <w:snapToGrid w:val="0"/>
        <w:spacing w:line="48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（一）一般规定</w:t>
      </w:r>
    </w:p>
    <w:p>
      <w:pPr>
        <w:pStyle w:val="60"/>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ascii="仿宋" w:hAnsi="仿宋" w:eastAsia="仿宋"/>
          <w:b w:val="0"/>
          <w:bCs/>
          <w:color w:val="000000" w:themeColor="text1"/>
          <w:sz w:val="24"/>
          <w14:textFill>
            <w14:solidFill>
              <w14:schemeClr w14:val="tx1"/>
            </w14:solidFill>
          </w14:textFill>
        </w:rPr>
      </w:pPr>
      <w:r>
        <w:rPr>
          <w:rFonts w:hint="eastAsia" w:ascii="仿宋" w:hAnsi="仿宋" w:eastAsia="仿宋"/>
          <w:b w:val="0"/>
          <w:bCs/>
          <w:color w:val="000000" w:themeColor="text1"/>
          <w:sz w:val="24"/>
          <w14:textFill>
            <w14:solidFill>
              <w14:schemeClr w14:val="tx1"/>
            </w14:solidFill>
          </w14:textFill>
        </w:rPr>
        <w:t>1、装料工在装车前要认真对所用车辆的完好情况进行检查，凡车体、碰头、防脱销、车轮底销、车轴、轮对有损坏或不能正常使用的严禁使用。</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2、使用矿车装载小型物件（</w:t>
      </w:r>
      <w:r>
        <w:rPr>
          <w:rFonts w:hint="eastAsia" w:ascii="仿宋" w:hAnsi="仿宋" w:eastAsia="仿宋" w:cs="仿宋"/>
          <w:color w:val="000000" w:themeColor="text1"/>
          <w:sz w:val="24"/>
          <w14:textFill>
            <w14:solidFill>
              <w14:schemeClr w14:val="tx1"/>
            </w14:solidFill>
          </w14:textFill>
        </w:rPr>
        <w:t>散装物料、条块物料、小型设备及配件</w:t>
      </w:r>
      <w:r>
        <w:rPr>
          <w:rFonts w:hint="eastAsia" w:ascii="仿宋" w:hAnsi="仿宋" w:eastAsia="仿宋" w:cs="仿宋"/>
          <w:bCs/>
          <w:color w:val="000000" w:themeColor="text1"/>
          <w:sz w:val="24"/>
          <w14:textFill>
            <w14:solidFill>
              <w14:schemeClr w14:val="tx1"/>
            </w14:solidFill>
          </w14:textFill>
        </w:rPr>
        <w:t>），装车高度不得超过车沿。</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3、用矿车装载物料或设备严禁混装，同一物料装在同一车内，用矿车装载小型物件必须装载在车辆的中心位置并采用可靠措施确保物料不得在矿车内滚动或滑动。</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4、外形尺寸超过长*宽*高=1700*900*600mm的物件必须使用平板车或其</w:t>
      </w:r>
      <w:r>
        <w:rPr>
          <w:rFonts w:hint="eastAsia" w:ascii="仿宋" w:hAnsi="仿宋" w:eastAsia="仿宋" w:cs="仿宋"/>
          <w:bCs/>
          <w:color w:val="000000" w:themeColor="text1"/>
          <w:sz w:val="24"/>
          <w:lang w:val="en-US" w:eastAsia="zh-CN"/>
          <w14:textFill>
            <w14:solidFill>
              <w14:schemeClr w14:val="tx1"/>
            </w14:solidFill>
          </w14:textFill>
        </w:rPr>
        <w:t>他</w:t>
      </w:r>
      <w:r>
        <w:rPr>
          <w:rFonts w:hint="eastAsia" w:ascii="仿宋" w:hAnsi="仿宋" w:eastAsia="仿宋" w:cs="仿宋"/>
          <w:bCs/>
          <w:color w:val="000000" w:themeColor="text1"/>
          <w:sz w:val="24"/>
          <w14:textFill>
            <w14:solidFill>
              <w14:schemeClr w14:val="tx1"/>
            </w14:solidFill>
          </w14:textFill>
        </w:rPr>
        <w:t>特种车辆装载。</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5、装料单位必须写明装车时间、用途、使用单位、送往地点，不按规定写明的造成物料无法送达，由装车单位负责。</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6、雨雪天气装载水泥等需防潮的物资必须使用防雨雪装置。装载有扬尘的物资必须使用防尘装置。</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7、材料的装载和捆扎必须在车辆的钩头处留有一定的空间，不得影响正常摘挂销链。</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地面装料区域：龙门吊下、供应库房门前、设备库北侧料场。装车区域轨道两端应设有防止车辆误入的阻车装置。禁止随意将车辆拿掉道使用。</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（二）运输车辆选用</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1、各单位要根据装载物料类型、规格尺寸、重量合理选择车辆种类。</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2、待装设备、物料必须符合所用车辆的规定荷载及最大装载尺寸要求。</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eastAsia" w:ascii="仿宋" w:hAnsi="仿宋" w:eastAsia="仿宋" w:cs="仿宋"/>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3、运送特殊设备、物料应使用专用车辆、特制车辆。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4、矿车装载物料范围。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（1）散装物料：水泥、黄砂、石子、矸石、瓦石、红砖、砌块等。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（2）条状物料：木材、金属网、水泥道板、轨枕、盖板、胶皮 管、钻杆、套管等最大外形尺寸小于矿车车箱内侧长度的物料。</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（3）小型设备及配件：托绳轮、压绳轮、皮带托辊、链条、刮 板、小型溜槽、小型滚筒、信号电缆、短皮带等小型设备及配件。</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5、长材车装载物料范围。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（1）长条物料：轨道、工字钢、风水管路、长木材、钢带、单 体、钻杆、锚索等。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（2）设备配件：大型电缆、φ18.5mm 以上钢丝绳、皮带机架等。</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6、箱式车装载锚杆、钢带等；锚索车装载锚索。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7、平板车装载物料范围。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（1）设备及部件：综采设备、液压支架、链板机、转载机、移动变电站、液压站、减速机、电机、溜槽、滚筒</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xml:space="preserve">单元式支架等。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（2）普通设备、材料及部件：绞车、皮带机、耙装机、干式变 压器、高压开关、特殊低压开关、局扇、钻机、道岔、整盘皮带或钢丝绳等。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8、油桶车装载柴油、液压油、乳化液等。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9、火工品专用车装载雷管、炸药。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10、U 型棚专用车装载 U 型棚。 </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（三）装车要求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1、装车前，装车人员必须检查车辆完好状况，严禁使用不合格车辆。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2、长度要求</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（1）矿车装载的设备、物料不得超出车箱长度。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（2）长材车、平板车装载的设备、物料应装载均衡，单侧超出车辆端头的长度小于1米。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（3）通过副井提升的设备、物料总长度应小于罐笼最大装载允许长度。</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（4）箱式车装载的物料不得超过车箱长度。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3、宽度要求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（1）矿车装载的设备、物料不得超出车箱宽度。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（2）长材车、平板车装载的设备、物料宽度应小于等于所选车辆的宽度。</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（3）箱式车装载的物料不得超过车箱宽度。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4、高度要求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（1）矿车装载的散装物料、零部件应低于车沿高度，并可靠固定；小型设备、不易散落的设备配件不得高出车沿 200mm。</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（2）长材车、箱式车装载物料应低于车沿高度。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（3）平板车装载的设备、物料最高点距离巷道轨道面的高度应 满足立井提升、平巷运输、斜巷运输要求。</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（4）设备、物料最低点不得低于车辆碰头。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5、重量要求</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（1）装车重量不得超过所选运输车辆额定承载重量。</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（2）装车总重（含车辆自重）不得大于运输线路内所有提升运输设备设计载荷。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6、重心要求</w:t>
      </w:r>
    </w:p>
    <w:p>
      <w:pPr>
        <w:keepNext w:val="0"/>
        <w:keepLines w:val="0"/>
        <w:pageBreakBefore w:val="0"/>
        <w:widowControl w:val="0"/>
        <w:kinsoku/>
        <w:wordWrap/>
        <w:overflowPunct/>
        <w:topLinePunct w:val="0"/>
        <w:autoSpaceDE/>
        <w:autoSpaceDN/>
        <w:bidi w:val="0"/>
        <w:adjustRightInd/>
        <w:snapToGrid w:val="0"/>
        <w:spacing w:line="480" w:lineRule="exact"/>
        <w:ind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装车物体必须落在承载车辆的理论重心点上,车辆前后部、 左右部装车应均衡。大型设备的重心必须经过计算或试验方式确 定重心，严禁偏重心装载。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7、变形或损坏严重的设备、旧长料、块料等无法正常装车的物料，应采取解体、整形、割断等措施后装车打运。</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（四）封车要求</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1、车辆封车应采用专用紧绳器、钢丝绳、绳卡、螺栓、 圆环链等，拉葫、棕绳、铁丝只作为辅助加固使用。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2、使用前应对封车器具进行外观检查及完好检查，钢丝绳变形、断丝、锈蚀不得超标。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3、物料重量在 5t 以下应采用不小于φ12.5mm 钢丝绳、直径不小于14mm的矿用圆环链及专用紧绳器；5t以上～10t应采用不小于φ15.5mm 钢丝绳、直径不小于18mm的矿用圆环链、螺栓；10t 以上～15t使用不小于φ21.5mm钢丝绳、直径不小于18mm的矿用圆环链、螺栓。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装载采煤机、刮板运输机及液压支架顶梁、前梁、掩护梁等重型设备时，应以刚性连接件（螺栓）与平板车底盘固定为主，以柔性连接件（钢丝绳或圆环链）为辅。采用柔性连接件时必须采用φ21.5mm及以上钢丝绳、直径不小于 18mm 的矿用圆环链进行封车，捆绑不少于 3 处，棱角处加设保护材料。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5、严禁使用对接、插接、分股钢丝绳封车。封车钢丝绳 绳端使用的绳卡应与钢丝绳直径匹配，每端数量不少于 3 个，螺帽压紧后，螺栓螺纹应露出螺母 2～3个螺距。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6、连接圆环链应使用外径与圆环链内宽匹配的高强度螺栓，螺栓配套的垫片在紧固后不得变形且厚度不小于 3mm。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7、采用螺栓将设备固定在车辆上时，必须采用外径不小于24mm 的高强度螺栓，固定点不少于四处，螺帽压紧后，螺栓螺纹应露出螺母 2～3 个螺距。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8、长材物料捆绑应不少于 2 处（车辆前后部位各 1 处）。</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9、长材车两端应采用专用封车网或堵板进行封堵，封堵必须固定牢固。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10、封车用捆绑器具必须紧固,保证车辆运输过程中物件不滑落、不窜动、不移位、不偏斜。用矿车装载小型设备、配件时,物料应可靠固定,防止在运输过程中物料滑动。 </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11、设备、物料装车封车完毕后，必须留出插拔销、环等连接装置的操作空间。</w:t>
      </w:r>
    </w:p>
    <w:p>
      <w:pPr>
        <w:pStyle w:val="60"/>
        <w:keepNext w:val="0"/>
        <w:keepLines w:val="0"/>
        <w:pageBreakBefore w:val="0"/>
        <w:widowControl w:val="0"/>
        <w:kinsoku/>
        <w:wordWrap/>
        <w:overflowPunct/>
        <w:topLinePunct w:val="0"/>
        <w:autoSpaceDE/>
        <w:autoSpaceDN/>
        <w:bidi w:val="0"/>
        <w:adjustRightInd/>
        <w:snapToGrid w:val="0"/>
        <w:spacing w:line="48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二、平巷运输管理</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平巷人力推空、重车时，必须遵守下列的规定：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1、一次只允许推一辆车，严禁在矿车的两侧推车。同向推车的间距，在轨道坡度小于或等于5‰，不得小于10m；坡度大于5‰，不得小于30m。</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推车时必须时刻注意前方，在开始推车、停车、掉道、发现前方有人或障碍物，从坡度较大的地方向下推车以及接近道岔、弯道、巷道口、风门、硐室出口时，推车人必须及时发出警号，提醒人员躲避，确认安全后方可通过。</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3、轨道坡度大于7‰，严禁人力推车；严禁放飞车。</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4、不得在能自动滑行的坡道上停放车辆，确需停放时必须用可靠的制动器或者阻车器将车辆稳住。</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5、推车过风门时，严禁用车撞风门或两道风门同时打开；</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6、在单轨道段推车，要确认前方轨道畅通；在双轨道段推车时，检查另一轨道上的车辆是否有超宽物料。</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7、在车场或错车道存车时，矿车不准压道岔。    </w:t>
      </w:r>
    </w:p>
    <w:p>
      <w:pPr>
        <w:pStyle w:val="60"/>
        <w:keepNext w:val="0"/>
        <w:keepLines w:val="0"/>
        <w:pageBreakBefore w:val="0"/>
        <w:widowControl w:val="0"/>
        <w:kinsoku/>
        <w:wordWrap/>
        <w:overflowPunct/>
        <w:topLinePunct w:val="0"/>
        <w:autoSpaceDE/>
        <w:autoSpaceDN/>
        <w:bidi w:val="0"/>
        <w:adjustRightInd/>
        <w:snapToGrid w:val="0"/>
        <w:spacing w:line="48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三、斜巷运输管理</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绞车司机必须持证上岗，信号把</w:t>
      </w:r>
      <w:r>
        <w:rPr>
          <w:rFonts w:ascii="仿宋" w:hAnsi="仿宋" w:eastAsia="仿宋" w:cs="仿宋_GB2312"/>
          <w:bCs/>
          <w:color w:val="000000" w:themeColor="text1"/>
          <w:sz w:val="24"/>
          <w14:textFill>
            <w14:solidFill>
              <w14:schemeClr w14:val="tx1"/>
            </w14:solidFill>
          </w14:textFill>
        </w:rPr>
        <w:t>钩工要固定专人</w:t>
      </w:r>
      <w:r>
        <w:rPr>
          <w:rFonts w:hint="eastAsia" w:ascii="仿宋" w:hAnsi="仿宋" w:eastAsia="仿宋" w:cs="仿宋_GB2312"/>
          <w:bCs/>
          <w:color w:val="000000" w:themeColor="text1"/>
          <w:sz w:val="24"/>
          <w14:textFill>
            <w14:solidFill>
              <w14:schemeClr w14:val="tx1"/>
            </w14:solidFill>
          </w14:textFill>
        </w:rPr>
        <w:t>，不得串岗。</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2、斜巷运输严格执行“行人不行车，行车不行人”制度，巷道内严禁有行人和</w:t>
      </w:r>
      <w:r>
        <w:rPr>
          <w:rFonts w:hint="eastAsia" w:ascii="仿宋" w:hAnsi="仿宋" w:eastAsia="仿宋" w:cs="仿宋_GB2312"/>
          <w:bCs/>
          <w:color w:val="000000" w:themeColor="text1"/>
          <w:sz w:val="24"/>
          <w:lang w:val="en-US" w:eastAsia="zh-CN"/>
          <w14:textFill>
            <w14:solidFill>
              <w14:schemeClr w14:val="tx1"/>
            </w14:solidFill>
          </w14:textFill>
        </w:rPr>
        <w:t>其他</w:t>
      </w:r>
      <w:r>
        <w:rPr>
          <w:rFonts w:hint="eastAsia" w:ascii="仿宋" w:hAnsi="仿宋" w:eastAsia="仿宋" w:cs="仿宋_GB2312"/>
          <w:bCs/>
          <w:color w:val="000000" w:themeColor="text1"/>
          <w:sz w:val="24"/>
          <w14:textFill>
            <w14:solidFill>
              <w14:schemeClr w14:val="tx1"/>
            </w14:solidFill>
          </w14:textFill>
        </w:rPr>
        <w:t>作业，并在斜巷上下口和通往斜巷的各岔道口悬挂明显标志。</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3、斜巷运输前，班队长要对巷道支护、轨道、信号、保险挡、阻车器、防跑车装置等安全设施进行全面检查，发现隐患必须及时进行处理，隐患未排除严禁打车。</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4、绞车司机、信号把钩工每班开车前要对绞车的稳固情况和制动装置、信号等部件进行认真检查。提升过程中如发现提升钢丝绳、连接装置、驱动部件等出现异常应立即停车处理，严禁带病运行。</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5、钢丝绳正常使用时严禁有打结、挤压、扭绕、变形等现象，绞车运行中严禁处理乱绳情况，处理乱绳必须停车。</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lang w:val="en-US" w:eastAsia="zh-CN"/>
          <w14:textFill>
            <w14:solidFill>
              <w14:schemeClr w14:val="tx1"/>
            </w14:solidFill>
          </w14:textFill>
        </w:rPr>
        <w:t>6</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在绞车运转过程中,</w:t>
      </w:r>
      <w:r>
        <w:rPr>
          <w:rFonts w:hint="eastAsia" w:ascii="仿宋" w:hAnsi="仿宋" w:eastAsia="仿宋" w:cs="仿宋_GB2312"/>
          <w:bCs/>
          <w:color w:val="000000" w:themeColor="text1"/>
          <w:sz w:val="24"/>
          <w14:textFill>
            <w14:solidFill>
              <w14:schemeClr w14:val="tx1"/>
            </w14:solidFill>
          </w14:textFill>
        </w:rPr>
        <w:t>若</w:t>
      </w:r>
      <w:r>
        <w:rPr>
          <w:rFonts w:ascii="仿宋" w:hAnsi="仿宋" w:eastAsia="仿宋" w:cs="仿宋_GB2312"/>
          <w:bCs/>
          <w:color w:val="000000" w:themeColor="text1"/>
          <w:sz w:val="24"/>
          <w14:textFill>
            <w14:solidFill>
              <w14:schemeClr w14:val="tx1"/>
            </w14:solidFill>
          </w14:textFill>
        </w:rPr>
        <w:t>发</w:t>
      </w:r>
      <w:r>
        <w:rPr>
          <w:rFonts w:hint="eastAsia" w:ascii="仿宋" w:hAnsi="仿宋" w:eastAsia="仿宋" w:cs="仿宋_GB2312"/>
          <w:bCs/>
          <w:color w:val="000000" w:themeColor="text1"/>
          <w:sz w:val="24"/>
          <w14:textFill>
            <w14:solidFill>
              <w14:schemeClr w14:val="tx1"/>
            </w14:solidFill>
          </w14:textFill>
        </w:rPr>
        <w:t>现绞车、钢丝绳、连接装置等出现异常情况以及松、</w:t>
      </w:r>
      <w:r>
        <w:rPr>
          <w:rFonts w:ascii="仿宋" w:hAnsi="仿宋" w:eastAsia="仿宋" w:cs="仿宋_GB2312"/>
          <w:bCs/>
          <w:color w:val="000000" w:themeColor="text1"/>
          <w:sz w:val="24"/>
          <w14:textFill>
            <w14:solidFill>
              <w14:schemeClr w14:val="tx1"/>
            </w14:solidFill>
          </w14:textFill>
        </w:rPr>
        <w:t>拉不动等</w:t>
      </w:r>
      <w:r>
        <w:rPr>
          <w:rFonts w:hint="eastAsia" w:ascii="仿宋" w:hAnsi="仿宋" w:eastAsia="仿宋" w:cs="仿宋_GB2312"/>
          <w:bCs/>
          <w:color w:val="000000" w:themeColor="text1"/>
          <w:sz w:val="24"/>
          <w14:textFill>
            <w14:solidFill>
              <w14:schemeClr w14:val="tx1"/>
            </w14:solidFill>
          </w14:textFill>
        </w:rPr>
        <w:t>现象时，</w:t>
      </w:r>
      <w:r>
        <w:rPr>
          <w:rFonts w:ascii="仿宋" w:hAnsi="仿宋" w:eastAsia="仿宋" w:cs="仿宋_GB2312"/>
          <w:bCs/>
          <w:color w:val="000000" w:themeColor="text1"/>
          <w:sz w:val="24"/>
          <w14:textFill>
            <w14:solidFill>
              <w14:schemeClr w14:val="tx1"/>
            </w14:solidFill>
          </w14:textFill>
        </w:rPr>
        <w:t>应</w:t>
      </w:r>
      <w:r>
        <w:rPr>
          <w:rFonts w:hint="eastAsia" w:ascii="仿宋" w:hAnsi="仿宋" w:eastAsia="仿宋" w:cs="仿宋_GB2312"/>
          <w:bCs/>
          <w:color w:val="000000" w:themeColor="text1"/>
          <w:sz w:val="24"/>
          <w14:textFill>
            <w14:solidFill>
              <w14:schemeClr w14:val="tx1"/>
            </w14:solidFill>
          </w14:textFill>
        </w:rPr>
        <w:t>立即</w:t>
      </w:r>
      <w:r>
        <w:rPr>
          <w:rFonts w:ascii="仿宋" w:hAnsi="仿宋" w:eastAsia="仿宋" w:cs="仿宋_GB2312"/>
          <w:bCs/>
          <w:color w:val="000000" w:themeColor="text1"/>
          <w:sz w:val="24"/>
          <w14:textFill>
            <w14:solidFill>
              <w14:schemeClr w14:val="tx1"/>
            </w14:solidFill>
          </w14:textFill>
        </w:rPr>
        <w:t>停车处理</w:t>
      </w:r>
      <w:r>
        <w:rPr>
          <w:rFonts w:hint="eastAsia" w:ascii="仿宋" w:hAnsi="仿宋" w:eastAsia="仿宋" w:cs="仿宋_GB2312"/>
          <w:bCs/>
          <w:color w:val="000000" w:themeColor="text1"/>
          <w:sz w:val="24"/>
          <w14:textFill>
            <w14:solidFill>
              <w14:schemeClr w14:val="tx1"/>
            </w14:solidFill>
          </w14:textFill>
        </w:rPr>
        <w:t>。处理时刹紧制动闸，绞车司机必须坚守岗位、严禁离岗。</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lang w:val="en-US" w:eastAsia="zh-CN"/>
          <w14:textFill>
            <w14:solidFill>
              <w14:schemeClr w14:val="tx1"/>
            </w14:solidFill>
          </w14:textFill>
        </w:rPr>
        <w:t>7</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绞车</w:t>
      </w:r>
      <w:r>
        <w:rPr>
          <w:rFonts w:hint="eastAsia" w:ascii="仿宋" w:hAnsi="仿宋" w:eastAsia="仿宋" w:cs="仿宋_GB2312"/>
          <w:bCs/>
          <w:color w:val="000000" w:themeColor="text1"/>
          <w:sz w:val="24"/>
          <w14:textFill>
            <w14:solidFill>
              <w14:schemeClr w14:val="tx1"/>
            </w14:solidFill>
          </w14:textFill>
        </w:rPr>
        <w:t>运行时绞车司机应注意力集中，保持绞车匀速行驶，严禁绞车猛提、急刹车，防止因绞车猛提、急刹车而造成事故的发生。</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lang w:val="en-US" w:eastAsia="zh-CN"/>
          <w14:textFill>
            <w14:solidFill>
              <w14:schemeClr w14:val="tx1"/>
            </w14:solidFill>
          </w14:textFill>
        </w:rPr>
        <w:t>8</w:t>
      </w:r>
      <w:r>
        <w:rPr>
          <w:rFonts w:hint="eastAsia" w:ascii="仿宋" w:hAnsi="仿宋" w:eastAsia="仿宋" w:cs="仿宋_GB2312"/>
          <w:bCs/>
          <w:color w:val="000000" w:themeColor="text1"/>
          <w:sz w:val="24"/>
          <w14:textFill>
            <w14:solidFill>
              <w14:schemeClr w14:val="tx1"/>
            </w14:solidFill>
          </w14:textFill>
        </w:rPr>
        <w:t>、严格按照规定挂车，松车时应带电松车，严禁蹬钩头、多挂车。</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lang w:val="en-US" w:eastAsia="zh-CN"/>
          <w14:textFill>
            <w14:solidFill>
              <w14:schemeClr w14:val="tx1"/>
            </w14:solidFill>
          </w14:textFill>
        </w:rPr>
        <w:t>9</w:t>
      </w:r>
      <w:r>
        <w:rPr>
          <w:rFonts w:hint="eastAsia" w:ascii="仿宋" w:hAnsi="仿宋" w:eastAsia="仿宋" w:cs="仿宋_GB2312"/>
          <w:bCs/>
          <w:color w:val="000000" w:themeColor="text1"/>
          <w:sz w:val="24"/>
          <w14:textFill>
            <w14:solidFill>
              <w14:schemeClr w14:val="tx1"/>
            </w14:solidFill>
          </w14:textFill>
        </w:rPr>
        <w:t>、斜巷内严禁摘掉钩头和连接装置。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lang w:val="en-US" w:eastAsia="zh-CN"/>
          <w14:textFill>
            <w14:solidFill>
              <w14:schemeClr w14:val="tx1"/>
            </w14:solidFill>
          </w14:textFill>
        </w:rPr>
        <w:t>0</w:t>
      </w:r>
      <w:r>
        <w:rPr>
          <w:rFonts w:hint="eastAsia" w:ascii="仿宋" w:hAnsi="仿宋" w:eastAsia="仿宋" w:cs="仿宋_GB2312"/>
          <w:bCs/>
          <w:color w:val="000000" w:themeColor="text1"/>
          <w:sz w:val="24"/>
          <w14:textFill>
            <w14:solidFill>
              <w14:schemeClr w14:val="tx1"/>
            </w14:solidFill>
          </w14:textFill>
        </w:rPr>
        <w:t>、使用绞车转弯提、松车时，弯道内侧严禁有人。</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lang w:val="en-US" w:eastAsia="zh-CN"/>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、斜巷运输期间，上、下口必须各有一信号把钩工，绞车司机严禁兼作同一部绞车的信号把钩工。</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lang w:val="en-US" w:eastAsia="zh-CN"/>
          <w14:textFill>
            <w14:solidFill>
              <w14:schemeClr w14:val="tx1"/>
            </w14:solidFill>
          </w14:textFill>
        </w:rPr>
        <w:t>2</w:t>
      </w:r>
      <w:r>
        <w:rPr>
          <w:rFonts w:hint="eastAsia" w:ascii="仿宋" w:hAnsi="仿宋" w:eastAsia="仿宋" w:cs="仿宋_GB2312"/>
          <w:bCs/>
          <w:color w:val="000000" w:themeColor="text1"/>
          <w:sz w:val="24"/>
          <w14:textFill>
            <w14:solidFill>
              <w14:schemeClr w14:val="tx1"/>
            </w14:solidFill>
          </w14:textFill>
        </w:rPr>
        <w:t>、必须使用合格的连接装置，严禁使用自制的连接装置；正确使用保险绳，严禁将保险绳搁置不用；信号把钩工在每钩发送开车信号前，把钩工必须全面检查连接情况，确保符合要求后，方可发出开车信号。</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lang w:val="en-US" w:eastAsia="zh-CN"/>
          <w14:textFill>
            <w14:solidFill>
              <w14:schemeClr w14:val="tx1"/>
            </w14:solidFill>
          </w14:textFill>
        </w:rPr>
        <w:t>3</w:t>
      </w:r>
      <w:r>
        <w:rPr>
          <w:rFonts w:hint="eastAsia" w:ascii="仿宋" w:hAnsi="仿宋" w:eastAsia="仿宋" w:cs="仿宋_GB2312"/>
          <w:bCs/>
          <w:color w:val="000000" w:themeColor="text1"/>
          <w:sz w:val="24"/>
          <w14:textFill>
            <w14:solidFill>
              <w14:schemeClr w14:val="tx1"/>
            </w14:solidFill>
          </w14:textFill>
        </w:rPr>
        <w:t>、串车作业时，摘挂钩头必须指定专人负责，确保符合要求后方可进行作业。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lang w:val="en-US" w:eastAsia="zh-CN"/>
          <w14:textFill>
            <w14:solidFill>
              <w14:schemeClr w14:val="tx1"/>
            </w14:solidFill>
          </w14:textFill>
        </w:rPr>
        <w:t>4</w:t>
      </w:r>
      <w:r>
        <w:rPr>
          <w:rFonts w:hint="eastAsia" w:ascii="仿宋" w:hAnsi="仿宋" w:eastAsia="仿宋" w:cs="仿宋_GB2312"/>
          <w:bCs/>
          <w:color w:val="000000" w:themeColor="text1"/>
          <w:sz w:val="24"/>
          <w14:textFill>
            <w14:solidFill>
              <w14:schemeClr w14:val="tx1"/>
            </w14:solidFill>
          </w14:textFill>
        </w:rPr>
        <w:t>、信号把钩工在每钩发送开车信号前必须全部进入躲避峒室内，待车辆松、拉到位停稳后，把钩工方可摘挂钩头和连接装置，严禁在车辆未停稳时作业。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lang w:val="en-US" w:eastAsia="zh-CN"/>
          <w14:textFill>
            <w14:solidFill>
              <w14:schemeClr w14:val="tx1"/>
            </w14:solidFill>
          </w14:textFill>
        </w:rPr>
        <w:t>5</w:t>
      </w:r>
      <w:r>
        <w:rPr>
          <w:rFonts w:hint="eastAsia" w:ascii="仿宋" w:hAnsi="仿宋" w:eastAsia="仿宋" w:cs="仿宋_GB2312"/>
          <w:bCs/>
          <w:color w:val="000000" w:themeColor="text1"/>
          <w:sz w:val="24"/>
          <w14:textFill>
            <w14:solidFill>
              <w14:schemeClr w14:val="tx1"/>
            </w14:solidFill>
          </w14:textFill>
        </w:rPr>
        <w:t>、信号把钩工摘挂钩时严禁站在道档内，严禁将头部和身体伸入两车之间进行操作，必须站在人行道侧进行摘挂钩，距钢轨200mm左右。</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lang w:val="en-US" w:eastAsia="zh-CN"/>
          <w14:textFill>
            <w14:solidFill>
              <w14:schemeClr w14:val="tx1"/>
            </w14:solidFill>
          </w14:textFill>
        </w:rPr>
        <w:t>6</w:t>
      </w:r>
      <w:r>
        <w:rPr>
          <w:rFonts w:hint="eastAsia" w:ascii="仿宋" w:hAnsi="仿宋" w:eastAsia="仿宋" w:cs="仿宋_GB2312"/>
          <w:bCs/>
          <w:color w:val="000000" w:themeColor="text1"/>
          <w:sz w:val="24"/>
          <w14:textFill>
            <w14:solidFill>
              <w14:schemeClr w14:val="tx1"/>
            </w14:solidFill>
          </w14:textFill>
        </w:rPr>
        <w:t>、绞车停用时，绞车电源控制开关手把必须处于分断位置或将绞车的控制按钮上锁。</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lang w:val="en-US" w:eastAsia="zh-CN"/>
          <w14:textFill>
            <w14:solidFill>
              <w14:schemeClr w14:val="tx1"/>
            </w14:solidFill>
          </w14:textFill>
        </w:rPr>
        <w:t>7</w:t>
      </w:r>
      <w:r>
        <w:rPr>
          <w:rFonts w:hint="eastAsia" w:ascii="仿宋" w:hAnsi="仿宋" w:eastAsia="仿宋" w:cs="仿宋_GB2312"/>
          <w:bCs/>
          <w:color w:val="000000" w:themeColor="text1"/>
          <w:sz w:val="24"/>
          <w14:textFill>
            <w14:solidFill>
              <w14:schemeClr w14:val="tx1"/>
            </w14:solidFill>
          </w14:textFill>
        </w:rPr>
        <w:t>、本次施工期间，需在斜巷悬车装卸物料，悬车作业时，必须遵守以下规定：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（1）斜巷悬车时，严禁摘掉钩头和连接装置，绞车司机必须坚守岗位，刹紧制动闸，确保钢丝绳处于拉紧状态，并在斜巷上、下口留有专人警戒，严禁无关人员进入；</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（2）待车辆停稳后，施工人员方可到达装卸地点，并及时使用阻车器及道卡子将车辆阻挡牢固，严禁任何人员在车辆运行或未停稳时提前进入斜巷内。</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（3）装卸物料时人员严禁在车辆正下方。</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（4）物料装卸完后，人员必须及时撤离至躲避硐室内的安全地点，经班队长确认斜巷内无人、安全后，方可发出开车信号。</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lang w:val="en-US" w:eastAsia="zh-CN"/>
          <w14:textFill>
            <w14:solidFill>
              <w14:schemeClr w14:val="tx1"/>
            </w14:solidFill>
          </w14:textFill>
        </w:rPr>
        <w:t>8</w:t>
      </w:r>
      <w:r>
        <w:rPr>
          <w:rFonts w:hint="eastAsia" w:ascii="仿宋" w:hAnsi="仿宋" w:eastAsia="仿宋" w:cs="仿宋_GB2312"/>
          <w:bCs/>
          <w:color w:val="000000" w:themeColor="text1"/>
          <w:sz w:val="24"/>
          <w14:textFill>
            <w14:solidFill>
              <w14:schemeClr w14:val="tx1"/>
            </w14:solidFill>
          </w14:textFill>
        </w:rPr>
        <w:t>、车辆掉道的处理</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发生车辆掉道后，现场责任人员必须第一时间汇报调度指挥中心、单位值班人员，不得隐瞒，不得擅自复轨;未汇报并擅自复轨的按严重“三违”追究责任单位负责人及违章人员责任。平巷复轨必须由队长以上管理人员作为现场安全负责人，</w:t>
      </w:r>
      <w:r>
        <w:rPr>
          <w:rFonts w:hint="eastAsia" w:ascii="仿宋" w:hAnsi="仿宋" w:eastAsia="仿宋" w:cs="仿宋_GB2312"/>
          <w:bCs/>
          <w:color w:val="000000" w:themeColor="text1"/>
          <w:sz w:val="24"/>
          <w:lang w:val="en-US" w:eastAsia="zh-CN"/>
          <w14:textFill>
            <w14:solidFill>
              <w14:schemeClr w14:val="tx1"/>
            </w14:solidFill>
          </w14:textFill>
        </w:rPr>
        <w:t>负责</w:t>
      </w:r>
      <w:r>
        <w:rPr>
          <w:rFonts w:hint="eastAsia" w:ascii="仿宋" w:hAnsi="仿宋" w:eastAsia="仿宋" w:cs="仿宋_GB2312"/>
          <w:bCs/>
          <w:color w:val="000000" w:themeColor="text1"/>
          <w:sz w:val="24"/>
          <w14:textFill>
            <w14:solidFill>
              <w14:schemeClr w14:val="tx1"/>
            </w14:solidFill>
          </w14:textFill>
        </w:rPr>
        <w:t>指挥处理;重载车辆、无极绳牵引车辆、斜巷运输车辆复轨必须严格根据措施执行，由副科级以上管理人员、矿跟班人员现场指挥，安检人员现场监管。</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（1）复轨前要求</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hint="eastAsia"/>
        </w:rPr>
      </w:pPr>
      <w:r>
        <w:rPr>
          <w:rFonts w:hint="eastAsia" w:ascii="仿宋" w:hAnsi="仿宋" w:eastAsia="仿宋" w:cs="仿宋_GB2312"/>
          <w:bCs/>
          <w:color w:val="000000" w:themeColor="text1"/>
          <w:sz w:val="24"/>
          <w14:textFill>
            <w14:solidFill>
              <w14:schemeClr w14:val="tx1"/>
            </w14:solidFill>
          </w14:textFill>
        </w:rPr>
        <w:t>a、现场负责人，必须周密检查掉道现场巷道及所有设备、设施有无再次发生事故的隐患，特别是检查掉道车辆稳定性是否可靠。</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hint="eastAsia" w:ascii="仿宋" w:hAnsi="仿宋" w:eastAsia="仿宋" w:cs="仿宋_GB2312"/>
          <w:bCs/>
          <w:color w:val="000000" w:themeColor="text1"/>
          <w:sz w:val="24"/>
          <w:lang w:val="en-US" w:eastAsia="zh-CN"/>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b、经过周密检查后，现场负责人应根据掉道情况，制定切实可行的复轨实施方案</w:t>
      </w:r>
      <w:r>
        <w:rPr>
          <w:rFonts w:hint="eastAsia" w:ascii="仿宋" w:hAnsi="仿宋" w:eastAsia="仿宋" w:cs="仿宋_GB2312"/>
          <w:bCs/>
          <w:color w:val="000000" w:themeColor="text1"/>
          <w:sz w:val="24"/>
          <w:lang w:eastAsia="zh-CN"/>
          <w14:textFill>
            <w14:solidFill>
              <w14:schemeClr w14:val="tx1"/>
            </w14:solidFill>
          </w14:textFill>
        </w:rPr>
        <w:t>。</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c、必须布置好现场操作人员的安全退路，并做好安全防护。</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d、进行复轨前，现场安全负责人必须检查巷道支护情况，支护不牢或有片帮危险时，必须先行处理后方可进行复轨作业。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e、现场负责人对复轨有关的每一个细节、步骤都必须制定并落实相应的安全措施，包括稳车、牵拉、抬垫;防歪、防滑、防窜、防崩等方面。</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f、重车及超高车辆复轨时，必须先把物料卸载到不影响复轨作业的区城并固定牢固，在保证安全的前提下方可实施复轨作业。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g、必须实行“先稳车、后处理”的作业制度。</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（2）复轨安全注意事项</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a、严禁用机车、绞车等机动设备牵引复轨(用复轨器除外)。</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b、两个或两个以上车辆掉道时，必须逐个进行复轨，严禁同时平行进行复轨。</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c、超高、超长、超宽、超重的车辆或重心高、重心偏或有倾倒危险的车辆复轨时，必须首先采取可靠的防止歪斜措施后方可复轨。</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d、采用复轨器复轨时，复轨器要垂直放置，底部必须用木料垫实、垫平、垫牢。</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e、采用人力杠杆复轨时，杠杆必须牢固定位，严防杠杆转动或滑脱;一次撬抬高度不得超过150mm;撬起车轮垫木料时，垫料人不得将头或身体的任何部位放在两车之间及没有采取防歪措施的车辆一侧，并安排专人进行监护。</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f、矿井运输车辆掉道确需起吊复轨时，必须根据巷道支护形式及支护强度，制定特殊复轨安全措施经上-级领导批准后方可实施。措施中必须明确规定各种巷道起吊生根的方法和支护要求，必须设专人观察顶板。使用手拉葫芦起吊时，起吊重量不得大于手拉葫芦的额定重量，人员必须站在车辆掉道有安全退路的地方操作手拉葫芦。</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4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g、特殊运输(包括:支架、大型设备以及“四超”车辆)的技术措施中必须制定掉道复轨的具体规定。</w:t>
      </w:r>
    </w:p>
    <w:p>
      <w:pPr>
        <w:pStyle w:val="60"/>
        <w:keepNext w:val="0"/>
        <w:keepLines w:val="0"/>
        <w:pageBreakBefore w:val="0"/>
        <w:widowControl w:val="0"/>
        <w:kinsoku/>
        <w:wordWrap/>
        <w:overflowPunct/>
        <w:topLinePunct w:val="0"/>
        <w:autoSpaceDE/>
        <w:autoSpaceDN/>
        <w:bidi w:val="0"/>
        <w:adjustRightInd/>
        <w:snapToGrid w:val="0"/>
        <w:spacing w:line="480" w:lineRule="exact"/>
        <w:textAlignment w:val="auto"/>
        <w:rPr>
          <w:rFonts w:ascii="仿宋" w:hAnsi="仿宋" w:eastAsia="仿宋" w:cs="仿宋"/>
          <w:color w:val="000000" w:themeColor="text1"/>
          <w:sz w:val="24"/>
          <w14:textFill>
            <w14:solidFill>
              <w14:schemeClr w14:val="tx1"/>
            </w14:solidFill>
          </w14:textFill>
        </w:rPr>
      </w:pPr>
      <w:bookmarkStart w:id="355" w:name="_Toc496212777"/>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Times New Roman"/>
          <w:color w:val="000000"/>
          <w:kern w:val="0"/>
          <w:sz w:val="24"/>
          <w:lang w:val="en-US" w:eastAsia="zh-CN"/>
        </w:rPr>
        <w:t>防爆无轨胶轮车</w:t>
      </w:r>
      <w:r>
        <w:rPr>
          <w:rFonts w:hint="eastAsia" w:ascii="仿宋" w:hAnsi="仿宋" w:eastAsia="仿宋" w:cs="仿宋"/>
          <w:color w:val="000000" w:themeColor="text1"/>
          <w:sz w:val="24"/>
          <w14:textFill>
            <w14:solidFill>
              <w14:schemeClr w14:val="tx1"/>
            </w14:solidFill>
          </w14:textFill>
        </w:rPr>
        <w:t>使用管理规定</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1、胶轮车</w:t>
      </w:r>
      <w:r>
        <w:rPr>
          <w:rFonts w:hint="eastAsia" w:ascii="仿宋" w:hAnsi="仿宋" w:eastAsia="仿宋" w:cs="仿宋"/>
          <w:bCs/>
          <w:color w:val="000000" w:themeColor="text1"/>
          <w:sz w:val="24"/>
          <w:lang w:eastAsia="zh-CN"/>
          <w14:textFill>
            <w14:solidFill>
              <w14:schemeClr w14:val="tx1"/>
            </w14:solidFill>
          </w14:textFill>
        </w:rPr>
        <w:t>必须有国家煤矿安全标志中心颁发的煤矿安全标志证书，即“MA”标志；必须具有国家授权部门颁发的产品合格证、防爆合格证，生产厂家出厂检验合格证；</w:t>
      </w:r>
      <w:r>
        <w:rPr>
          <w:rFonts w:hint="eastAsia" w:ascii="仿宋" w:hAnsi="仿宋" w:eastAsia="仿宋" w:cs="仿宋"/>
          <w:bCs/>
          <w:color w:val="000000" w:themeColor="text1"/>
          <w:sz w:val="24"/>
          <w:lang w:val="en-US" w:eastAsia="zh-CN"/>
          <w14:textFill>
            <w14:solidFill>
              <w14:schemeClr w14:val="tx1"/>
            </w14:solidFill>
          </w14:textFill>
        </w:rPr>
        <w:t>排气中CO、NO2等有害气体浓度，应符合MT220的有关规定。</w:t>
      </w:r>
      <w:r>
        <w:rPr>
          <w:rFonts w:hint="eastAsia" w:ascii="仿宋" w:hAnsi="仿宋" w:eastAsia="仿宋" w:cs="仿宋"/>
          <w:bCs/>
          <w:color w:val="000000" w:themeColor="text1"/>
          <w:sz w:val="24"/>
          <w:lang w:eastAsia="zh-CN"/>
          <w14:textFill>
            <w14:solidFill>
              <w14:schemeClr w14:val="tx1"/>
            </w14:solidFill>
          </w14:textFill>
        </w:rPr>
        <w:t>每月对入井的胶轮车进行一次月检，检修应涵盖车辆动力、转向、制动等各系统，</w:t>
      </w:r>
      <w:r>
        <w:rPr>
          <w:rFonts w:hint="eastAsia" w:ascii="仿宋" w:hAnsi="仿宋" w:eastAsia="仿宋" w:cs="仿宋"/>
          <w:bCs/>
          <w:color w:val="000000" w:themeColor="text1"/>
          <w:sz w:val="24"/>
          <w:lang w:val="en-US" w:eastAsia="zh-CN"/>
          <w14:textFill>
            <w14:solidFill>
              <w14:schemeClr w14:val="tx1"/>
            </w14:solidFill>
          </w14:textFill>
        </w:rPr>
        <w:t>保证车辆符合安全技术性能要求。每年由有资质的检测检验机构进行一次年度检验,各项安全性能应符合MT/T989和MT 990的要求，并出具合格的检验报告。</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无轨胶轮车在入井前需根据设备完好标准和防爆性能进行检查验收，验收合格后方可入井；必须设置车前照明灯和尾部红色信号灯，配备灭火器和警示牌。在用胶轮车防爆电气设备的防爆性能必须每月检查一次，防爆电气设备的运行、维护和修理必须符合规定要求。</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3、根据无轨胶轮车使用说明书要求，驾驶司机要有取得国家认可的B2驾驶证，驾驶人员应持证上岗，随身携带《中华人民共和国机动车驾驶证》（复印件）方可进行驾驶胶轮车。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4、建立无轨胶轮车入井运行和检查制度，严禁非防爆、不完好无轨胶轮车下井运行。</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5、无轨胶轮车司机必须熟悉掌握胶轮车操作使用说明及安全操作注意事项。</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6、防爆柴油机无轨胶轮车井下使用时必须佩带便携式甲烷检测报警仪。</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 xml:space="preserve">7、本产品为有瓦斯的煤矿井下专用，非专业人员严禁操作、拆卸车辆各隔爆部件、管路，否则有使车辆失爆的危险。 </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8、在防爆柴油机运转时，操作人员不准靠近其旋转部分。严禁在防爆柴油机运转时进行拆卸。在进行必要的检查和调整时，须特别小心，注意安全。</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9、当防爆柴油机进排气系统发生故障时需要进行维修或清洗防爆栅栏时应停机，待排气系统冷却后方可进行维修。防爆柴油机排气系统在装配时所有隔爆面必须保持干净且无划伤。</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 xml:space="preserve">10、本无轨胶轮车为防爆无轨胶轮车，适用于煤矿井下使用，使用时用户必须遵守《煤矿安全规程》上对防爆无轨胶轮车使用的有关规定。 </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11、在初次运行5小时后，需重新拧紧车轮螺母、车桥紧固螺母、各传动轴联接螺栓。</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12、安全监控装置自动停机后不能强行启动，应查明原因，排除故障后再启动。</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 xml:space="preserve">13、严禁带电打开电气设备，不得带电检修、搬迁防爆电气设备。 </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14、不得随意改变本质安全型产品的关联设备、配接设备；不得改变本安和与本安电路有关的电气元件的型号、规格及其参数；不得将地线做本质安全电路回路。</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 xml:space="preserve">15、自动保护装置动作值按要求设定，不得随意调整，不得甩掉不用。 </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16、无轨胶轮车必须配置机载断电仪。运行中当甲烷检测报警仪发出报警讯号后必须停止工作。运输车机载甲烷断电仪报警值、断电值超过0.5%时，运输车自动停止工作，为确保机载甲烷断电仪数据准确、断电可靠，通防部每半月进行一次调校断电试验。必须提供机载断电仪遥控器及断电仪说明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17、无轨胶轮车必须安装矿用柴油机车安全监控保护装置，监控保护装置必须具备瓦斯超限保护，发动机超温保护，CO超限保护。</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18、司机出车前，必须对车辆前后照明，制动系统、语音报警装置、电气设备、仪表盘、喇叭及其他各部性能完好情况进行检查，检查柴油、液压油、润滑油及冷却水是否正常，确认无误后方可出车。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19、出车前，司机必须对沿途路线进行巡查一遍，同时对作业地点环境顶板检查确认是否安全，发现问题及时处理。</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20、胶轮车在沿途运输路线、作业地点内不得堆放杂物，避免影响车辆正常行驶，否则必须提前清理干净，确保运输车辆行驶安全。</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21、胶轮车装卸物料采用单轨吊配合作业或人工使用拉葫装卸，现场指定一名施工人员负责协调指挥作业。</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22、运送物料超出货箱长度1/3、单侧超出货箱宽度150mm时，要采取捆绑固定措施。</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23、装卸物料时，选用起吊设备的额定负荷能力应为起吊重物重量的2倍或2倍以上。起吊时严禁超载起吊。装卸起吊作业地点附近3m范围内不得有其他人员作业。在斜巷起吊成捆皮带或其他大件时，应使用2台拉葫同时进行起吊，起吊操作人员必须站在起吊物的上方进行操作，斜巷下口安排专人设置警戒，保证起吊点至斜巷下口范围内严禁有其他人员作业，防止起吊大件滚落伤人。起吊的物料必须捆绑牢固并经现场人员确认后，方可进行起吊装卸作业。</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24、装卸物料及停车时，胶轮车必须停稳，在车轮下垫入木料进行挡车，防止车辆因故障自动滑行。</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25、胶轮车装卸物料时，前后10m设置警戒，所有人员未经同意不得通行；必须通行时，要停止起吊、装卸作业。</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26、物料装卸完成后，司机必须对车辆进行检查，对所装物料未超过车箱的采用防滑固定措施，避免运输途中晃动；对于超出车箱的物料，必须采用措施捆绑固定，防止运输期间掉落，确保安全运输。</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27、胶轮车装卸物料时，车辆必须熄火停车，并开启停车制动系统。</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28、胶轮车在启动前和启动后、运行期间任何人不得靠近，并与车辆保持10米以上安全距离，车辆在启动前，司机在检查确认周围无人后，方可启动且鸣笛示警。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29、胶轮车运输巷道(包括管、线、电缆)与车辆两侧最突出部分之间的最小间距不得小于0.5m，与车辆顶部最突出部分之间的最小间距不得小于0.5m。</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30、行车期间，严禁车辆空挡滑行。无轨胶轮车不得载人。</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31、胶轮车运输过程中遇到前方有人作业时，胶轮车司机必须提前20米减速鸣笛停车，待作业人员撤到安全区域并保证行车路线畅通后方可通过。严格执行好前后20m运行区域内“行车不行人、行人不行车”制度，严格执行“车让人”制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32、机车运行到岔门、弯道、上下坡起点处、硐室口、装卸载点前20m必须确认安全，并减速运行、同时鸣笛发出警报，方可减速慢行、缓慢通过（速度不超过1m/s）。</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33、在斜坡段停车时，必须采取以下措施：</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（1）车辆必须熄火。司机在停车熄火前,要将车的前轮打至靠巷帮方向,防止再次启动车辆时及车辆误动作前窜伤人，车前近光灯不得关闭。</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（2）胶轮车在下坡停车时，车辆必须停稳，将变速杆推到倒挡位置，且可靠驻车，并在后轮胎下前侧采取防止下滑措施。</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（3）胶轮车在上坡停车时，车辆必须停稳，将变速杆推到前进1档位置，且可靠驻车，并在后轮胎下后侧采取防止下滑措施。</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34、司机上岗后，不得擅自离开岗位，严禁在车辆未停稳时离开司机室，司机暂时离开岗位或交班时，必须做好机车制动，依次做好工作制动、手闸制动、脱离离合器、柴油机停机、锁车等步骤。</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35、无轨胶轮车运输物料时，不得超过10Km/h.</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36、无轨胶轮车、单轨吊严禁同时交叉运输。</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37、严禁车辆进入微风、无风区域。</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38、胶轮车除司机外，任何人员不得随意操作驾驶、触碰驾驶室内操作手柄、按钮。</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39、胶轮车运输作业结束后，必须做到停车熄火，车辆停在巷道底板平整地点。</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40、无轨胶轮车制动系统必须灵敏可靠，设置工作制动、紧急制动和停车制动，工作制动必须采用湿式制动器。</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41、入井作业的无轨胶轮车必须安装车辆识别卡及车辆井下监测监控装置，监测监控系统必须保持信息完备，并及时更新，做到与实际运行情况相符。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42、严禁在错车硐室以外的其他区域随意错车（不具备错车条件巷道），同向行驶车辆必须保持不小于100m的安全运行距离。</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43、运输易发生滚动、滑动、掉落等物料时，必须采取固定措施并固定牢靠;运输散料时，不得超高，防止洒落，运输物料时不得遮挡前后灯。</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44、无轨胶轮车司机人车分离前必须熄火、驻车制动，采取防滑措施；在倒车时不准将身体部位伸出窗外；倒车距离超过30米的、施工区域未执行专项区域警戒措施的不准进行倒车作业。</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45、车辆停放时，原则上不应在有坡度地点停车，确需停车时，应实施驻车制动并设置辅助制动措施（使用道木将车轮掩好或车辆前方使用道木打十字）。</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46、存放柴油不得超过圆班使用量，1303提料斜巷柴油存放点及加油点需配备消防沙箱及灭火器，需安装摄像头及静电释放装置，无轨胶轮车加油必须在加油点视频监控下进行。柴油必须使用专用油桶盛装，并由司机或者指定专人携带，一次携带量不得超过一个圆班使用量。</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47、标识、信号及安全设施：</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（1）胶轮车运输巷道每隔100m设置行车标识。</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（2）胶轮车主要运输巷道两侧设置连续的反光标识，确保车辆上、下行时，在车辆灯光的照射下清晰、连续、醒目。</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（3）胶轮车行驶的长坡段巷道内运行时，车辆必须具备当车辆原有刹车系统失效时，司机按下失速制动按钮，保护装置通过控制行车电脑控制器的控制比例阀，进行车辆二次刹车的失速安全装置。</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黑体" w:hAnsi="黑体" w:eastAsia="黑体" w:cs="仿宋_GB2312"/>
          <w:color w:val="000000" w:themeColor="text1"/>
          <w:sz w:val="28"/>
          <w:szCs w:val="28"/>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（4）胶轮车运输巷道转弯处设置直径不小于600mm橡胶轮胎的防撞装置并且长度不小于5m、距地板高度1.0-1.5m。</w:t>
      </w:r>
    </w:p>
    <w:p>
      <w:pPr>
        <w:keepNext w:val="0"/>
        <w:keepLines w:val="0"/>
        <w:pageBreakBefore w:val="0"/>
        <w:kinsoku/>
        <w:wordWrap/>
        <w:overflowPunct/>
        <w:topLinePunct w:val="0"/>
        <w:bidi w:val="0"/>
        <w:adjustRightInd w:val="0"/>
        <w:snapToGrid w:val="0"/>
        <w:spacing w:line="360" w:lineRule="auto"/>
        <w:ind w:left="0" w:leftChars="0" w:firstLine="0" w:firstLineChars="0"/>
        <w:jc w:val="center"/>
        <w:rPr>
          <w:rFonts w:hint="eastAsia" w:ascii="黑体" w:hAnsi="黑体" w:eastAsia="黑体" w:cs="仿宋_GB2312"/>
          <w:color w:val="000000" w:themeColor="text1"/>
          <w:sz w:val="28"/>
          <w:szCs w:val="28"/>
          <w14:textFill>
            <w14:solidFill>
              <w14:schemeClr w14:val="tx1"/>
            </w14:solidFill>
          </w14:textFill>
        </w:rPr>
      </w:pPr>
    </w:p>
    <w:p>
      <w:pPr>
        <w:keepNext w:val="0"/>
        <w:keepLines w:val="0"/>
        <w:pageBreakBefore w:val="0"/>
        <w:kinsoku/>
        <w:wordWrap/>
        <w:overflowPunct/>
        <w:topLinePunct w:val="0"/>
        <w:bidi w:val="0"/>
        <w:adjustRightInd w:val="0"/>
        <w:snapToGrid w:val="0"/>
        <w:spacing w:line="360" w:lineRule="auto"/>
        <w:ind w:left="0" w:leftChars="0" w:firstLine="0" w:firstLineChars="0"/>
        <w:jc w:val="center"/>
        <w:rPr>
          <w:rFonts w:ascii="黑体" w:hAnsi="黑体" w:eastAsia="黑体" w:cs="仿宋_GB2312"/>
          <w:color w:val="000000" w:themeColor="text1"/>
          <w:sz w:val="28"/>
          <w:szCs w:val="28"/>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第六节  机电管理</w:t>
      </w:r>
      <w:bookmarkEnd w:id="355"/>
    </w:p>
    <w:p>
      <w:pPr>
        <w:pStyle w:val="60"/>
        <w:keepNext w:val="0"/>
        <w:keepLines w:val="0"/>
        <w:pageBreakBefore w:val="0"/>
        <w:widowControl w:val="0"/>
        <w:kinsoku/>
        <w:wordWrap/>
        <w:overflowPunct/>
        <w:topLinePunct w:val="0"/>
        <w:bidi w:val="0"/>
        <w:snapToGrid w:val="0"/>
        <w:spacing w:line="380" w:lineRule="exac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一、一般规定</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机电设备必须有产品合格证、</w:t>
      </w:r>
      <w:r>
        <w:rPr>
          <w:rFonts w:hint="eastAsia" w:ascii="仿宋" w:hAnsi="仿宋" w:eastAsia="仿宋" w:cs="仿宋_GB2312"/>
          <w:bCs/>
          <w:color w:val="000000" w:themeColor="text1"/>
          <w:sz w:val="24"/>
          <w14:textFill>
            <w14:solidFill>
              <w14:schemeClr w14:val="tx1"/>
            </w14:solidFill>
          </w14:textFill>
        </w:rPr>
        <w:t>纳入安标管理的产品要有</w:t>
      </w:r>
      <w:r>
        <w:rPr>
          <w:rFonts w:ascii="仿宋" w:hAnsi="仿宋" w:eastAsia="仿宋" w:cs="仿宋_GB2312"/>
          <w:bCs/>
          <w:color w:val="000000" w:themeColor="text1"/>
          <w:sz w:val="24"/>
          <w14:textFill>
            <w14:solidFill>
              <w14:schemeClr w14:val="tx1"/>
            </w14:solidFill>
          </w14:textFill>
        </w:rPr>
        <w:t>煤矿矿用产品安全标志、防爆设备必须有防爆合格证</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设备标志牌齐全。</w:t>
      </w:r>
    </w:p>
    <w:p>
      <w:pPr>
        <w:keepNext w:val="0"/>
        <w:keepLines w:val="0"/>
        <w:pageBreakBefore w:val="0"/>
        <w:widowControl w:val="0"/>
        <w:kinsoku/>
        <w:wordWrap/>
        <w:overflowPunct/>
        <w:topLinePunct w:val="0"/>
        <w:bidi w:val="0"/>
        <w:snapToGrid w:val="0"/>
        <w:spacing w:line="3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2、工作面设备实行包机制度，包机到人，挂牌管理，包机人负责设备日常检修和保养。</w:t>
      </w:r>
    </w:p>
    <w:p>
      <w:pPr>
        <w:keepNext w:val="0"/>
        <w:keepLines w:val="0"/>
        <w:pageBreakBefore w:val="0"/>
        <w:widowControl w:val="0"/>
        <w:kinsoku/>
        <w:wordWrap/>
        <w:overflowPunct/>
        <w:topLinePunct w:val="0"/>
        <w:bidi w:val="0"/>
        <w:snapToGrid w:val="0"/>
        <w:spacing w:line="3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3、各工种司机、检修工必须经过培训合格后持证上岗。</w:t>
      </w:r>
    </w:p>
    <w:p>
      <w:pPr>
        <w:keepNext w:val="0"/>
        <w:keepLines w:val="0"/>
        <w:pageBreakBefore w:val="0"/>
        <w:widowControl w:val="0"/>
        <w:kinsoku/>
        <w:wordWrap/>
        <w:overflowPunct/>
        <w:topLinePunct w:val="0"/>
        <w:bidi w:val="0"/>
        <w:snapToGrid w:val="0"/>
        <w:spacing w:line="38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4、对设备严格按日检、旬检和月检的内容进行检修，每天确保不少于6小时的检修时间。</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5、检修工应熟知设备的性能和原理，按照设备完好标准认真检修，确保机电设备综合完好率不低于90%以上，</w:t>
      </w:r>
      <w:r>
        <w:rPr>
          <w:rFonts w:ascii="仿宋" w:hAnsi="仿宋" w:eastAsia="仿宋" w:cs="仿宋_GB2312"/>
          <w:bCs/>
          <w:color w:val="000000" w:themeColor="text1"/>
          <w:sz w:val="24"/>
          <w14:textFill>
            <w14:solidFill>
              <w14:schemeClr w14:val="tx1"/>
            </w14:solidFill>
          </w14:textFill>
        </w:rPr>
        <w:t>小型电</w:t>
      </w:r>
      <w:r>
        <w:rPr>
          <w:rFonts w:hint="eastAsia" w:ascii="仿宋" w:hAnsi="仿宋" w:eastAsia="仿宋" w:cs="仿宋_GB2312"/>
          <w:bCs/>
          <w:color w:val="000000" w:themeColor="text1"/>
          <w:sz w:val="24"/>
          <w14:textFill>
            <w14:solidFill>
              <w14:schemeClr w14:val="tx1"/>
            </w14:solidFill>
          </w14:textFill>
        </w:rPr>
        <w:t>器</w:t>
      </w:r>
      <w:r>
        <w:rPr>
          <w:rFonts w:ascii="仿宋" w:hAnsi="仿宋" w:eastAsia="仿宋" w:cs="仿宋_GB2312"/>
          <w:bCs/>
          <w:color w:val="000000" w:themeColor="text1"/>
          <w:sz w:val="24"/>
          <w14:textFill>
            <w14:solidFill>
              <w14:schemeClr w14:val="tx1"/>
            </w14:solidFill>
          </w14:textFill>
        </w:rPr>
        <w:t>设备</w:t>
      </w:r>
      <w:r>
        <w:rPr>
          <w:rFonts w:hint="eastAsia" w:ascii="仿宋" w:hAnsi="仿宋" w:eastAsia="仿宋" w:cs="仿宋_GB2312"/>
          <w:bCs/>
          <w:color w:val="000000" w:themeColor="text1"/>
          <w:sz w:val="24"/>
          <w14:textFill>
            <w14:solidFill>
              <w14:schemeClr w14:val="tx1"/>
            </w14:solidFill>
          </w14:textFill>
        </w:rPr>
        <w:t>完好</w:t>
      </w:r>
      <w:r>
        <w:rPr>
          <w:rFonts w:ascii="仿宋" w:hAnsi="仿宋" w:eastAsia="仿宋" w:cs="仿宋_GB2312"/>
          <w:bCs/>
          <w:color w:val="000000" w:themeColor="text1"/>
          <w:sz w:val="24"/>
          <w14:textFill>
            <w14:solidFill>
              <w14:schemeClr w14:val="tx1"/>
            </w14:solidFill>
          </w14:textFill>
        </w:rPr>
        <w:t>率</w:t>
      </w:r>
      <w:r>
        <w:rPr>
          <w:rFonts w:hint="eastAsia" w:ascii="仿宋" w:hAnsi="仿宋" w:eastAsia="仿宋" w:cs="仿宋_GB2312"/>
          <w:bCs/>
          <w:color w:val="000000" w:themeColor="text1"/>
          <w:sz w:val="24"/>
          <w14:textFill>
            <w14:solidFill>
              <w14:schemeClr w14:val="tx1"/>
            </w14:solidFill>
          </w14:textFill>
        </w:rPr>
        <w:t>不低于</w:t>
      </w:r>
      <w:r>
        <w:rPr>
          <w:rFonts w:ascii="仿宋" w:hAnsi="仿宋" w:eastAsia="仿宋" w:cs="仿宋_GB2312"/>
          <w:bCs/>
          <w:color w:val="000000" w:themeColor="text1"/>
          <w:sz w:val="24"/>
          <w14:textFill>
            <w14:solidFill>
              <w14:schemeClr w14:val="tx1"/>
            </w14:solidFill>
          </w14:textFill>
        </w:rPr>
        <w:t>95%</w:t>
      </w:r>
      <w:r>
        <w:rPr>
          <w:rFonts w:hint="eastAsia" w:ascii="仿宋" w:hAnsi="仿宋" w:eastAsia="仿宋" w:cs="仿宋_GB2312"/>
          <w:bCs/>
          <w:color w:val="000000" w:themeColor="text1"/>
          <w:sz w:val="24"/>
          <w14:textFill>
            <w14:solidFill>
              <w14:schemeClr w14:val="tx1"/>
            </w14:solidFill>
          </w14:textFill>
        </w:rPr>
        <w:t>，防爆电气设备及小型电器防爆合格率100%</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hint="eastAsia" w:ascii="仿宋" w:hAnsi="仿宋" w:eastAsia="仿宋" w:cs="仿宋_GB2312"/>
          <w:bCs/>
          <w:color w:val="000000" w:themeColor="text1"/>
          <w:sz w:val="24"/>
          <w14:textFill>
            <w14:solidFill>
              <w14:schemeClr w14:val="tx1"/>
            </w14:solidFill>
          </w14:textFill>
        </w:rPr>
      </w:pP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hint="eastAsia" w:ascii="仿宋" w:hAnsi="仿宋" w:eastAsia="仿宋" w:cs="仿宋_GB2312"/>
          <w:bCs/>
          <w:color w:val="000000" w:themeColor="text1"/>
          <w:sz w:val="24"/>
          <w14:textFill>
            <w14:solidFill>
              <w14:schemeClr w14:val="tx1"/>
            </w14:solidFill>
          </w14:textFill>
        </w:rPr>
      </w:pPr>
    </w:p>
    <w:p>
      <w:pPr>
        <w:pStyle w:val="2"/>
        <w:rPr>
          <w:rFonts w:hint="eastAsia" w:ascii="仿宋" w:hAnsi="仿宋" w:eastAsia="仿宋" w:cs="仿宋_GB2312"/>
          <w:bCs/>
          <w:color w:val="000000" w:themeColor="text1"/>
          <w:sz w:val="24"/>
          <w14:textFill>
            <w14:solidFill>
              <w14:schemeClr w14:val="tx1"/>
            </w14:solidFill>
          </w14:textFill>
        </w:rPr>
      </w:pPr>
    </w:p>
    <w:p>
      <w:pPr>
        <w:pStyle w:val="2"/>
        <w:rPr>
          <w:rFonts w:hint="eastAsia" w:ascii="仿宋" w:hAnsi="仿宋" w:eastAsia="仿宋" w:cs="仿宋_GB2312"/>
          <w:bCs/>
          <w:color w:val="000000" w:themeColor="text1"/>
          <w:sz w:val="24"/>
          <w14:textFill>
            <w14:solidFill>
              <w14:schemeClr w14:val="tx1"/>
            </w14:solidFill>
          </w14:textFill>
        </w:rPr>
      </w:pPr>
    </w:p>
    <w:p>
      <w:pPr>
        <w:pStyle w:val="2"/>
        <w:rPr>
          <w:rFonts w:hint="eastAsia" w:ascii="仿宋" w:hAnsi="仿宋" w:eastAsia="仿宋" w:cs="仿宋_GB2312"/>
          <w:bCs/>
          <w:color w:val="000000" w:themeColor="text1"/>
          <w:sz w:val="24"/>
          <w14:textFill>
            <w14:solidFill>
              <w14:schemeClr w14:val="tx1"/>
            </w14:solidFill>
          </w14:textFill>
        </w:rPr>
      </w:pPr>
    </w:p>
    <w:p>
      <w:pPr>
        <w:pStyle w:val="2"/>
        <w:ind w:left="0" w:leftChars="0" w:firstLine="0" w:firstLineChars="0"/>
        <w:rPr>
          <w:rFonts w:hint="eastAsia" w:ascii="仿宋" w:hAnsi="仿宋" w:eastAsia="仿宋" w:cs="仿宋_GB2312"/>
          <w:bCs/>
          <w:color w:val="000000" w:themeColor="text1"/>
          <w:sz w:val="24"/>
          <w14:textFill>
            <w14:solidFill>
              <w14:schemeClr w14:val="tx1"/>
            </w14:solidFill>
          </w14:textFill>
        </w:rPr>
      </w:pPr>
    </w:p>
    <w:p>
      <w:pPr>
        <w:keepNext w:val="0"/>
        <w:keepLines w:val="0"/>
        <w:pageBreakBefore w:val="0"/>
        <w:kinsoku/>
        <w:wordWrap/>
        <w:overflowPunct/>
        <w:topLinePunct w:val="0"/>
        <w:autoSpaceDE w:val="0"/>
        <w:autoSpaceDN w:val="0"/>
        <w:bidi w:val="0"/>
        <w:adjustRightInd w:val="0"/>
        <w:snapToGrid w:val="0"/>
        <w:spacing w:line="360" w:lineRule="auto"/>
        <w:ind w:left="0" w:leftChars="0" w:firstLine="0" w:firstLineChars="0"/>
        <w:jc w:val="left"/>
        <w:rPr>
          <w:rFonts w:hint="eastAsia" w:ascii="仿宋" w:hAnsi="仿宋" w:eastAsia="仿宋" w:cs="仿宋_GB2312"/>
          <w:bCs/>
          <w:color w:val="000000" w:themeColor="text1"/>
          <w:sz w:val="24"/>
          <w14:textFill>
            <w14:solidFill>
              <w14:schemeClr w14:val="tx1"/>
            </w14:solidFill>
          </w14:textFill>
        </w:rPr>
      </w:pPr>
    </w:p>
    <w:p>
      <w:pPr>
        <w:keepNext w:val="0"/>
        <w:keepLines w:val="0"/>
        <w:pageBreakBefore w:val="0"/>
        <w:kinsoku/>
        <w:wordWrap/>
        <w:overflowPunct/>
        <w:topLinePunct w:val="0"/>
        <w:autoSpaceDE w:val="0"/>
        <w:autoSpaceDN w:val="0"/>
        <w:bidi w:val="0"/>
        <w:adjustRightInd w:val="0"/>
        <w:snapToGrid w:val="0"/>
        <w:spacing w:line="360" w:lineRule="auto"/>
        <w:ind w:left="0" w:leftChars="0" w:firstLine="480" w:firstLineChars="20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机电</w:t>
      </w:r>
      <w:r>
        <w:rPr>
          <w:rFonts w:ascii="仿宋" w:hAnsi="仿宋" w:eastAsia="仿宋" w:cs="仿宋_GB2312"/>
          <w:bCs/>
          <w:color w:val="000000" w:themeColor="text1"/>
          <w:sz w:val="24"/>
          <w14:textFill>
            <w14:solidFill>
              <w14:schemeClr w14:val="tx1"/>
            </w14:solidFill>
          </w14:textFill>
        </w:rPr>
        <w:t>设备中机械外露的传动部分，必须加装防护罩或遮栏等防护设施。</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w:t>
      </w:r>
      <w:r>
        <w:rPr>
          <w:rFonts w:ascii="仿宋" w:hAnsi="仿宋" w:eastAsia="仿宋" w:cs="仿宋_GB2312"/>
          <w:bCs/>
          <w:color w:val="000000" w:themeColor="text1"/>
          <w:sz w:val="24"/>
          <w14:textFill>
            <w14:solidFill>
              <w14:schemeClr w14:val="tx1"/>
            </w14:solidFill>
          </w14:textFill>
        </w:rPr>
        <w:t>、机电设备上方有淋水时，要有有效的防水措施。</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w:t>
      </w:r>
      <w:r>
        <w:rPr>
          <w:rFonts w:ascii="仿宋" w:hAnsi="仿宋" w:eastAsia="仿宋" w:cs="仿宋_GB2312"/>
          <w:bCs/>
          <w:color w:val="000000" w:themeColor="text1"/>
          <w:sz w:val="24"/>
          <w14:textFill>
            <w14:solidFill>
              <w14:schemeClr w14:val="tx1"/>
            </w14:solidFill>
          </w14:textFill>
        </w:rPr>
        <w:t>、机电设备</w:t>
      </w:r>
      <w:r>
        <w:rPr>
          <w:rFonts w:hint="eastAsia" w:ascii="仿宋" w:hAnsi="仿宋" w:eastAsia="仿宋" w:cs="仿宋_GB2312"/>
          <w:bCs/>
          <w:color w:val="000000" w:themeColor="text1"/>
          <w:sz w:val="24"/>
          <w14:textFill>
            <w14:solidFill>
              <w14:schemeClr w14:val="tx1"/>
            </w14:solidFill>
          </w14:textFill>
        </w:rPr>
        <w:t>各部</w:t>
      </w:r>
      <w:r>
        <w:rPr>
          <w:rFonts w:ascii="仿宋" w:hAnsi="仿宋" w:eastAsia="仿宋" w:cs="仿宋_GB2312"/>
          <w:bCs/>
          <w:color w:val="000000" w:themeColor="text1"/>
          <w:sz w:val="24"/>
          <w14:textFill>
            <w14:solidFill>
              <w14:schemeClr w14:val="tx1"/>
            </w14:solidFill>
          </w14:textFill>
        </w:rPr>
        <w:t>件齐全且牢固有效</w:t>
      </w:r>
      <w:r>
        <w:rPr>
          <w:rFonts w:hint="eastAsia" w:ascii="仿宋" w:hAnsi="仿宋" w:eastAsia="仿宋" w:cs="仿宋_GB2312"/>
          <w:bCs/>
          <w:color w:val="000000" w:themeColor="text1"/>
          <w:sz w:val="24"/>
          <w14:textFill>
            <w14:solidFill>
              <w14:schemeClr w14:val="tx1"/>
            </w14:solidFill>
          </w14:textFill>
        </w:rPr>
        <w:t>，严格执行润滑制度，</w:t>
      </w:r>
      <w:r>
        <w:rPr>
          <w:rFonts w:ascii="仿宋" w:hAnsi="仿宋" w:eastAsia="仿宋" w:cs="仿宋_GB2312"/>
          <w:bCs/>
          <w:color w:val="000000" w:themeColor="text1"/>
          <w:sz w:val="24"/>
          <w14:textFill>
            <w14:solidFill>
              <w14:schemeClr w14:val="tx1"/>
            </w14:solidFill>
          </w14:textFill>
        </w:rPr>
        <w:t>油位符合要求，</w:t>
      </w:r>
      <w:r>
        <w:rPr>
          <w:rFonts w:hint="eastAsia" w:ascii="仿宋" w:hAnsi="仿宋" w:eastAsia="仿宋" w:cs="仿宋_GB2312"/>
          <w:bCs/>
          <w:color w:val="000000" w:themeColor="text1"/>
          <w:sz w:val="24"/>
          <w14:textFill>
            <w14:solidFill>
              <w14:schemeClr w14:val="tx1"/>
            </w14:solidFill>
          </w14:textFill>
        </w:rPr>
        <w:t>各种</w:t>
      </w:r>
      <w:r>
        <w:rPr>
          <w:rFonts w:ascii="仿宋" w:hAnsi="仿宋" w:eastAsia="仿宋" w:cs="仿宋_GB2312"/>
          <w:bCs/>
          <w:color w:val="000000" w:themeColor="text1"/>
          <w:sz w:val="24"/>
          <w14:textFill>
            <w14:solidFill>
              <w14:schemeClr w14:val="tx1"/>
            </w14:solidFill>
          </w14:textFill>
        </w:rPr>
        <w:t>保护必须齐全，动作</w:t>
      </w:r>
      <w:r>
        <w:rPr>
          <w:rFonts w:hint="eastAsia" w:ascii="仿宋" w:hAnsi="仿宋" w:eastAsia="仿宋" w:cs="仿宋_GB2312"/>
          <w:bCs/>
          <w:color w:val="000000" w:themeColor="text1"/>
          <w:sz w:val="24"/>
          <w14:textFill>
            <w14:solidFill>
              <w14:schemeClr w14:val="tx1"/>
            </w14:solidFill>
          </w14:textFill>
        </w:rPr>
        <w:t>灵敏</w:t>
      </w:r>
      <w:r>
        <w:rPr>
          <w:rFonts w:ascii="仿宋" w:hAnsi="仿宋" w:eastAsia="仿宋" w:cs="仿宋_GB2312"/>
          <w:bCs/>
          <w:color w:val="000000" w:themeColor="text1"/>
          <w:sz w:val="24"/>
          <w14:textFill>
            <w14:solidFill>
              <w14:schemeClr w14:val="tx1"/>
            </w14:solidFill>
          </w14:textFill>
        </w:rPr>
        <w:t>可靠</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9、液力耦合器必须按所传递的功率大小，注入规定量的难燃液，并经常检查有无漏失。易熔合金塞必须符合标准，并设专人检查、清除塞内污物。严禁用不符合标准的物品代替。</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0</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严禁</w:t>
      </w:r>
      <w:r>
        <w:rPr>
          <w:rFonts w:ascii="仿宋" w:hAnsi="仿宋" w:eastAsia="仿宋" w:cs="仿宋_GB2312"/>
          <w:bCs/>
          <w:color w:val="000000" w:themeColor="text1"/>
          <w:sz w:val="24"/>
          <w14:textFill>
            <w14:solidFill>
              <w14:schemeClr w14:val="tx1"/>
            </w14:solidFill>
          </w14:textFill>
        </w:rPr>
        <w:t>不同类别</w:t>
      </w:r>
      <w:r>
        <w:rPr>
          <w:rFonts w:hint="eastAsia" w:ascii="仿宋" w:hAnsi="仿宋" w:eastAsia="仿宋" w:cs="仿宋_GB2312"/>
          <w:bCs/>
          <w:color w:val="000000" w:themeColor="text1"/>
          <w:sz w:val="24"/>
          <w14:textFill>
            <w14:solidFill>
              <w14:schemeClr w14:val="tx1"/>
            </w14:solidFill>
          </w14:textFill>
        </w:rPr>
        <w:t>的</w:t>
      </w:r>
      <w:r>
        <w:rPr>
          <w:rFonts w:ascii="仿宋" w:hAnsi="仿宋" w:eastAsia="仿宋" w:cs="仿宋_GB2312"/>
          <w:bCs/>
          <w:color w:val="000000" w:themeColor="text1"/>
          <w:sz w:val="24"/>
          <w14:textFill>
            <w14:solidFill>
              <w14:schemeClr w14:val="tx1"/>
            </w14:solidFill>
          </w14:textFill>
        </w:rPr>
        <w:t>液力</w:t>
      </w:r>
      <w:r>
        <w:rPr>
          <w:rFonts w:hint="eastAsia" w:ascii="仿宋" w:hAnsi="仿宋" w:eastAsia="仿宋" w:cs="仿宋_GB2312"/>
          <w:bCs/>
          <w:color w:val="000000" w:themeColor="text1"/>
          <w:sz w:val="24"/>
          <w14:textFill>
            <w14:solidFill>
              <w14:schemeClr w14:val="tx1"/>
            </w14:solidFill>
          </w14:textFill>
        </w:rPr>
        <w:t>耦</w:t>
      </w:r>
      <w:r>
        <w:rPr>
          <w:rFonts w:ascii="仿宋" w:hAnsi="仿宋" w:eastAsia="仿宋" w:cs="仿宋_GB2312"/>
          <w:bCs/>
          <w:color w:val="000000" w:themeColor="text1"/>
          <w:sz w:val="24"/>
          <w14:textFill>
            <w14:solidFill>
              <w14:schemeClr w14:val="tx1"/>
            </w14:solidFill>
          </w14:textFill>
        </w:rPr>
        <w:t>合器多电机同组混合使用；拆卸液力</w:t>
      </w:r>
      <w:r>
        <w:rPr>
          <w:rFonts w:hint="eastAsia" w:ascii="仿宋" w:hAnsi="仿宋" w:eastAsia="仿宋" w:cs="仿宋_GB2312"/>
          <w:bCs/>
          <w:color w:val="000000" w:themeColor="text1"/>
          <w:sz w:val="24"/>
          <w14:textFill>
            <w14:solidFill>
              <w14:schemeClr w14:val="tx1"/>
            </w14:solidFill>
          </w14:textFill>
        </w:rPr>
        <w:t>耦</w:t>
      </w:r>
      <w:r>
        <w:rPr>
          <w:rFonts w:ascii="仿宋" w:hAnsi="仿宋" w:eastAsia="仿宋" w:cs="仿宋_GB2312"/>
          <w:bCs/>
          <w:color w:val="000000" w:themeColor="text1"/>
          <w:sz w:val="24"/>
          <w14:textFill>
            <w14:solidFill>
              <w14:schemeClr w14:val="tx1"/>
            </w14:solidFill>
          </w14:textFill>
        </w:rPr>
        <w:t>合器的注</w:t>
      </w:r>
      <w:r>
        <w:rPr>
          <w:rFonts w:hint="eastAsia" w:ascii="仿宋" w:hAnsi="仿宋" w:eastAsia="仿宋" w:cs="仿宋_GB2312"/>
          <w:bCs/>
          <w:color w:val="000000" w:themeColor="text1"/>
          <w:sz w:val="24"/>
          <w14:textFill>
            <w14:solidFill>
              <w14:schemeClr w14:val="tx1"/>
            </w14:solidFill>
          </w14:textFill>
        </w:rPr>
        <w:t>液</w:t>
      </w:r>
      <w:r>
        <w:rPr>
          <w:rFonts w:ascii="仿宋" w:hAnsi="仿宋" w:eastAsia="仿宋" w:cs="仿宋_GB2312"/>
          <w:bCs/>
          <w:color w:val="000000" w:themeColor="text1"/>
          <w:sz w:val="24"/>
          <w14:textFill>
            <w14:solidFill>
              <w14:schemeClr w14:val="tx1"/>
            </w14:solidFill>
          </w14:textFill>
        </w:rPr>
        <w:t>塞、易熔塞时，应带手套，面部躲开喷</w:t>
      </w:r>
      <w:r>
        <w:rPr>
          <w:rFonts w:hint="eastAsia" w:ascii="仿宋" w:hAnsi="仿宋" w:eastAsia="仿宋" w:cs="仿宋_GB2312"/>
          <w:bCs/>
          <w:color w:val="000000" w:themeColor="text1"/>
          <w:sz w:val="24"/>
          <w14:textFill>
            <w14:solidFill>
              <w14:schemeClr w14:val="tx1"/>
            </w14:solidFill>
          </w14:textFill>
        </w:rPr>
        <w:t>液</w:t>
      </w:r>
      <w:r>
        <w:rPr>
          <w:rFonts w:ascii="仿宋" w:hAnsi="仿宋" w:eastAsia="仿宋" w:cs="仿宋_GB2312"/>
          <w:bCs/>
          <w:color w:val="000000" w:themeColor="text1"/>
          <w:sz w:val="24"/>
          <w14:textFill>
            <w14:solidFill>
              <w14:schemeClr w14:val="tx1"/>
            </w14:solidFill>
          </w14:textFill>
        </w:rPr>
        <w:t>方向，轻轻拧松几丝，待放气后再慢慢拧下，防止高温液伤人。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11、人员经常跨越的运输设备上方，必须安装牢固的人行过桥。</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12、所有机电设备必须保持清洁卫生，更换电机等设备时，要对轴头、结合面、电缆等采取保护措施。</w:t>
      </w:r>
    </w:p>
    <w:p>
      <w:pPr>
        <w:pStyle w:val="60"/>
        <w:keepNext w:val="0"/>
        <w:keepLines w:val="0"/>
        <w:pageBreakBefore w:val="0"/>
        <w:kinsoku/>
        <w:wordWrap/>
        <w:overflowPunct/>
        <w:topLinePunct w:val="0"/>
        <w:bidi w:val="0"/>
        <w:snapToGrid w:val="0"/>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二、电气设备管理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、电气设备操作人员必须经过专门培训并取得《矿山特殊工种作业资格证》，并持证上岗，非电气操作人员</w:t>
      </w:r>
      <w:r>
        <w:rPr>
          <w:rFonts w:hint="eastAsia" w:ascii="仿宋" w:hAnsi="仿宋" w:eastAsia="仿宋" w:cs="仿宋_GB2312"/>
          <w:bCs/>
          <w:color w:val="000000" w:themeColor="text1"/>
          <w:sz w:val="24"/>
          <w14:textFill>
            <w14:solidFill>
              <w14:schemeClr w14:val="tx1"/>
            </w14:solidFill>
          </w14:textFill>
        </w:rPr>
        <w:t>严禁</w:t>
      </w:r>
      <w:r>
        <w:rPr>
          <w:rFonts w:ascii="仿宋" w:hAnsi="仿宋" w:eastAsia="仿宋" w:cs="仿宋_GB2312"/>
          <w:bCs/>
          <w:color w:val="000000" w:themeColor="text1"/>
          <w:sz w:val="24"/>
          <w14:textFill>
            <w14:solidFill>
              <w14:schemeClr w14:val="tx1"/>
            </w14:solidFill>
          </w14:textFill>
        </w:rPr>
        <w:t>操作电气设备。</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ascii="仿宋" w:hAnsi="仿宋" w:eastAsia="仿宋" w:cs="仿宋_GB2312"/>
          <w:bCs/>
          <w:color w:val="000000" w:themeColor="text1"/>
          <w:sz w:val="24"/>
          <w14:textFill>
            <w14:solidFill>
              <w14:schemeClr w14:val="tx1"/>
            </w14:solidFill>
          </w14:textFill>
        </w:rPr>
        <w:t>、所有电工要熟练掌握电气设备的原理、性能和一般维修技术，并严格执行《煤矿安全规程》中有关规定</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杜绝各类失爆现象。</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凡</w:t>
      </w:r>
      <w:r>
        <w:rPr>
          <w:rFonts w:hint="eastAsia" w:ascii="仿宋" w:hAnsi="仿宋" w:eastAsia="仿宋" w:cs="仿宋_GB2312"/>
          <w:bCs/>
          <w:color w:val="000000" w:themeColor="text1"/>
          <w:sz w:val="24"/>
          <w14:textFill>
            <w14:solidFill>
              <w14:schemeClr w14:val="tx1"/>
            </w14:solidFill>
          </w14:textFill>
        </w:rPr>
        <w:t>进行电气</w:t>
      </w:r>
      <w:r>
        <w:rPr>
          <w:rFonts w:ascii="仿宋" w:hAnsi="仿宋" w:eastAsia="仿宋" w:cs="仿宋_GB2312"/>
          <w:bCs/>
          <w:color w:val="000000" w:themeColor="text1"/>
          <w:sz w:val="24"/>
          <w14:textFill>
            <w14:solidFill>
              <w14:schemeClr w14:val="tx1"/>
            </w14:solidFill>
          </w14:textFill>
        </w:rPr>
        <w:t>设备</w:t>
      </w:r>
      <w:r>
        <w:rPr>
          <w:rFonts w:hint="eastAsia" w:ascii="仿宋" w:hAnsi="仿宋" w:eastAsia="仿宋" w:cs="仿宋_GB2312"/>
          <w:bCs/>
          <w:color w:val="000000" w:themeColor="text1"/>
          <w:sz w:val="24"/>
          <w14:textFill>
            <w14:solidFill>
              <w14:schemeClr w14:val="tx1"/>
            </w14:solidFill>
          </w14:textFill>
        </w:rPr>
        <w:t>检修、检查、处理故障等时</w:t>
      </w:r>
      <w:r>
        <w:rPr>
          <w:rFonts w:ascii="仿宋" w:hAnsi="仿宋" w:eastAsia="仿宋" w:cs="仿宋_GB2312"/>
          <w:bCs/>
          <w:color w:val="000000" w:themeColor="text1"/>
          <w:sz w:val="24"/>
          <w14:textFill>
            <w14:solidFill>
              <w14:schemeClr w14:val="tx1"/>
            </w14:solidFill>
          </w14:textFill>
        </w:rPr>
        <w:t>，必须</w:t>
      </w:r>
      <w:r>
        <w:rPr>
          <w:rFonts w:hint="eastAsia" w:ascii="仿宋" w:hAnsi="仿宋" w:eastAsia="仿宋" w:cs="仿宋_GB2312"/>
          <w:bCs/>
          <w:color w:val="000000" w:themeColor="text1"/>
          <w:sz w:val="24"/>
          <w14:textFill>
            <w14:solidFill>
              <w14:schemeClr w14:val="tx1"/>
            </w14:solidFill>
          </w14:textFill>
        </w:rPr>
        <w:t>要有专人监护，严禁单人操作，并严格执行停送电制度，按</w:t>
      </w:r>
      <w:r>
        <w:rPr>
          <w:rFonts w:ascii="仿宋" w:hAnsi="仿宋" w:eastAsia="仿宋" w:cs="仿宋_GB2312"/>
          <w:bCs/>
          <w:color w:val="000000" w:themeColor="text1"/>
          <w:sz w:val="24"/>
          <w14:textFill>
            <w14:solidFill>
              <w14:schemeClr w14:val="tx1"/>
            </w14:solidFill>
          </w14:textFill>
        </w:rPr>
        <w:t>规定</w:t>
      </w:r>
      <w:r>
        <w:rPr>
          <w:rFonts w:hint="eastAsia" w:ascii="仿宋" w:hAnsi="仿宋" w:eastAsia="仿宋" w:cs="仿宋_GB2312"/>
          <w:bCs/>
          <w:color w:val="000000" w:themeColor="text1"/>
          <w:sz w:val="24"/>
          <w14:textFill>
            <w14:solidFill>
              <w14:schemeClr w14:val="tx1"/>
            </w14:solidFill>
          </w14:textFill>
        </w:rPr>
        <w:t>程序进行</w:t>
      </w:r>
      <w:r>
        <w:rPr>
          <w:rFonts w:ascii="仿宋" w:hAnsi="仿宋" w:eastAsia="仿宋" w:cs="仿宋_GB2312"/>
          <w:bCs/>
          <w:color w:val="000000" w:themeColor="text1"/>
          <w:sz w:val="24"/>
          <w14:textFill>
            <w14:solidFill>
              <w14:schemeClr w14:val="tx1"/>
            </w14:solidFill>
          </w14:textFill>
        </w:rPr>
        <w:t>验、放电。</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w:t>
      </w:r>
      <w:r>
        <w:rPr>
          <w:rFonts w:ascii="仿宋" w:hAnsi="仿宋" w:eastAsia="仿宋" w:cs="仿宋_GB2312"/>
          <w:bCs/>
          <w:color w:val="000000" w:themeColor="text1"/>
          <w:sz w:val="24"/>
          <w14:textFill>
            <w14:solidFill>
              <w14:schemeClr w14:val="tx1"/>
            </w14:solidFill>
          </w14:textFill>
        </w:rPr>
        <w:t>、定期检查电气设备的防爆性能、绝缘性能、保护性能，所有电气设备严禁失爆，</w:t>
      </w:r>
      <w:r>
        <w:rPr>
          <w:rFonts w:hint="eastAsia" w:ascii="仿宋" w:hAnsi="仿宋" w:eastAsia="仿宋" w:cs="仿宋_GB2312"/>
          <w:bCs/>
          <w:color w:val="000000" w:themeColor="text1"/>
          <w:sz w:val="24"/>
          <w14:textFill>
            <w14:solidFill>
              <w14:schemeClr w14:val="tx1"/>
            </w14:solidFill>
          </w14:textFill>
        </w:rPr>
        <w:t>动力电缆和“四小线”（照明、通信、信号和控制线）必须使用阻燃电缆。</w:t>
      </w:r>
      <w:r>
        <w:rPr>
          <w:rFonts w:ascii="仿宋" w:hAnsi="仿宋" w:eastAsia="仿宋" w:cs="仿宋_GB2312"/>
          <w:bCs/>
          <w:color w:val="000000" w:themeColor="text1"/>
          <w:sz w:val="24"/>
          <w14:textFill>
            <w14:solidFill>
              <w14:schemeClr w14:val="tx1"/>
            </w14:solidFill>
          </w14:textFill>
        </w:rPr>
        <w:t>紧固部位都应达到防爆要求，接地极符合标准。对不符合要求的设备和配件要</w:t>
      </w:r>
      <w:r>
        <w:rPr>
          <w:rFonts w:hint="eastAsia" w:ascii="仿宋" w:hAnsi="仿宋" w:eastAsia="仿宋" w:cs="仿宋_GB2312"/>
          <w:bCs/>
          <w:color w:val="000000" w:themeColor="text1"/>
          <w:sz w:val="24"/>
          <w14:textFill>
            <w14:solidFill>
              <w14:schemeClr w14:val="tx1"/>
            </w14:solidFill>
          </w14:textFill>
        </w:rPr>
        <w:t>立即处理或</w:t>
      </w:r>
      <w:r>
        <w:rPr>
          <w:rFonts w:ascii="仿宋" w:hAnsi="仿宋" w:eastAsia="仿宋" w:cs="仿宋_GB2312"/>
          <w:bCs/>
          <w:color w:val="000000" w:themeColor="text1"/>
          <w:sz w:val="24"/>
          <w14:textFill>
            <w14:solidFill>
              <w14:schemeClr w14:val="tx1"/>
            </w14:solidFill>
          </w14:textFill>
        </w:rPr>
        <w:t>更换，做到安全生产。</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w:t>
      </w:r>
      <w:r>
        <w:rPr>
          <w:rFonts w:ascii="仿宋" w:hAnsi="仿宋" w:eastAsia="仿宋" w:cs="仿宋_GB2312"/>
          <w:bCs/>
          <w:color w:val="000000" w:themeColor="text1"/>
          <w:sz w:val="24"/>
          <w14:textFill>
            <w14:solidFill>
              <w14:schemeClr w14:val="tx1"/>
            </w14:solidFill>
          </w14:textFill>
        </w:rPr>
        <w:t>、维修期间，电缆接头压线处必须去掉屏蔽层，以防误接地，电缆接地要良好地接在设备内部接地螺丝上，不得兼作</w:t>
      </w:r>
      <w:r>
        <w:rPr>
          <w:rFonts w:hint="eastAsia" w:ascii="仿宋" w:hAnsi="仿宋" w:eastAsia="仿宋" w:cs="仿宋_GB2312"/>
          <w:bCs/>
          <w:color w:val="000000" w:themeColor="text1"/>
          <w:sz w:val="24"/>
          <w14:textFill>
            <w14:solidFill>
              <w14:schemeClr w14:val="tx1"/>
            </w14:solidFill>
          </w14:textFill>
        </w:rPr>
        <w:t>他</w:t>
      </w:r>
      <w:r>
        <w:rPr>
          <w:rFonts w:ascii="仿宋" w:hAnsi="仿宋" w:eastAsia="仿宋" w:cs="仿宋_GB2312"/>
          <w:bCs/>
          <w:color w:val="000000" w:themeColor="text1"/>
          <w:sz w:val="24"/>
          <w14:textFill>
            <w14:solidFill>
              <w14:schemeClr w14:val="tx1"/>
            </w14:solidFill>
          </w14:textFill>
        </w:rPr>
        <w:t>用。</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、电</w:t>
      </w:r>
      <w:r>
        <w:rPr>
          <w:rFonts w:hint="eastAsia" w:ascii="仿宋" w:hAnsi="仿宋" w:eastAsia="仿宋" w:cs="仿宋_GB2312"/>
          <w:bCs/>
          <w:color w:val="000000" w:themeColor="text1"/>
          <w:sz w:val="24"/>
          <w14:textFill>
            <w14:solidFill>
              <w14:schemeClr w14:val="tx1"/>
            </w14:solidFill>
          </w14:textFill>
        </w:rPr>
        <w:t>气</w:t>
      </w:r>
      <w:r>
        <w:rPr>
          <w:rFonts w:ascii="仿宋" w:hAnsi="仿宋" w:eastAsia="仿宋" w:cs="仿宋_GB2312"/>
          <w:bCs/>
          <w:color w:val="000000" w:themeColor="text1"/>
          <w:sz w:val="24"/>
          <w14:textFill>
            <w14:solidFill>
              <w14:schemeClr w14:val="tx1"/>
            </w14:solidFill>
          </w14:textFill>
        </w:rPr>
        <w:t>设备安装后，必须做远方人工漏电试验，并记录上报，每月至少一次对检测装置进行远方人工漏电试验，检漏装置应灵敏可靠。</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w:t>
      </w:r>
      <w:r>
        <w:rPr>
          <w:rFonts w:ascii="仿宋" w:hAnsi="仿宋" w:eastAsia="仿宋" w:cs="仿宋_GB2312"/>
          <w:bCs/>
          <w:color w:val="000000" w:themeColor="text1"/>
          <w:sz w:val="24"/>
          <w14:textFill>
            <w14:solidFill>
              <w14:schemeClr w14:val="tx1"/>
            </w14:solidFill>
          </w14:textFill>
        </w:rPr>
        <w:t>、所有电气设备保护装置灵敏可靠，整定值准确，不得随意调整整定值，</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p>
    <w:p>
      <w:pPr>
        <w:keepNext w:val="0"/>
        <w:keepLines w:val="0"/>
        <w:pageBreakBefore w:val="0"/>
        <w:kinsoku/>
        <w:wordWrap/>
        <w:overflowPunct/>
        <w:topLinePunct w:val="0"/>
        <w:autoSpaceDE w:val="0"/>
        <w:autoSpaceDN w:val="0"/>
        <w:bidi w:val="0"/>
        <w:adjustRightInd w:val="0"/>
        <w:snapToGrid w:val="0"/>
        <w:spacing w:line="360" w:lineRule="auto"/>
        <w:ind w:left="0" w:leftChars="0" w:firstLine="0" w:firstLineChars="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严禁甩保护运行。</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w:t>
      </w:r>
      <w:r>
        <w:rPr>
          <w:rFonts w:ascii="仿宋" w:hAnsi="仿宋" w:eastAsia="仿宋" w:cs="仿宋_GB2312"/>
          <w:bCs/>
          <w:color w:val="000000" w:themeColor="text1"/>
          <w:sz w:val="24"/>
          <w14:textFill>
            <w14:solidFill>
              <w14:schemeClr w14:val="tx1"/>
            </w14:solidFill>
          </w14:textFill>
        </w:rPr>
        <w:t>、井下不得带电检修</w:t>
      </w:r>
      <w:r>
        <w:rPr>
          <w:rFonts w:hint="eastAsia" w:ascii="仿宋" w:hAnsi="仿宋" w:eastAsia="仿宋" w:cs="仿宋_GB2312"/>
          <w:bCs/>
          <w:color w:val="000000" w:themeColor="text1"/>
          <w:sz w:val="24"/>
          <w14:textFill>
            <w14:solidFill>
              <w14:schemeClr w14:val="tx1"/>
            </w14:solidFill>
          </w14:textFill>
        </w:rPr>
        <w:t>电气设备。严禁带电搬迁非本安型电气设备、电缆，采用电缆供电的移动式用电设备不受此限。</w:t>
      </w:r>
      <w:r>
        <w:rPr>
          <w:rFonts w:ascii="仿宋" w:hAnsi="仿宋" w:eastAsia="仿宋" w:cs="仿宋_GB2312"/>
          <w:bCs/>
          <w:color w:val="000000" w:themeColor="text1"/>
          <w:sz w:val="24"/>
          <w14:textFill>
            <w14:solidFill>
              <w14:schemeClr w14:val="tx1"/>
            </w14:solidFill>
          </w14:textFill>
        </w:rPr>
        <w:t>检修或搬迁前，必须切断</w:t>
      </w:r>
      <w:r>
        <w:rPr>
          <w:rFonts w:hint="eastAsia" w:ascii="仿宋" w:hAnsi="仿宋" w:eastAsia="仿宋" w:cs="仿宋_GB2312"/>
          <w:bCs/>
          <w:color w:val="000000" w:themeColor="text1"/>
          <w:sz w:val="24"/>
          <w14:textFill>
            <w14:solidFill>
              <w14:schemeClr w14:val="tx1"/>
            </w14:solidFill>
          </w14:textFill>
        </w:rPr>
        <w:t>上级</w:t>
      </w:r>
      <w:r>
        <w:rPr>
          <w:rFonts w:ascii="仿宋" w:hAnsi="仿宋" w:eastAsia="仿宋" w:cs="仿宋_GB2312"/>
          <w:bCs/>
          <w:color w:val="000000" w:themeColor="text1"/>
          <w:sz w:val="24"/>
          <w14:textFill>
            <w14:solidFill>
              <w14:schemeClr w14:val="tx1"/>
            </w14:solidFill>
          </w14:textFill>
        </w:rPr>
        <w:t>电源，检查其巷道风流中瓦斯浓度低于</w:t>
      </w:r>
      <w:r>
        <w:rPr>
          <w:rFonts w:hint="eastAsia" w:ascii="仿宋" w:hAnsi="仿宋" w:eastAsia="仿宋" w:cs="仿宋_GB2312"/>
          <w:bCs/>
          <w:color w:val="000000" w:themeColor="text1"/>
          <w:sz w:val="24"/>
          <w14:textFill>
            <w14:solidFill>
              <w14:schemeClr w14:val="tx1"/>
            </w14:solidFill>
          </w14:textFill>
        </w:rPr>
        <w:t>0.8</w:t>
      </w:r>
      <w:r>
        <w:rPr>
          <w:rFonts w:ascii="仿宋" w:hAnsi="仿宋" w:eastAsia="仿宋" w:cs="仿宋_GB2312"/>
          <w:bCs/>
          <w:color w:val="000000" w:themeColor="text1"/>
          <w:sz w:val="24"/>
          <w14:textFill>
            <w14:solidFill>
              <w14:schemeClr w14:val="tx1"/>
            </w14:solidFill>
          </w14:textFill>
        </w:rPr>
        <w:t>％时，再用与电源电压相适应的验电笔检验；检验无电后，方可进行导体对地放电。控制设备内部安有放电装置的，不受此限。所有开关的闭锁装置必须能可靠地防止擅自送电，防止擅自开盖操作，开关把手在切断电源时必须闭锁，并悬挂“有人工作，不准送电”字样的警示牌，只有执行这项工作的人员才有权取下此牌送电。</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9</w:t>
      </w:r>
      <w:r>
        <w:rPr>
          <w:rFonts w:ascii="仿宋" w:hAnsi="仿宋" w:eastAsia="仿宋" w:cs="仿宋_GB2312"/>
          <w:bCs/>
          <w:color w:val="000000" w:themeColor="text1"/>
          <w:sz w:val="24"/>
          <w14:textFill>
            <w14:solidFill>
              <w14:schemeClr w14:val="tx1"/>
            </w14:solidFill>
          </w14:textFill>
        </w:rPr>
        <w:t>、工作面及其他作业地点风流中、电动机或其开关安设地点附近20m以内风流中的瓦斯浓度达到1.5％时，必须停止工作，切断电源，撤出人员，进行处理。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10、操作高压电气设备主回路时，操作人员必须戴绝缘手套，并穿电工绝缘靴、站在绝缘台上。</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11、电缆敷设应符合以下规定：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动力电缆和“四小线”（指照明、通信、信号和控制线）必须使用阻燃电缆，严禁用冷补头代替接线盒，外表不得有积尘。</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ascii="仿宋" w:hAnsi="仿宋" w:eastAsia="仿宋" w:cs="仿宋_GB2312"/>
          <w:bCs/>
          <w:color w:val="000000" w:themeColor="text1"/>
          <w:sz w:val="24"/>
          <w14:textFill>
            <w14:solidFill>
              <w14:schemeClr w14:val="tx1"/>
            </w14:solidFill>
          </w14:textFill>
        </w:rPr>
        <w:t>各种电缆分类吊挂整齐，电缆不得拖地。</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电缆不应悬挂在风管或水管上，不得遭受淋水。电缆上严禁悬挂任何物件。电缆与压风管、供水管在巷道同一侧敷设时，必须敷设在管子上方，并保持0.3m以上的距离。电缆吊挂</w:t>
      </w:r>
      <w:r>
        <w:rPr>
          <w:rFonts w:hint="eastAsia" w:ascii="仿宋" w:hAnsi="仿宋" w:eastAsia="仿宋" w:cs="仿宋_GB2312"/>
          <w:bCs/>
          <w:color w:val="000000" w:themeColor="text1"/>
          <w:sz w:val="24"/>
          <w14:textFill>
            <w14:solidFill>
              <w14:schemeClr w14:val="tx1"/>
            </w14:solidFill>
          </w14:textFill>
        </w:rPr>
        <w:t>点</w:t>
      </w:r>
      <w:r>
        <w:rPr>
          <w:rFonts w:ascii="仿宋" w:hAnsi="仿宋" w:eastAsia="仿宋" w:cs="仿宋_GB2312"/>
          <w:bCs/>
          <w:color w:val="000000" w:themeColor="text1"/>
          <w:sz w:val="24"/>
          <w14:textFill>
            <w14:solidFill>
              <w14:schemeClr w14:val="tx1"/>
            </w14:solidFill>
          </w14:textFill>
        </w:rPr>
        <w:t>间距</w:t>
      </w:r>
      <w:r>
        <w:rPr>
          <w:rFonts w:hint="eastAsia" w:ascii="仿宋" w:hAnsi="仿宋" w:eastAsia="仿宋" w:cs="仿宋_GB2312"/>
          <w:bCs/>
          <w:color w:val="000000" w:themeColor="text1"/>
          <w:sz w:val="24"/>
          <w14:textFill>
            <w14:solidFill>
              <w14:schemeClr w14:val="tx1"/>
            </w14:solidFill>
          </w14:textFill>
        </w:rPr>
        <w:t>不大于</w:t>
      </w:r>
      <w:r>
        <w:rPr>
          <w:rFonts w:ascii="仿宋" w:hAnsi="仿宋" w:eastAsia="仿宋" w:cs="仿宋_GB2312"/>
          <w:bCs/>
          <w:color w:val="000000" w:themeColor="text1"/>
          <w:sz w:val="24"/>
          <w14:textFill>
            <w14:solidFill>
              <w14:schemeClr w14:val="tx1"/>
            </w14:solidFill>
          </w14:textFill>
        </w:rPr>
        <w:t>3m，电缆吊挂最低一根高度不低于1.2m。</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w:t>
      </w:r>
      <w:r>
        <w:rPr>
          <w:rFonts w:ascii="仿宋" w:hAnsi="仿宋" w:eastAsia="仿宋" w:cs="仿宋_GB2312"/>
          <w:bCs/>
          <w:color w:val="000000" w:themeColor="text1"/>
          <w:sz w:val="24"/>
          <w14:textFill>
            <w14:solidFill>
              <w14:schemeClr w14:val="tx1"/>
            </w14:solidFill>
          </w14:textFill>
        </w:rPr>
        <w:t>高、低压电力电缆敷设在巷道同一侧时，高、低压电缆之间的距离应大于100mm。高压电缆之间、低压电缆之间的距离不得小于50mm。</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w:t>
      </w:r>
      <w:r>
        <w:rPr>
          <w:rFonts w:ascii="仿宋" w:hAnsi="仿宋" w:eastAsia="仿宋" w:cs="仿宋_GB2312"/>
          <w:bCs/>
          <w:color w:val="000000" w:themeColor="text1"/>
          <w:sz w:val="24"/>
          <w14:textFill>
            <w14:solidFill>
              <w14:schemeClr w14:val="tx1"/>
            </w14:solidFill>
          </w14:textFill>
        </w:rPr>
        <w:t>井下巷道内的电缆，沿线每隔一定距离、拐弯或分支点以及连接不同直径电缆的接线盒两端、穿墙电缆的墙的两边都应设置注有编号、用途、电压和截面的标志牌</w:t>
      </w:r>
      <w:r>
        <w:rPr>
          <w:rFonts w:hint="eastAsia" w:ascii="仿宋" w:hAnsi="仿宋" w:eastAsia="仿宋" w:cs="仿宋_GB2312"/>
          <w:bCs/>
          <w:color w:val="000000" w:themeColor="text1"/>
          <w:sz w:val="24"/>
          <w14:textFill>
            <w14:solidFill>
              <w14:schemeClr w14:val="tx1"/>
            </w14:solidFill>
          </w14:textFill>
        </w:rPr>
        <w:t>；电缆穿墙部分应当用套管保护，并严密封堵管口。</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工作面各种移动式采掘机械的橡套电缆，必须严加保护，避免水淋、撞击、挤压和炮崩。每班必须进行检查，发现损伤，及时处理。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w:t>
      </w:r>
      <w:r>
        <w:rPr>
          <w:rFonts w:ascii="仿宋" w:hAnsi="仿宋" w:eastAsia="仿宋" w:cs="仿宋_GB2312"/>
          <w:bCs/>
          <w:color w:val="000000" w:themeColor="text1"/>
          <w:sz w:val="24"/>
          <w14:textFill>
            <w14:solidFill>
              <w14:schemeClr w14:val="tx1"/>
            </w14:solidFill>
          </w14:textFill>
        </w:rPr>
        <w:t>巷道内的通信和信号电缆应敷设在电力电缆上方0.1m以上的地方。</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（8）电缆的连接应遵守以下规定：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①电缆与电气设备连接时，电缆线芯必须使用齿形压线板（卡爪）、线鼻子、或者快速连接器与电气设备进行连接。</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②不同型电缆之间严禁直接连接，必须经过符合要求的接线盒、连接器或者母线盒进行连接。</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③同型橡套电缆的修补连接（包括绝缘、护套已损坏的橡套电缆的修补）必须采用阻燃材料进行硫化热补或者与热补具有同等效能的冷补。在地面热补或者冷补后的橡套电缆，必须经浸水耐压试验合格后方可入井使用。</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12、接地极的安设应遵守《煤矿安全规程》第四百七十八、四百七十九、四百八十条规定。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 xml:space="preserve">、工作面供电做到“三无、四有、两全、三齐、三坚持”： </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三无——无“鸡爪子”，无“羊尾巴”，无明接头。</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四有——有过流和漏电保护，有螺钉和弹簧垫，有密封圈和挡板，有接地装置。</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两齐——电缆悬挂整齐，设备清洁整齐。</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三全——保护装置全，绝缘用具全，图纸资料全。</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三坚持——坚持使用检漏继电器，坚持使用</w:t>
      </w:r>
      <w:r>
        <w:rPr>
          <w:rFonts w:hint="eastAsia" w:ascii="仿宋" w:hAnsi="仿宋" w:eastAsia="仿宋" w:cs="仿宋_GB2312"/>
          <w:bCs/>
          <w:color w:val="000000" w:themeColor="text1"/>
          <w:sz w:val="24"/>
          <w14:textFill>
            <w14:solidFill>
              <w14:schemeClr w14:val="tx1"/>
            </w14:solidFill>
          </w14:textFill>
        </w:rPr>
        <w:t>综合保护装置</w:t>
      </w:r>
      <w:r>
        <w:rPr>
          <w:rFonts w:ascii="仿宋" w:hAnsi="仿宋" w:eastAsia="仿宋" w:cs="仿宋_GB2312"/>
          <w:bCs/>
          <w:color w:val="000000" w:themeColor="text1"/>
          <w:sz w:val="24"/>
          <w14:textFill>
            <w14:solidFill>
              <w14:schemeClr w14:val="tx1"/>
            </w14:solidFill>
          </w14:textFill>
        </w:rPr>
        <w:t>，坚持使用照明和信号综合保护。</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4</w:t>
      </w:r>
      <w:r>
        <w:rPr>
          <w:rFonts w:ascii="仿宋" w:hAnsi="仿宋" w:eastAsia="仿宋" w:cs="仿宋_GB2312"/>
          <w:bCs/>
          <w:color w:val="000000" w:themeColor="text1"/>
          <w:sz w:val="24"/>
          <w14:textFill>
            <w14:solidFill>
              <w14:schemeClr w14:val="tx1"/>
            </w14:solidFill>
          </w14:textFill>
        </w:rPr>
        <w:t>、低压供电系统必须装设检漏保护或有选择性的漏电保护装置，并保证灵敏可靠。每天做一次漏电跳闸试验，每月做一次远端漏电跳闸试验（台台试），并及时填写试验记录。</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15</w:t>
      </w:r>
      <w:r>
        <w:rPr>
          <w:rFonts w:ascii="仿宋" w:hAnsi="仿宋" w:eastAsia="仿宋" w:cs="仿宋_GB2312"/>
          <w:bCs/>
          <w:color w:val="000000" w:themeColor="text1"/>
          <w:sz w:val="24"/>
          <w14:textFill>
            <w14:solidFill>
              <w14:schemeClr w14:val="tx1"/>
            </w14:solidFill>
          </w14:textFill>
        </w:rPr>
        <w:t>、手持式电器的操作手柄</w:t>
      </w:r>
      <w:r>
        <w:rPr>
          <w:rFonts w:hint="eastAsia" w:ascii="仿宋" w:hAnsi="仿宋" w:eastAsia="仿宋" w:cs="仿宋_GB2312"/>
          <w:bCs/>
          <w:color w:val="000000" w:themeColor="text1"/>
          <w:sz w:val="24"/>
          <w14:textFill>
            <w14:solidFill>
              <w14:schemeClr w14:val="tx1"/>
            </w14:solidFill>
          </w14:textFill>
        </w:rPr>
        <w:t>和</w:t>
      </w:r>
      <w:r>
        <w:rPr>
          <w:rFonts w:ascii="仿宋" w:hAnsi="仿宋" w:eastAsia="仿宋" w:cs="仿宋_GB2312"/>
          <w:bCs/>
          <w:color w:val="000000" w:themeColor="text1"/>
          <w:sz w:val="24"/>
          <w14:textFill>
            <w14:solidFill>
              <w14:schemeClr w14:val="tx1"/>
            </w14:solidFill>
          </w14:textFill>
        </w:rPr>
        <w:t>工作中必须接触的部分要有良好的绝缘。</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16</w:t>
      </w:r>
      <w:r>
        <w:rPr>
          <w:rFonts w:ascii="仿宋" w:hAnsi="仿宋" w:eastAsia="仿宋" w:cs="仿宋_GB2312"/>
          <w:bCs/>
          <w:color w:val="000000" w:themeColor="text1"/>
          <w:sz w:val="24"/>
          <w14:textFill>
            <w14:solidFill>
              <w14:schemeClr w14:val="tx1"/>
            </w14:solidFill>
          </w14:textFill>
        </w:rPr>
        <w:t>、工作面扩音</w:t>
      </w:r>
      <w:r>
        <w:rPr>
          <w:rFonts w:hint="eastAsia" w:ascii="仿宋" w:hAnsi="仿宋" w:eastAsia="仿宋" w:cs="仿宋_GB2312"/>
          <w:bCs/>
          <w:color w:val="000000" w:themeColor="text1"/>
          <w:sz w:val="24"/>
          <w14:textFill>
            <w14:solidFill>
              <w14:schemeClr w14:val="tx1"/>
            </w14:solidFill>
          </w14:textFill>
        </w:rPr>
        <w:t>闭锁</w:t>
      </w:r>
      <w:r>
        <w:rPr>
          <w:rFonts w:ascii="仿宋" w:hAnsi="仿宋" w:eastAsia="仿宋" w:cs="仿宋_GB2312"/>
          <w:bCs/>
          <w:color w:val="000000" w:themeColor="text1"/>
          <w:sz w:val="24"/>
          <w14:textFill>
            <w14:solidFill>
              <w14:schemeClr w14:val="tx1"/>
            </w14:solidFill>
          </w14:textFill>
        </w:rPr>
        <w:t>电话要求固定牢固，位置适宜，通话清晰，闭锁灵敏可靠，出现故障时必须及时处理，否则不得开机。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17</w:t>
      </w:r>
      <w:r>
        <w:rPr>
          <w:rFonts w:ascii="仿宋" w:hAnsi="仿宋" w:eastAsia="仿宋" w:cs="仿宋_GB2312"/>
          <w:bCs/>
          <w:color w:val="000000" w:themeColor="text1"/>
          <w:sz w:val="24"/>
          <w14:textFill>
            <w14:solidFill>
              <w14:schemeClr w14:val="tx1"/>
            </w14:solidFill>
          </w14:textFill>
        </w:rPr>
        <w:t>、变电站应在无淋水地点，若有淋水应搭设防雨棚，保持电气设备清洁；并定期检查电气设备的完好状况。</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FF0000"/>
          <w:sz w:val="24"/>
          <w:u w:val="single"/>
        </w:rPr>
      </w:pPr>
      <w:r>
        <w:rPr>
          <w:rFonts w:hint="eastAsia" w:ascii="仿宋" w:hAnsi="仿宋" w:eastAsia="仿宋" w:cs="仿宋_GB2312"/>
          <w:bCs/>
          <w:color w:val="000000" w:themeColor="text1"/>
          <w:sz w:val="24"/>
          <w14:textFill>
            <w14:solidFill>
              <w14:schemeClr w14:val="tx1"/>
            </w14:solidFill>
          </w14:textFill>
        </w:rPr>
        <w:t>18</w:t>
      </w:r>
      <w:r>
        <w:rPr>
          <w:rFonts w:ascii="仿宋" w:hAnsi="仿宋" w:eastAsia="仿宋" w:cs="仿宋_GB2312"/>
          <w:bCs/>
          <w:color w:val="000000" w:themeColor="text1"/>
          <w:sz w:val="24"/>
          <w14:textFill>
            <w14:solidFill>
              <w14:schemeClr w14:val="tx1"/>
            </w14:solidFill>
          </w14:textFill>
        </w:rPr>
        <w:t>、拆除、移动电缆时，插销、接线盒应妥善保管，电缆盘好，保持足够弯曲半径，拆除后第一次试运转要按设备试运转程序操作。</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lang w:val="en-US" w:eastAsia="zh-CN"/>
          <w14:textFill>
            <w14:solidFill>
              <w14:schemeClr w14:val="tx1"/>
            </w14:solidFill>
          </w14:textFill>
        </w:rPr>
        <w:t>19</w:t>
      </w:r>
      <w:r>
        <w:rPr>
          <w:rFonts w:ascii="仿宋" w:hAnsi="仿宋" w:eastAsia="仿宋" w:cs="仿宋_GB2312"/>
          <w:bCs/>
          <w:color w:val="000000" w:themeColor="text1"/>
          <w:sz w:val="24"/>
          <w14:textFill>
            <w14:solidFill>
              <w14:schemeClr w14:val="tx1"/>
            </w14:solidFill>
          </w14:textFill>
        </w:rPr>
        <w:t>、井下照明和信号装置，应采用设有短路、过负荷、漏电保护功能的综合保护装置。</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2</w:t>
      </w:r>
      <w:r>
        <w:rPr>
          <w:rFonts w:hint="eastAsia" w:ascii="仿宋" w:hAnsi="仿宋" w:eastAsia="仿宋" w:cs="仿宋_GB2312"/>
          <w:bCs/>
          <w:color w:val="000000" w:themeColor="text1"/>
          <w:sz w:val="24"/>
          <w:lang w:val="en-US" w:eastAsia="zh-CN"/>
          <w14:textFill>
            <w14:solidFill>
              <w14:schemeClr w14:val="tx1"/>
            </w14:solidFill>
          </w14:textFill>
        </w:rPr>
        <w:t>0</w:t>
      </w:r>
      <w:r>
        <w:rPr>
          <w:rFonts w:ascii="仿宋" w:hAnsi="仿宋" w:eastAsia="仿宋" w:cs="仿宋_GB2312"/>
          <w:bCs/>
          <w:color w:val="000000" w:themeColor="text1"/>
          <w:sz w:val="24"/>
          <w14:textFill>
            <w14:solidFill>
              <w14:schemeClr w14:val="tx1"/>
            </w14:solidFill>
          </w14:textFill>
        </w:rPr>
        <w:t>、电气设备做到台台上架，并有标志牌。</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hint="eastAsia" w:ascii="仿宋" w:hAnsi="仿宋" w:eastAsia="仿宋" w:cs="仿宋_GB2312"/>
          <w:bCs/>
          <w:color w:val="000000" w:themeColor="text1"/>
          <w:sz w:val="24"/>
          <w:lang w:val="en-US" w:eastAsia="zh-CN"/>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电</w:t>
      </w:r>
      <w:r>
        <w:rPr>
          <w:rFonts w:hint="eastAsia" w:ascii="仿宋" w:hAnsi="仿宋" w:eastAsia="仿宋" w:cs="仿宋_GB2312"/>
          <w:bCs/>
          <w:color w:val="000000" w:themeColor="text1"/>
          <w:sz w:val="24"/>
          <w14:textFill>
            <w14:solidFill>
              <w14:schemeClr w14:val="tx1"/>
            </w14:solidFill>
          </w14:textFill>
        </w:rPr>
        <w:t>气</w:t>
      </w:r>
      <w:r>
        <w:rPr>
          <w:rFonts w:ascii="仿宋" w:hAnsi="仿宋" w:eastAsia="仿宋" w:cs="仿宋_GB2312"/>
          <w:bCs/>
          <w:color w:val="000000" w:themeColor="text1"/>
          <w:sz w:val="24"/>
          <w14:textFill>
            <w14:solidFill>
              <w14:schemeClr w14:val="tx1"/>
            </w14:solidFill>
          </w14:textFill>
        </w:rPr>
        <w:t>设备的停送电</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严格执行停、送电制度，要坚持停电闭锁、挂牌，专人看护，</w:t>
      </w:r>
      <w:r>
        <w:rPr>
          <w:rFonts w:hint="eastAsia" w:ascii="仿宋" w:hAnsi="仿宋" w:eastAsia="仿宋" w:cs="仿宋_GB2312"/>
          <w:bCs/>
          <w:color w:val="000000" w:themeColor="text1"/>
          <w:sz w:val="24"/>
          <w14:textFill>
            <w14:solidFill>
              <w14:schemeClr w14:val="tx1"/>
            </w14:solidFill>
          </w14:textFill>
        </w:rPr>
        <w:t>坚持“</w:t>
      </w:r>
      <w:r>
        <w:rPr>
          <w:rFonts w:ascii="仿宋" w:hAnsi="仿宋" w:eastAsia="仿宋" w:cs="仿宋_GB2312"/>
          <w:bCs/>
          <w:color w:val="000000" w:themeColor="text1"/>
          <w:sz w:val="24"/>
          <w14:textFill>
            <w14:solidFill>
              <w14:schemeClr w14:val="tx1"/>
            </w14:solidFill>
          </w14:textFill>
        </w:rPr>
        <w:t>谁停电、谁送电</w:t>
      </w:r>
      <w:r>
        <w:rPr>
          <w:rFonts w:hint="eastAsia" w:ascii="仿宋" w:hAnsi="仿宋" w:eastAsia="仿宋" w:cs="仿宋_GB2312"/>
          <w:bCs/>
          <w:color w:val="000000" w:themeColor="text1"/>
          <w:sz w:val="24"/>
          <w14:textFill>
            <w14:solidFill>
              <w14:schemeClr w14:val="tx1"/>
            </w14:solidFill>
          </w14:textFill>
        </w:rPr>
        <w:t>”的原则，</w:t>
      </w:r>
      <w:r>
        <w:rPr>
          <w:rFonts w:ascii="仿宋" w:hAnsi="仿宋" w:eastAsia="仿宋" w:cs="仿宋_GB2312"/>
          <w:bCs/>
          <w:color w:val="000000" w:themeColor="text1"/>
          <w:sz w:val="24"/>
          <w14:textFill>
            <w14:solidFill>
              <w14:schemeClr w14:val="tx1"/>
            </w14:solidFill>
          </w14:textFill>
        </w:rPr>
        <w:t>严禁约时联系</w:t>
      </w:r>
      <w:r>
        <w:rPr>
          <w:rFonts w:hint="eastAsia" w:ascii="仿宋" w:hAnsi="仿宋" w:eastAsia="仿宋" w:cs="仿宋_GB2312"/>
          <w:bCs/>
          <w:color w:val="000000" w:themeColor="text1"/>
          <w:sz w:val="24"/>
          <w14:textFill>
            <w14:solidFill>
              <w14:schemeClr w14:val="tx1"/>
            </w14:solidFill>
          </w14:textFill>
        </w:rPr>
        <w:t>停</w:t>
      </w:r>
      <w:r>
        <w:rPr>
          <w:rFonts w:ascii="仿宋" w:hAnsi="仿宋" w:eastAsia="仿宋" w:cs="仿宋_GB2312"/>
          <w:bCs/>
          <w:color w:val="000000" w:themeColor="text1"/>
          <w:sz w:val="24"/>
          <w14:textFill>
            <w14:solidFill>
              <w14:schemeClr w14:val="tx1"/>
            </w14:solidFill>
          </w14:textFill>
        </w:rPr>
        <w:t>送电</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ascii="仿宋" w:hAnsi="仿宋" w:eastAsia="仿宋" w:cs="仿宋_GB2312"/>
          <w:bCs/>
          <w:color w:val="000000" w:themeColor="text1"/>
          <w:sz w:val="24"/>
          <w14:textFill>
            <w14:solidFill>
              <w14:schemeClr w14:val="tx1"/>
            </w14:solidFill>
          </w14:textFill>
        </w:rPr>
        <w:t>工作面的移动式电器，每班工作结束后或司机离开设备时，必须立即切断电源，并打开离合器。</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送电前必须将高压、低压电缆悬挂好，高度以矿车掉道时碰不到为准，并要悬挂整齐。</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w:t>
      </w:r>
      <w:r>
        <w:rPr>
          <w:rFonts w:ascii="仿宋" w:hAnsi="仿宋" w:eastAsia="仿宋" w:cs="仿宋_GB2312"/>
          <w:bCs/>
          <w:color w:val="000000" w:themeColor="text1"/>
          <w:sz w:val="24"/>
          <w14:textFill>
            <w14:solidFill>
              <w14:schemeClr w14:val="tx1"/>
            </w14:solidFill>
          </w14:textFill>
        </w:rPr>
        <w:t>送电前应对线路、设备全面检查，并测量其绝缘，待安全无误后方可送电。</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w:t>
      </w:r>
      <w:r>
        <w:rPr>
          <w:rFonts w:ascii="仿宋" w:hAnsi="仿宋" w:eastAsia="仿宋" w:cs="仿宋_GB2312"/>
          <w:bCs/>
          <w:color w:val="000000" w:themeColor="text1"/>
          <w:sz w:val="24"/>
          <w14:textFill>
            <w14:solidFill>
              <w14:schemeClr w14:val="tx1"/>
            </w14:solidFill>
          </w14:textFill>
        </w:rPr>
        <w:t>送电时必须有专人指挥与监护。</w:t>
      </w:r>
    </w:p>
    <w:p>
      <w:pPr>
        <w:pStyle w:val="60"/>
        <w:keepNext w:val="0"/>
        <w:keepLines w:val="0"/>
        <w:pageBreakBefore w:val="0"/>
        <w:kinsoku/>
        <w:wordWrap/>
        <w:overflowPunct/>
        <w:topLinePunct w:val="0"/>
        <w:bidi w:val="0"/>
        <w:snapToGrid w:val="0"/>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三、泵站的使用与管理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泵站司机必须经过培训，考试合格后，持证上岗，严格执行《操作规程》有关规定。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ascii="仿宋" w:hAnsi="仿宋" w:eastAsia="仿宋" w:cs="仿宋_GB2312"/>
          <w:bCs/>
          <w:color w:val="000000" w:themeColor="text1"/>
          <w:sz w:val="24"/>
          <w14:textFill>
            <w14:solidFill>
              <w14:schemeClr w14:val="tx1"/>
            </w14:solidFill>
          </w14:textFill>
        </w:rPr>
        <w:t>泵站司机不得擅离岗位，精力要集中，注意</w:t>
      </w:r>
      <w:r>
        <w:rPr>
          <w:rFonts w:hint="eastAsia" w:ascii="仿宋" w:hAnsi="仿宋" w:eastAsia="仿宋" w:cs="仿宋_GB2312"/>
          <w:bCs/>
          <w:color w:val="000000" w:themeColor="text1"/>
          <w:sz w:val="24"/>
          <w14:textFill>
            <w14:solidFill>
              <w14:schemeClr w14:val="tx1"/>
            </w14:solidFill>
          </w14:textFill>
        </w:rPr>
        <w:t>听清</w:t>
      </w:r>
      <w:r>
        <w:rPr>
          <w:rFonts w:ascii="仿宋" w:hAnsi="仿宋" w:eastAsia="仿宋" w:cs="仿宋_GB2312"/>
          <w:bCs/>
          <w:color w:val="000000" w:themeColor="text1"/>
          <w:sz w:val="24"/>
          <w14:textFill>
            <w14:solidFill>
              <w14:schemeClr w14:val="tx1"/>
            </w14:solidFill>
          </w14:textFill>
        </w:rPr>
        <w:t>信号，开、停及时，不得任意开、停泵。</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3、启动泵站前，应首先检查各部件有无损伤，各连接螺丝是否紧固、润滑油是否正常、密封是否完好、液位是否适当、乳化液配比浓度是否符合标准，各种保护是否齐全可靠，确认无误后方可开机。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4、开泵前，必须得到原停泵人的允许方可开泵，并发出开泵信号，15s后才允许启动泵站。</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5、泵站启动后，要注意观察和监听泵的运转状况，如有异常要立即停泵处理，严禁带病运转。</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6、检修泵站或更换液压元件及液压管路时，必须停电、闭锁、挂停电牌，并进行卸压，</w:t>
      </w:r>
      <w:r>
        <w:rPr>
          <w:rFonts w:ascii="仿宋" w:hAnsi="仿宋" w:eastAsia="仿宋" w:cs="仿宋_GB2312"/>
          <w:bCs/>
          <w:color w:val="000000" w:themeColor="text1"/>
          <w:sz w:val="24"/>
          <w14:textFill>
            <w14:solidFill>
              <w14:schemeClr w14:val="tx1"/>
            </w14:solidFill>
          </w14:textFill>
        </w:rPr>
        <w:t>严禁带压操作</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w:t>
      </w:r>
      <w:r>
        <w:rPr>
          <w:rFonts w:ascii="仿宋" w:hAnsi="仿宋" w:eastAsia="仿宋" w:cs="仿宋_GB2312"/>
          <w:bCs/>
          <w:color w:val="000000" w:themeColor="text1"/>
          <w:sz w:val="24"/>
          <w14:textFill>
            <w14:solidFill>
              <w14:schemeClr w14:val="tx1"/>
            </w14:solidFill>
          </w14:textFill>
        </w:rPr>
        <w:t>工作面保持“</w:t>
      </w:r>
      <w:r>
        <w:rPr>
          <w:rFonts w:hint="eastAsia" w:ascii="仿宋" w:hAnsi="仿宋" w:eastAsia="仿宋" w:cs="仿宋_GB2312"/>
          <w:bCs/>
          <w:color w:val="000000" w:themeColor="text1"/>
          <w:sz w:val="24"/>
          <w14:textFill>
            <w14:solidFill>
              <w14:schemeClr w14:val="tx1"/>
            </w14:solidFill>
          </w14:textFill>
        </w:rPr>
        <w:t>三</w:t>
      </w:r>
      <w:r>
        <w:rPr>
          <w:rFonts w:ascii="仿宋" w:hAnsi="仿宋" w:eastAsia="仿宋" w:cs="仿宋_GB2312"/>
          <w:bCs/>
          <w:color w:val="000000" w:themeColor="text1"/>
          <w:sz w:val="24"/>
          <w14:textFill>
            <w14:solidFill>
              <w14:schemeClr w14:val="tx1"/>
            </w14:solidFill>
          </w14:textFill>
        </w:rPr>
        <w:t>泵</w:t>
      </w:r>
      <w:r>
        <w:rPr>
          <w:rFonts w:hint="eastAsia" w:ascii="仿宋" w:hAnsi="仿宋" w:eastAsia="仿宋" w:cs="仿宋_GB2312"/>
          <w:bCs/>
          <w:color w:val="000000" w:themeColor="text1"/>
          <w:sz w:val="24"/>
          <w14:textFill>
            <w14:solidFill>
              <w14:schemeClr w14:val="tx1"/>
            </w14:solidFill>
          </w14:textFill>
        </w:rPr>
        <w:t>两</w:t>
      </w:r>
      <w:r>
        <w:rPr>
          <w:rFonts w:ascii="仿宋" w:hAnsi="仿宋" w:eastAsia="仿宋" w:cs="仿宋_GB2312"/>
          <w:bCs/>
          <w:color w:val="000000" w:themeColor="text1"/>
          <w:sz w:val="24"/>
          <w14:textFill>
            <w14:solidFill>
              <w14:schemeClr w14:val="tx1"/>
            </w14:solidFill>
          </w14:textFill>
        </w:rPr>
        <w:t>箱”，</w:t>
      </w:r>
      <w:r>
        <w:rPr>
          <w:rFonts w:hint="eastAsia" w:ascii="仿宋" w:hAnsi="仿宋" w:eastAsia="仿宋" w:cs="仿宋_GB2312"/>
          <w:bCs/>
          <w:color w:val="000000" w:themeColor="text1"/>
          <w:sz w:val="24"/>
          <w14:textFill>
            <w14:solidFill>
              <w14:schemeClr w14:val="tx1"/>
            </w14:solidFill>
          </w14:textFill>
        </w:rPr>
        <w:t>两</w:t>
      </w:r>
      <w:r>
        <w:rPr>
          <w:rFonts w:ascii="仿宋" w:hAnsi="仿宋" w:eastAsia="仿宋" w:cs="仿宋_GB2312"/>
          <w:bCs/>
          <w:color w:val="000000" w:themeColor="text1"/>
          <w:sz w:val="24"/>
          <w14:textFill>
            <w14:solidFill>
              <w14:schemeClr w14:val="tx1"/>
            </w14:solidFill>
          </w14:textFill>
        </w:rPr>
        <w:t>台</w:t>
      </w:r>
      <w:r>
        <w:rPr>
          <w:rFonts w:hint="eastAsia" w:ascii="仿宋" w:hAnsi="仿宋" w:eastAsia="仿宋" w:cs="仿宋_GB2312"/>
          <w:bCs/>
          <w:color w:val="000000" w:themeColor="text1"/>
          <w:sz w:val="24"/>
          <w14:textFill>
            <w14:solidFill>
              <w14:schemeClr w14:val="tx1"/>
            </w14:solidFill>
          </w14:textFill>
        </w:rPr>
        <w:t>泵</w:t>
      </w:r>
      <w:r>
        <w:rPr>
          <w:rFonts w:ascii="仿宋" w:hAnsi="仿宋" w:eastAsia="仿宋" w:cs="仿宋_GB2312"/>
          <w:bCs/>
          <w:color w:val="000000" w:themeColor="text1"/>
          <w:sz w:val="24"/>
          <w14:textFill>
            <w14:solidFill>
              <w14:schemeClr w14:val="tx1"/>
            </w14:solidFill>
          </w14:textFill>
        </w:rPr>
        <w:t>工作，一台</w:t>
      </w:r>
      <w:r>
        <w:rPr>
          <w:rFonts w:hint="eastAsia" w:ascii="仿宋" w:hAnsi="仿宋" w:eastAsia="仿宋" w:cs="仿宋_GB2312"/>
          <w:bCs/>
          <w:color w:val="000000" w:themeColor="text1"/>
          <w:sz w:val="24"/>
          <w14:textFill>
            <w14:solidFill>
              <w14:schemeClr w14:val="tx1"/>
            </w14:solidFill>
          </w14:textFill>
        </w:rPr>
        <w:t>泵</w:t>
      </w:r>
      <w:r>
        <w:rPr>
          <w:rFonts w:ascii="仿宋" w:hAnsi="仿宋" w:eastAsia="仿宋" w:cs="仿宋_GB2312"/>
          <w:bCs/>
          <w:color w:val="000000" w:themeColor="text1"/>
          <w:sz w:val="24"/>
          <w14:textFill>
            <w14:solidFill>
              <w14:schemeClr w14:val="tx1"/>
            </w14:solidFill>
          </w14:textFill>
        </w:rPr>
        <w:t>备用，且液压管路系统完好不漏液。</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8、自动给液装置及乳化液自动配比器，并保证完好，正常使用；水</w:t>
      </w:r>
      <w:r>
        <w:rPr>
          <w:rFonts w:ascii="仿宋" w:hAnsi="仿宋" w:eastAsia="仿宋" w:cs="仿宋_GB2312"/>
          <w:bCs/>
          <w:color w:val="000000" w:themeColor="text1"/>
          <w:sz w:val="24"/>
          <w14:textFill>
            <w14:solidFill>
              <w14:schemeClr w14:val="tx1"/>
            </w14:solidFill>
          </w14:textFill>
        </w:rPr>
        <w:t>箱内的液面必须在液箱的2/3高度位置以上；</w:t>
      </w:r>
      <w:r>
        <w:rPr>
          <w:rFonts w:hint="eastAsia" w:ascii="仿宋" w:hAnsi="仿宋" w:eastAsia="仿宋" w:cs="仿宋_GB2312"/>
          <w:bCs/>
          <w:color w:val="000000" w:themeColor="text1"/>
          <w:sz w:val="24"/>
          <w14:textFill>
            <w14:solidFill>
              <w14:schemeClr w14:val="tx1"/>
            </w14:solidFill>
          </w14:textFill>
        </w:rPr>
        <w:t>高浓缩液浓度符合1</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3%</w:t>
      </w:r>
      <w:r>
        <w:rPr>
          <w:rFonts w:hint="eastAsia" w:ascii="仿宋" w:hAnsi="仿宋" w:eastAsia="仿宋" w:cs="仿宋_GB2312"/>
          <w:bCs/>
          <w:color w:val="000000" w:themeColor="text1"/>
          <w:sz w:val="24"/>
          <w14:textFill>
            <w14:solidFill>
              <w14:schemeClr w14:val="tx1"/>
            </w14:solidFill>
          </w14:textFill>
        </w:rPr>
        <w:t>，乳化液浓度符合3</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-5</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。禁止使用清水代替乳化液，泵站压力不低于</w:t>
      </w:r>
      <w:r>
        <w:rPr>
          <w:rFonts w:ascii="仿宋" w:hAnsi="仿宋" w:eastAsia="仿宋" w:cs="仿宋_GB2312"/>
          <w:bCs/>
          <w:color w:val="000000" w:themeColor="text1"/>
          <w:sz w:val="24"/>
          <w14:textFill>
            <w14:solidFill>
              <w14:schemeClr w14:val="tx1"/>
            </w14:solidFill>
          </w14:textFill>
        </w:rPr>
        <w:t>30MPa</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9、</w:t>
      </w:r>
      <w:r>
        <w:rPr>
          <w:rFonts w:ascii="仿宋" w:hAnsi="仿宋" w:eastAsia="仿宋" w:cs="仿宋_GB2312"/>
          <w:bCs/>
          <w:color w:val="000000" w:themeColor="text1"/>
          <w:sz w:val="24"/>
          <w14:textFill>
            <w14:solidFill>
              <w14:schemeClr w14:val="tx1"/>
            </w14:solidFill>
          </w14:textFill>
        </w:rPr>
        <w:t>定时（每班三次）检查乳化泵站压力</w:t>
      </w:r>
      <w:r>
        <w:rPr>
          <w:rFonts w:hint="eastAsia" w:ascii="仿宋" w:hAnsi="仿宋" w:eastAsia="仿宋" w:cs="仿宋_GB2312"/>
          <w:bCs/>
          <w:color w:val="000000" w:themeColor="text1"/>
          <w:sz w:val="24"/>
          <w14:textFill>
            <w14:solidFill>
              <w14:schemeClr w14:val="tx1"/>
            </w14:solidFill>
          </w14:textFill>
        </w:rPr>
        <w:t>、浓缩液</w:t>
      </w:r>
      <w:r>
        <w:rPr>
          <w:rFonts w:ascii="仿宋" w:hAnsi="仿宋" w:eastAsia="仿宋" w:cs="仿宋_GB2312"/>
          <w:bCs/>
          <w:color w:val="000000" w:themeColor="text1"/>
          <w:sz w:val="24"/>
          <w14:textFill>
            <w14:solidFill>
              <w14:schemeClr w14:val="tx1"/>
            </w14:solidFill>
          </w14:textFill>
        </w:rPr>
        <w:t>浓度，并做好记录。</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10、泵站的卸载阀整定值调定为37.5Mpa，严禁随意调整泵站安全阀、卸载阀的整定值。</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11、加强液压系统的清洁卫生，</w:t>
      </w:r>
      <w:r>
        <w:rPr>
          <w:rFonts w:ascii="仿宋" w:hAnsi="仿宋" w:eastAsia="仿宋" w:cs="仿宋_GB2312"/>
          <w:bCs/>
          <w:color w:val="000000" w:themeColor="text1"/>
          <w:sz w:val="24"/>
          <w14:textFill>
            <w14:solidFill>
              <w14:schemeClr w14:val="tx1"/>
            </w14:solidFill>
          </w14:textFill>
        </w:rPr>
        <w:t>泵站周围应保持</w:t>
      </w:r>
      <w:r>
        <w:rPr>
          <w:rFonts w:hint="eastAsia" w:ascii="仿宋" w:hAnsi="仿宋" w:eastAsia="仿宋" w:cs="仿宋_GB2312"/>
          <w:bCs/>
          <w:color w:val="000000" w:themeColor="text1"/>
          <w:sz w:val="24"/>
          <w14:textFill>
            <w14:solidFill>
              <w14:schemeClr w14:val="tx1"/>
            </w14:solidFill>
          </w14:textFill>
        </w:rPr>
        <w:t>环境</w:t>
      </w:r>
      <w:r>
        <w:rPr>
          <w:rFonts w:ascii="仿宋" w:hAnsi="仿宋" w:eastAsia="仿宋" w:cs="仿宋_GB2312"/>
          <w:bCs/>
          <w:color w:val="000000" w:themeColor="text1"/>
          <w:sz w:val="24"/>
          <w14:textFill>
            <w14:solidFill>
              <w14:schemeClr w14:val="tx1"/>
            </w14:solidFill>
          </w14:textFill>
        </w:rPr>
        <w:t>清洁干净，无污泥、无积水、无杂物</w:t>
      </w:r>
      <w:r>
        <w:rPr>
          <w:rFonts w:hint="eastAsia" w:ascii="仿宋" w:hAnsi="仿宋" w:eastAsia="仿宋" w:cs="仿宋_GB2312"/>
          <w:bCs/>
          <w:color w:val="000000" w:themeColor="text1"/>
          <w:sz w:val="24"/>
          <w14:textFill>
            <w14:solidFill>
              <w14:schemeClr w14:val="tx1"/>
            </w14:solidFill>
          </w14:textFill>
        </w:rPr>
        <w:t>；泵箱进液通过净化处理装置对原水进行净化处理，</w:t>
      </w:r>
      <w:r>
        <w:rPr>
          <w:rFonts w:ascii="仿宋" w:hAnsi="仿宋" w:eastAsia="仿宋" w:cs="仿宋_GB2312"/>
          <w:bCs/>
          <w:color w:val="000000" w:themeColor="text1"/>
          <w:sz w:val="24"/>
          <w14:textFill>
            <w14:solidFill>
              <w14:schemeClr w14:val="tx1"/>
            </w14:solidFill>
          </w14:textFill>
        </w:rPr>
        <w:t>泵箱过滤器应定期清洗</w:t>
      </w:r>
      <w:r>
        <w:rPr>
          <w:rFonts w:hint="eastAsia" w:ascii="仿宋" w:hAnsi="仿宋" w:eastAsia="仿宋" w:cs="仿宋_GB2312"/>
          <w:bCs/>
          <w:color w:val="000000" w:themeColor="text1"/>
          <w:sz w:val="24"/>
          <w14:textFill>
            <w14:solidFill>
              <w14:schemeClr w14:val="tx1"/>
            </w14:solidFill>
          </w14:textFill>
        </w:rPr>
        <w:t>、更换</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泵箱每周清洗一次，</w:t>
      </w:r>
      <w:r>
        <w:rPr>
          <w:rFonts w:ascii="仿宋" w:hAnsi="仿宋" w:eastAsia="仿宋" w:cs="仿宋_GB2312"/>
          <w:bCs/>
          <w:color w:val="000000" w:themeColor="text1"/>
          <w:sz w:val="24"/>
          <w14:textFill>
            <w14:solidFill>
              <w14:schemeClr w14:val="tx1"/>
            </w14:solidFill>
          </w14:textFill>
        </w:rPr>
        <w:t>各种胶管液压元件应保持清洁，</w:t>
      </w:r>
      <w:r>
        <w:rPr>
          <w:rFonts w:hint="eastAsia" w:ascii="仿宋" w:hAnsi="仿宋" w:eastAsia="仿宋" w:cs="仿宋_GB2312"/>
          <w:bCs/>
          <w:color w:val="000000" w:themeColor="text1"/>
          <w:sz w:val="24"/>
          <w14:textFill>
            <w14:solidFill>
              <w14:schemeClr w14:val="tx1"/>
            </w14:solidFill>
          </w14:textFill>
        </w:rPr>
        <w:t>严禁液箱、水箱随意敞口</w:t>
      </w:r>
      <w:r>
        <w:rPr>
          <w:rFonts w:ascii="仿宋" w:hAnsi="仿宋" w:eastAsia="仿宋" w:cs="仿宋_GB2312"/>
          <w:bCs/>
          <w:color w:val="000000" w:themeColor="text1"/>
          <w:sz w:val="24"/>
          <w14:textFill>
            <w14:solidFill>
              <w14:schemeClr w14:val="tx1"/>
            </w14:solidFill>
          </w14:textFill>
        </w:rPr>
        <w:t>，严禁不经过过滤网直接向泵箱倒入</w:t>
      </w:r>
      <w:r>
        <w:rPr>
          <w:rFonts w:hint="eastAsia" w:ascii="仿宋" w:hAnsi="仿宋" w:eastAsia="仿宋" w:cs="仿宋_GB2312"/>
          <w:bCs/>
          <w:color w:val="000000" w:themeColor="text1"/>
          <w:sz w:val="24"/>
          <w14:textFill>
            <w14:solidFill>
              <w14:schemeClr w14:val="tx1"/>
            </w14:solidFill>
          </w14:textFill>
        </w:rPr>
        <w:t>浓缩液</w:t>
      </w:r>
      <w:r>
        <w:rPr>
          <w:rFonts w:ascii="仿宋" w:hAnsi="仿宋" w:eastAsia="仿宋" w:cs="仿宋_GB2312"/>
          <w:bCs/>
          <w:color w:val="000000" w:themeColor="text1"/>
          <w:sz w:val="24"/>
          <w14:textFill>
            <w14:solidFill>
              <w14:schemeClr w14:val="tx1"/>
            </w14:solidFill>
          </w14:textFill>
        </w:rPr>
        <w:t>。</w:t>
      </w:r>
    </w:p>
    <w:p>
      <w:pPr>
        <w:pStyle w:val="60"/>
        <w:keepNext w:val="0"/>
        <w:keepLines w:val="0"/>
        <w:pageBreakBefore w:val="0"/>
        <w:kinsoku/>
        <w:wordWrap/>
        <w:overflowPunct/>
        <w:topLinePunct w:val="0"/>
        <w:bidi w:val="0"/>
        <w:snapToGrid w:val="0"/>
        <w:spacing w:line="360" w:lineRule="auto"/>
        <w:rPr>
          <w:rFonts w:ascii="仿宋" w:hAnsi="仿宋" w:eastAsia="仿宋"/>
          <w:b w:val="0"/>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w:t>
      </w:r>
      <w:r>
        <w:rPr>
          <w:rFonts w:ascii="仿宋" w:hAnsi="仿宋" w:eastAsia="仿宋"/>
          <w:color w:val="000000" w:themeColor="text1"/>
          <w:sz w:val="24"/>
          <w14:textFill>
            <w14:solidFill>
              <w14:schemeClr w14:val="tx1"/>
            </w14:solidFill>
          </w14:textFill>
        </w:rPr>
        <w:t>、防高压管伤人</w:t>
      </w:r>
      <w:r>
        <w:rPr>
          <w:rFonts w:hint="eastAsia" w:ascii="仿宋" w:hAnsi="仿宋" w:eastAsia="仿宋"/>
          <w:color w:val="000000" w:themeColor="text1"/>
          <w:sz w:val="24"/>
          <w14:textFill>
            <w14:solidFill>
              <w14:schemeClr w14:val="tx1"/>
            </w14:solidFill>
          </w14:textFill>
        </w:rPr>
        <w:t>措施</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1、工作面使用的高压管</w:t>
      </w:r>
      <w:r>
        <w:rPr>
          <w:rFonts w:hint="eastAsia" w:ascii="仿宋" w:hAnsi="仿宋" w:eastAsia="仿宋" w:cs="仿宋_GB2312"/>
          <w:bCs/>
          <w:color w:val="000000" w:themeColor="text1"/>
          <w:sz w:val="24"/>
          <w14:textFill>
            <w14:solidFill>
              <w14:schemeClr w14:val="tx1"/>
            </w14:solidFill>
          </w14:textFill>
        </w:rPr>
        <w:t>及直通、三通、各种阀类等连接件</w:t>
      </w:r>
      <w:r>
        <w:rPr>
          <w:rFonts w:ascii="仿宋" w:hAnsi="仿宋" w:eastAsia="仿宋" w:cs="仿宋_GB2312"/>
          <w:bCs/>
          <w:color w:val="000000" w:themeColor="text1"/>
          <w:sz w:val="24"/>
          <w14:textFill>
            <w14:solidFill>
              <w14:schemeClr w14:val="tx1"/>
            </w14:solidFill>
          </w14:textFill>
        </w:rPr>
        <w:t>必须全部符合</w:t>
      </w:r>
      <w:r>
        <w:rPr>
          <w:rFonts w:hint="eastAsia" w:ascii="仿宋" w:hAnsi="仿宋" w:eastAsia="仿宋" w:cs="仿宋_GB2312"/>
          <w:bCs/>
          <w:color w:val="000000" w:themeColor="text1"/>
          <w:sz w:val="24"/>
          <w14:textFill>
            <w14:solidFill>
              <w14:schemeClr w14:val="tx1"/>
            </w14:solidFill>
          </w14:textFill>
        </w:rPr>
        <w:t>相应压力允许</w:t>
      </w:r>
      <w:r>
        <w:rPr>
          <w:rFonts w:ascii="仿宋" w:hAnsi="仿宋" w:eastAsia="仿宋" w:cs="仿宋_GB2312"/>
          <w:bCs/>
          <w:color w:val="000000" w:themeColor="text1"/>
          <w:sz w:val="24"/>
          <w14:textFill>
            <w14:solidFill>
              <w14:schemeClr w14:val="tx1"/>
            </w14:solidFill>
          </w14:textFill>
        </w:rPr>
        <w:t>标准。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2</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乳化液泵的卸载阀、压力表、泵头安全阀必须处于完好状态，否则不得开泵。</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、高压管接头必须用与之相</w:t>
      </w:r>
      <w:r>
        <w:rPr>
          <w:rFonts w:hint="eastAsia" w:ascii="仿宋" w:hAnsi="仿宋" w:eastAsia="仿宋" w:cs="仿宋_GB2312"/>
          <w:bCs/>
          <w:color w:val="000000" w:themeColor="text1"/>
          <w:sz w:val="24"/>
          <w14:textFill>
            <w14:solidFill>
              <w14:schemeClr w14:val="tx1"/>
            </w14:solidFill>
          </w14:textFill>
        </w:rPr>
        <w:t>匹配</w:t>
      </w:r>
      <w:r>
        <w:rPr>
          <w:rFonts w:ascii="仿宋" w:hAnsi="仿宋" w:eastAsia="仿宋" w:cs="仿宋_GB2312"/>
          <w:bCs/>
          <w:color w:val="000000" w:themeColor="text1"/>
          <w:sz w:val="24"/>
          <w14:textFill>
            <w14:solidFill>
              <w14:schemeClr w14:val="tx1"/>
            </w14:solidFill>
          </w14:textFill>
        </w:rPr>
        <w:t>的</w:t>
      </w:r>
      <w:r>
        <w:rPr>
          <w:rFonts w:hint="eastAsia" w:ascii="仿宋" w:hAnsi="仿宋" w:eastAsia="仿宋" w:cs="仿宋_GB2312"/>
          <w:bCs/>
          <w:color w:val="000000" w:themeColor="text1"/>
          <w:sz w:val="24"/>
          <w14:textFill>
            <w14:solidFill>
              <w14:schemeClr w14:val="tx1"/>
            </w14:solidFill>
          </w14:textFill>
        </w:rPr>
        <w:t>合格</w:t>
      </w:r>
      <w:r>
        <w:rPr>
          <w:rFonts w:ascii="仿宋" w:hAnsi="仿宋" w:eastAsia="仿宋" w:cs="仿宋_GB2312"/>
          <w:bCs/>
          <w:color w:val="000000" w:themeColor="text1"/>
          <w:sz w:val="24"/>
          <w14:textFill>
            <w14:solidFill>
              <w14:schemeClr w14:val="tx1"/>
            </w14:solidFill>
          </w14:textFill>
        </w:rPr>
        <w:t>U形卡</w:t>
      </w:r>
      <w:r>
        <w:rPr>
          <w:rFonts w:hint="eastAsia" w:ascii="仿宋" w:hAnsi="仿宋" w:eastAsia="仿宋" w:cs="仿宋_GB2312"/>
          <w:bCs/>
          <w:color w:val="000000" w:themeColor="text1"/>
          <w:sz w:val="24"/>
          <w14:textFill>
            <w14:solidFill>
              <w14:schemeClr w14:val="tx1"/>
            </w14:solidFill>
          </w14:textFill>
        </w:rPr>
        <w:t>连接</w:t>
      </w:r>
      <w:r>
        <w:rPr>
          <w:rFonts w:ascii="仿宋" w:hAnsi="仿宋" w:eastAsia="仿宋" w:cs="仿宋_GB2312"/>
          <w:bCs/>
          <w:color w:val="000000" w:themeColor="text1"/>
          <w:sz w:val="24"/>
          <w14:textFill>
            <w14:solidFill>
              <w14:schemeClr w14:val="tx1"/>
            </w14:solidFill>
          </w14:textFill>
        </w:rPr>
        <w:t>，不得用铁丝</w:t>
      </w:r>
      <w:r>
        <w:rPr>
          <w:rFonts w:hint="eastAsia" w:ascii="仿宋" w:hAnsi="仿宋" w:eastAsia="仿宋" w:cs="仿宋_GB2312"/>
          <w:bCs/>
          <w:color w:val="000000" w:themeColor="text1"/>
          <w:sz w:val="24"/>
          <w14:textFill>
            <w14:solidFill>
              <w14:schemeClr w14:val="tx1"/>
            </w14:solidFill>
          </w14:textFill>
        </w:rPr>
        <w:t>或其他物品</w:t>
      </w:r>
      <w:r>
        <w:rPr>
          <w:rFonts w:ascii="仿宋" w:hAnsi="仿宋" w:eastAsia="仿宋" w:cs="仿宋_GB2312"/>
          <w:bCs/>
          <w:color w:val="000000" w:themeColor="text1"/>
          <w:sz w:val="24"/>
          <w14:textFill>
            <w14:solidFill>
              <w14:schemeClr w14:val="tx1"/>
            </w14:solidFill>
          </w14:textFill>
        </w:rPr>
        <w:t>代替；U形卡必须双腿都插在接头上</w:t>
      </w:r>
      <w:r>
        <w:rPr>
          <w:rFonts w:hint="eastAsia" w:ascii="仿宋" w:hAnsi="仿宋" w:eastAsia="仿宋" w:cs="仿宋_GB2312"/>
          <w:bCs/>
          <w:color w:val="000000" w:themeColor="text1"/>
          <w:sz w:val="24"/>
          <w14:textFill>
            <w14:solidFill>
              <w14:schemeClr w14:val="tx1"/>
            </w14:solidFill>
          </w14:textFill>
        </w:rPr>
        <w:t>且插到位</w:t>
      </w:r>
      <w:r>
        <w:rPr>
          <w:rFonts w:ascii="仿宋" w:hAnsi="仿宋" w:eastAsia="仿宋" w:cs="仿宋_GB2312"/>
          <w:bCs/>
          <w:color w:val="000000" w:themeColor="text1"/>
          <w:sz w:val="24"/>
          <w14:textFill>
            <w14:solidFill>
              <w14:schemeClr w14:val="tx1"/>
            </w14:solidFill>
          </w14:textFill>
        </w:rPr>
        <w:t>，不得单腿使用。</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4、高压管路应吊挂平顺，不得强行折弯。</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5、拆卸高压管</w:t>
      </w:r>
      <w:r>
        <w:rPr>
          <w:rFonts w:hint="eastAsia" w:ascii="仿宋" w:hAnsi="仿宋" w:eastAsia="仿宋" w:cs="仿宋_GB2312"/>
          <w:bCs/>
          <w:color w:val="000000" w:themeColor="text1"/>
          <w:sz w:val="24"/>
          <w14:textFill>
            <w14:solidFill>
              <w14:schemeClr w14:val="tx1"/>
            </w14:solidFill>
          </w14:textFill>
        </w:rPr>
        <w:t>（包括压风管）</w:t>
      </w:r>
      <w:r>
        <w:rPr>
          <w:rFonts w:ascii="仿宋" w:hAnsi="仿宋" w:eastAsia="仿宋" w:cs="仿宋_GB2312"/>
          <w:bCs/>
          <w:color w:val="000000" w:themeColor="text1"/>
          <w:sz w:val="24"/>
          <w14:textFill>
            <w14:solidFill>
              <w14:schemeClr w14:val="tx1"/>
            </w14:solidFill>
          </w14:textFill>
        </w:rPr>
        <w:t>和液压元件时，必须先关闭截止阀，然后释放残压，最后才能拆卸，严禁带压拆卸。</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6、</w:t>
      </w:r>
      <w:r>
        <w:rPr>
          <w:rFonts w:hint="eastAsia" w:ascii="仿宋" w:hAnsi="仿宋" w:eastAsia="仿宋" w:cs="仿宋_GB2312"/>
          <w:bCs/>
          <w:color w:val="000000" w:themeColor="text1"/>
          <w:sz w:val="24"/>
          <w14:textFill>
            <w14:solidFill>
              <w14:schemeClr w14:val="tx1"/>
            </w14:solidFill>
          </w14:textFill>
        </w:rPr>
        <w:t>存在</w:t>
      </w:r>
      <w:r>
        <w:rPr>
          <w:rFonts w:ascii="仿宋" w:hAnsi="仿宋" w:eastAsia="仿宋" w:cs="仿宋_GB2312"/>
          <w:bCs/>
          <w:color w:val="000000" w:themeColor="text1"/>
          <w:sz w:val="24"/>
          <w14:textFill>
            <w14:solidFill>
              <w14:schemeClr w14:val="tx1"/>
            </w14:solidFill>
          </w14:textFill>
        </w:rPr>
        <w:t>破损、接头松动</w:t>
      </w:r>
      <w:r>
        <w:rPr>
          <w:rFonts w:hint="eastAsia" w:ascii="仿宋" w:hAnsi="仿宋" w:eastAsia="仿宋" w:cs="仿宋_GB2312"/>
          <w:bCs/>
          <w:color w:val="000000" w:themeColor="text1"/>
          <w:sz w:val="24"/>
          <w14:textFill>
            <w14:solidFill>
              <w14:schemeClr w14:val="tx1"/>
            </w14:solidFill>
          </w14:textFill>
        </w:rPr>
        <w:t>等</w:t>
      </w:r>
      <w:r>
        <w:rPr>
          <w:rFonts w:ascii="仿宋" w:hAnsi="仿宋" w:eastAsia="仿宋" w:cs="仿宋_GB2312"/>
          <w:bCs/>
          <w:color w:val="000000" w:themeColor="text1"/>
          <w:sz w:val="24"/>
          <w14:textFill>
            <w14:solidFill>
              <w14:schemeClr w14:val="tx1"/>
            </w14:solidFill>
          </w14:textFill>
        </w:rPr>
        <w:t>隐患的高压管要及时更换</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旧高压管只限使用在回液管路中。</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7、正确使用支架上的各类安全阀，对失效的安全阀要及时更换。</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8、检修支架管路时，必须将</w:t>
      </w:r>
      <w:r>
        <w:rPr>
          <w:rFonts w:hint="eastAsia" w:ascii="仿宋" w:hAnsi="仿宋" w:eastAsia="仿宋" w:cs="仿宋_GB2312"/>
          <w:bCs/>
          <w:color w:val="000000" w:themeColor="text1"/>
          <w:sz w:val="24"/>
          <w14:textFill>
            <w14:solidFill>
              <w14:schemeClr w14:val="tx1"/>
            </w14:solidFill>
          </w14:textFill>
        </w:rPr>
        <w:t>相应的上级</w:t>
      </w:r>
      <w:r>
        <w:rPr>
          <w:rFonts w:ascii="仿宋" w:hAnsi="仿宋" w:eastAsia="仿宋" w:cs="仿宋_GB2312"/>
          <w:bCs/>
          <w:color w:val="000000" w:themeColor="text1"/>
          <w:sz w:val="24"/>
          <w14:textFill>
            <w14:solidFill>
              <w14:schemeClr w14:val="tx1"/>
            </w14:solidFill>
          </w14:textFill>
        </w:rPr>
        <w:t>截止阀关闭。</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9、不得用高压管冲洗设备、物品和浮煤</w:t>
      </w:r>
      <w:r>
        <w:rPr>
          <w:rFonts w:hint="eastAsia" w:ascii="仿宋" w:hAnsi="仿宋" w:eastAsia="仿宋" w:cs="仿宋_GB2312"/>
          <w:bCs/>
          <w:color w:val="000000" w:themeColor="text1"/>
          <w:sz w:val="24"/>
          <w14:textFill>
            <w14:solidFill>
              <w14:schemeClr w14:val="tx1"/>
            </w14:solidFill>
          </w14:textFill>
        </w:rPr>
        <w:t>等</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0</w:t>
      </w:r>
      <w:r>
        <w:rPr>
          <w:rFonts w:ascii="仿宋" w:hAnsi="仿宋" w:eastAsia="仿宋" w:cs="仿宋_GB2312"/>
          <w:bCs/>
          <w:color w:val="000000" w:themeColor="text1"/>
          <w:sz w:val="24"/>
          <w14:textFill>
            <w14:solidFill>
              <w14:schemeClr w14:val="tx1"/>
            </w14:solidFill>
          </w14:textFill>
        </w:rPr>
        <w:t>、工作面人员不准坐或站在使用的高压管上。</w:t>
      </w:r>
    </w:p>
    <w:p>
      <w:pPr>
        <w:pStyle w:val="60"/>
        <w:keepNext w:val="0"/>
        <w:keepLines w:val="0"/>
        <w:pageBreakBefore w:val="0"/>
        <w:kinsoku/>
        <w:wordWrap/>
        <w:overflowPunct/>
        <w:topLinePunct w:val="0"/>
        <w:bidi w:val="0"/>
        <w:snapToGrid w:val="0"/>
        <w:spacing w:line="360" w:lineRule="auto"/>
        <w:rPr>
          <w:rFonts w:ascii="仿宋" w:hAnsi="仿宋" w:eastAsia="仿宋"/>
          <w:b w:val="0"/>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油脂管理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1、油脂的粘度、燃点、水份、酸值</w:t>
      </w:r>
      <w:r>
        <w:rPr>
          <w:rFonts w:hint="eastAsia" w:ascii="仿宋" w:hAnsi="仿宋" w:eastAsia="仿宋" w:cs="仿宋_GB2312"/>
          <w:bCs/>
          <w:color w:val="000000" w:themeColor="text1"/>
          <w:sz w:val="24"/>
          <w14:textFill>
            <w14:solidFill>
              <w14:schemeClr w14:val="tx1"/>
            </w14:solidFill>
          </w14:textFill>
        </w:rPr>
        <w:t>等</w:t>
      </w:r>
      <w:r>
        <w:rPr>
          <w:rFonts w:ascii="仿宋" w:hAnsi="仿宋" w:eastAsia="仿宋" w:cs="仿宋_GB2312"/>
          <w:bCs/>
          <w:color w:val="000000" w:themeColor="text1"/>
          <w:sz w:val="24"/>
          <w14:textFill>
            <w14:solidFill>
              <w14:schemeClr w14:val="tx1"/>
            </w14:solidFill>
          </w14:textFill>
        </w:rPr>
        <w:t>，应进行抽样化验</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不符合要求的油脂，坚决不能使用</w:t>
      </w:r>
      <w:r>
        <w:rPr>
          <w:rFonts w:hint="eastAsia" w:ascii="仿宋" w:hAnsi="仿宋" w:eastAsia="仿宋" w:cs="仿宋_GB2312"/>
          <w:bCs/>
          <w:color w:val="000000" w:themeColor="text1"/>
          <w:sz w:val="24"/>
          <w14:textFill>
            <w14:solidFill>
              <w14:schemeClr w14:val="tx1"/>
            </w14:solidFill>
          </w14:textFill>
        </w:rPr>
        <w:t>；各机电设备必须按照说明书要求使用合格的油脂，</w:t>
      </w:r>
      <w:r>
        <w:rPr>
          <w:rFonts w:ascii="仿宋" w:hAnsi="仿宋" w:eastAsia="仿宋" w:cs="仿宋_GB2312"/>
          <w:bCs/>
          <w:color w:val="000000" w:themeColor="text1"/>
          <w:sz w:val="24"/>
          <w14:textFill>
            <w14:solidFill>
              <w14:schemeClr w14:val="tx1"/>
            </w14:solidFill>
          </w14:textFill>
        </w:rPr>
        <w:t>不得</w:t>
      </w:r>
      <w:r>
        <w:rPr>
          <w:rFonts w:hint="eastAsia" w:ascii="仿宋" w:hAnsi="仿宋" w:eastAsia="仿宋" w:cs="仿宋_GB2312"/>
          <w:bCs/>
          <w:color w:val="000000" w:themeColor="text1"/>
          <w:sz w:val="24"/>
          <w14:textFill>
            <w14:solidFill>
              <w14:schemeClr w14:val="tx1"/>
            </w14:solidFill>
          </w14:textFill>
        </w:rPr>
        <w:t>随意</w:t>
      </w:r>
      <w:r>
        <w:rPr>
          <w:rFonts w:ascii="仿宋" w:hAnsi="仿宋" w:eastAsia="仿宋" w:cs="仿宋_GB2312"/>
          <w:bCs/>
          <w:color w:val="000000" w:themeColor="text1"/>
          <w:sz w:val="24"/>
          <w14:textFill>
            <w14:solidFill>
              <w14:schemeClr w14:val="tx1"/>
            </w14:solidFill>
          </w14:textFill>
        </w:rPr>
        <w:t>更换油的品种或混用不同牌号、不同品种的油脂。</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2、使用油脂前必须严格过滤，并设专</w:t>
      </w:r>
      <w:r>
        <w:rPr>
          <w:rFonts w:hint="eastAsia" w:ascii="仿宋" w:hAnsi="仿宋" w:eastAsia="仿宋" w:cs="仿宋_GB2312"/>
          <w:bCs/>
          <w:color w:val="000000" w:themeColor="text1"/>
          <w:sz w:val="24"/>
          <w14:textFill>
            <w14:solidFill>
              <w14:schemeClr w14:val="tx1"/>
            </w14:solidFill>
          </w14:textFill>
        </w:rPr>
        <w:t>用</w:t>
      </w:r>
      <w:r>
        <w:rPr>
          <w:rFonts w:ascii="仿宋" w:hAnsi="仿宋" w:eastAsia="仿宋" w:cs="仿宋_GB2312"/>
          <w:bCs/>
          <w:color w:val="000000" w:themeColor="text1"/>
          <w:sz w:val="24"/>
          <w14:textFill>
            <w14:solidFill>
              <w14:schemeClr w14:val="tx1"/>
            </w14:solidFill>
          </w14:textFill>
        </w:rPr>
        <w:t>的密封油桶保存，换油时，要彻底清洗系统，旧油排出后，油池应清理干净</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做到无油垢、无水份、无锈蚀、无金属碎屑。</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3、油箱内壁和油中浸泡的器件表面，禁止涂刷油漆，以防油漆融解而产生的沉淀物吸入</w:t>
      </w:r>
      <w:r>
        <w:rPr>
          <w:rFonts w:hint="eastAsia" w:ascii="仿宋" w:hAnsi="仿宋" w:eastAsia="仿宋" w:cs="仿宋_GB2312"/>
          <w:bCs/>
          <w:color w:val="000000" w:themeColor="text1"/>
          <w:sz w:val="24"/>
          <w14:textFill>
            <w14:solidFill>
              <w14:schemeClr w14:val="tx1"/>
            </w14:solidFill>
          </w14:textFill>
        </w:rPr>
        <w:t>设备</w:t>
      </w:r>
      <w:r>
        <w:rPr>
          <w:rFonts w:ascii="仿宋" w:hAnsi="仿宋" w:eastAsia="仿宋" w:cs="仿宋_GB2312"/>
          <w:bCs/>
          <w:color w:val="000000" w:themeColor="text1"/>
          <w:sz w:val="24"/>
          <w14:textFill>
            <w14:solidFill>
              <w14:schemeClr w14:val="tx1"/>
            </w14:solidFill>
          </w14:textFill>
        </w:rPr>
        <w:t>中。</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w:t>
      </w:r>
      <w:r>
        <w:rPr>
          <w:rFonts w:ascii="仿宋" w:hAnsi="仿宋" w:eastAsia="仿宋" w:cs="仿宋_GB2312"/>
          <w:bCs/>
          <w:color w:val="000000" w:themeColor="text1"/>
          <w:sz w:val="24"/>
          <w14:textFill>
            <w14:solidFill>
              <w14:schemeClr w14:val="tx1"/>
            </w14:solidFill>
          </w14:textFill>
        </w:rPr>
        <w:t>、油脂要设专人负责管理，</w:t>
      </w:r>
      <w:r>
        <w:rPr>
          <w:rFonts w:hint="eastAsia" w:ascii="仿宋" w:hAnsi="仿宋" w:eastAsia="仿宋" w:cs="仿宋_GB2312"/>
          <w:bCs/>
          <w:color w:val="000000" w:themeColor="text1"/>
          <w:sz w:val="24"/>
          <w14:textFill>
            <w14:solidFill>
              <w14:schemeClr w14:val="tx1"/>
            </w14:solidFill>
          </w14:textFill>
        </w:rPr>
        <w:t>设备用油分类存储，集中放置，不得存放有淋水和潮湿处。</w:t>
      </w:r>
      <w:r>
        <w:rPr>
          <w:rFonts w:ascii="仿宋" w:hAnsi="仿宋" w:eastAsia="仿宋" w:cs="仿宋_GB2312"/>
          <w:bCs/>
          <w:color w:val="000000" w:themeColor="text1"/>
          <w:sz w:val="24"/>
          <w14:textFill>
            <w14:solidFill>
              <w14:schemeClr w14:val="tx1"/>
            </w14:solidFill>
          </w14:textFill>
        </w:rPr>
        <w:t>不同牌号的</w:t>
      </w:r>
      <w:r>
        <w:rPr>
          <w:rFonts w:hint="eastAsia" w:ascii="仿宋" w:hAnsi="仿宋" w:eastAsia="仿宋" w:cs="仿宋_GB2312"/>
          <w:bCs/>
          <w:color w:val="000000" w:themeColor="text1"/>
          <w:sz w:val="24"/>
          <w14:textFill>
            <w14:solidFill>
              <w14:schemeClr w14:val="tx1"/>
            </w14:solidFill>
          </w14:textFill>
        </w:rPr>
        <w:t>油脂</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必须使用专用容器和油抽，</w:t>
      </w:r>
      <w:r>
        <w:rPr>
          <w:rFonts w:ascii="仿宋" w:hAnsi="仿宋" w:eastAsia="仿宋" w:cs="仿宋_GB2312"/>
          <w:bCs/>
          <w:color w:val="000000" w:themeColor="text1"/>
          <w:sz w:val="24"/>
          <w14:textFill>
            <w14:solidFill>
              <w14:schemeClr w14:val="tx1"/>
            </w14:solidFill>
          </w14:textFill>
        </w:rPr>
        <w:t>分类挂牌。注油时要仔细清洗注油器，防止煤粉</w:t>
      </w:r>
      <w:r>
        <w:rPr>
          <w:rFonts w:hint="eastAsia" w:ascii="仿宋" w:hAnsi="仿宋" w:eastAsia="仿宋" w:cs="仿宋_GB2312"/>
          <w:bCs/>
          <w:color w:val="000000" w:themeColor="text1"/>
          <w:sz w:val="24"/>
          <w14:textFill>
            <w14:solidFill>
              <w14:schemeClr w14:val="tx1"/>
            </w14:solidFill>
          </w14:textFill>
        </w:rPr>
        <w:t>和其它赃物</w:t>
      </w:r>
      <w:r>
        <w:rPr>
          <w:rFonts w:ascii="仿宋" w:hAnsi="仿宋" w:eastAsia="仿宋" w:cs="仿宋_GB2312"/>
          <w:bCs/>
          <w:color w:val="000000" w:themeColor="text1"/>
          <w:sz w:val="24"/>
          <w14:textFill>
            <w14:solidFill>
              <w14:schemeClr w14:val="tx1"/>
            </w14:solidFill>
          </w14:textFill>
        </w:rPr>
        <w:t>进入。</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w:t>
      </w:r>
      <w:r>
        <w:rPr>
          <w:rFonts w:ascii="仿宋" w:hAnsi="仿宋" w:eastAsia="仿宋" w:cs="仿宋_GB2312"/>
          <w:bCs/>
          <w:color w:val="000000" w:themeColor="text1"/>
          <w:sz w:val="24"/>
          <w14:textFill>
            <w14:solidFill>
              <w14:schemeClr w14:val="tx1"/>
            </w14:solidFill>
          </w14:textFill>
        </w:rPr>
        <w:t>、滤网、过滤器和管路要经常清洗。</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、设备加油时，必须做好防护措施，应用塑料布或棉布在机器设备的上方搭成布蓬，严禁有水分、灰尘、杂物落入油内，加油时必须使用过滤网。</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w:t>
      </w:r>
      <w:r>
        <w:rPr>
          <w:rFonts w:ascii="仿宋" w:hAnsi="仿宋" w:eastAsia="仿宋" w:cs="仿宋_GB2312"/>
          <w:bCs/>
          <w:color w:val="000000" w:themeColor="text1"/>
          <w:sz w:val="24"/>
          <w14:textFill>
            <w14:solidFill>
              <w14:schemeClr w14:val="tx1"/>
            </w14:solidFill>
          </w14:textFill>
        </w:rPr>
        <w:t>、确保设备和液压系统的密封性能，防止粉尘和其它脏物进入</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发现滴、跑、漏现象应及时</w:t>
      </w:r>
      <w:r>
        <w:rPr>
          <w:rFonts w:hint="eastAsia" w:ascii="仿宋" w:hAnsi="仿宋" w:eastAsia="仿宋" w:cs="仿宋_GB2312"/>
          <w:bCs/>
          <w:color w:val="000000" w:themeColor="text1"/>
          <w:sz w:val="24"/>
          <w14:textFill>
            <w14:solidFill>
              <w14:schemeClr w14:val="tx1"/>
            </w14:solidFill>
          </w14:textFill>
        </w:rPr>
        <w:t>处理</w:t>
      </w:r>
      <w:r>
        <w:rPr>
          <w:rFonts w:ascii="仿宋" w:hAnsi="仿宋" w:eastAsia="仿宋" w:cs="仿宋_GB2312"/>
          <w:bCs/>
          <w:color w:val="000000" w:themeColor="text1"/>
          <w:sz w:val="24"/>
          <w14:textFill>
            <w14:solidFill>
              <w14:schemeClr w14:val="tx1"/>
            </w14:solidFill>
          </w14:textFill>
        </w:rPr>
        <w:t>。</w:t>
      </w:r>
    </w:p>
    <w:p>
      <w:pPr>
        <w:pStyle w:val="60"/>
        <w:keepNext w:val="0"/>
        <w:keepLines w:val="0"/>
        <w:pageBreakBefore w:val="0"/>
        <w:kinsoku/>
        <w:wordWrap/>
        <w:overflowPunct/>
        <w:topLinePunct w:val="0"/>
        <w:bidi w:val="0"/>
        <w:snapToGrid w:val="0"/>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六、采煤机的使用与管理</w:t>
      </w:r>
    </w:p>
    <w:p>
      <w:pPr>
        <w:keepNext w:val="0"/>
        <w:keepLines w:val="0"/>
        <w:pageBreakBefore w:val="0"/>
        <w:kinsoku/>
        <w:wordWrap/>
        <w:overflowPunct/>
        <w:topLinePunct w:val="0"/>
        <w:autoSpaceDE w:val="0"/>
        <w:autoSpaceDN w:val="0"/>
        <w:bidi w:val="0"/>
        <w:adjustRightInd w:val="0"/>
        <w:snapToGrid w:val="0"/>
        <w:spacing w:line="360" w:lineRule="auto"/>
        <w:ind w:firstLine="0" w:firstLineChars="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（一）一般规定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采</w:t>
      </w:r>
      <w:r>
        <w:rPr>
          <w:rFonts w:ascii="仿宋" w:hAnsi="仿宋" w:eastAsia="仿宋" w:cs="仿宋_GB2312"/>
          <w:bCs/>
          <w:color w:val="000000" w:themeColor="text1"/>
          <w:sz w:val="24"/>
          <w14:textFill>
            <w14:solidFill>
              <w14:schemeClr w14:val="tx1"/>
            </w14:solidFill>
          </w14:textFill>
        </w:rPr>
        <w:t>煤机司机必须经过培训，持证上岗，严格执行操作规程，遵守岗位责任制</w:t>
      </w:r>
      <w:r>
        <w:rPr>
          <w:rFonts w:hint="eastAsia" w:ascii="仿宋" w:hAnsi="仿宋" w:eastAsia="仿宋" w:cs="仿宋_GB2312"/>
          <w:bCs/>
          <w:color w:val="000000" w:themeColor="text1"/>
          <w:sz w:val="24"/>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在操作中应注意观察各仪表的动作情况，发现问题及时停机处理。</w:t>
      </w:r>
    </w:p>
    <w:p>
      <w:pPr>
        <w:pStyle w:val="19"/>
        <w:keepNext w:val="0"/>
        <w:keepLines w:val="0"/>
        <w:pageBreakBefore w:val="0"/>
        <w:kinsoku/>
        <w:wordWrap/>
        <w:overflowPunct/>
        <w:topLinePunct w:val="0"/>
        <w:bidi w:val="0"/>
        <w:snapToGrid w:val="0"/>
        <w:spacing w:line="360" w:lineRule="auto"/>
        <w:ind w:firstLine="480"/>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2、MG650/1510-WD型系列交流电牵引采煤机启动时，应按起动按钮3～5秒钟，待起动后，观察中文显示屏的电压、电流、温度等信息一切正常后，方可左右牵引。</w:t>
      </w:r>
    </w:p>
    <w:p>
      <w:pPr>
        <w:pStyle w:val="19"/>
        <w:keepNext w:val="0"/>
        <w:keepLines w:val="0"/>
        <w:pageBreakBefore w:val="0"/>
        <w:kinsoku/>
        <w:wordWrap/>
        <w:overflowPunct/>
        <w:topLinePunct w:val="0"/>
        <w:bidi w:val="0"/>
        <w:snapToGrid w:val="0"/>
        <w:spacing w:line="360" w:lineRule="auto"/>
        <w:ind w:firstLine="480"/>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3、按牵引按钮时，禁止按住不松。初牵引速度控制在1m/min内，待行走稳定后方可加速，一般控制在5～8m/min。（初采期间，运行速度≤2m/min）以内。</w:t>
      </w:r>
    </w:p>
    <w:p>
      <w:pPr>
        <w:pStyle w:val="19"/>
        <w:keepNext w:val="0"/>
        <w:keepLines w:val="0"/>
        <w:pageBreakBefore w:val="0"/>
        <w:kinsoku/>
        <w:wordWrap/>
        <w:overflowPunct/>
        <w:topLinePunct w:val="0"/>
        <w:bidi w:val="0"/>
        <w:snapToGrid w:val="0"/>
        <w:spacing w:line="360" w:lineRule="auto"/>
        <w:ind w:firstLine="480"/>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4、需要改变牵引方向时，应先将牵引速度降到“0”米附近，按下牵停按钮，再反向牵引，同时观察中文显示屏的电压、电流、温度等信息是否正常，如正常，再调整运行速度。</w:t>
      </w:r>
    </w:p>
    <w:p>
      <w:pPr>
        <w:pStyle w:val="19"/>
        <w:keepNext w:val="0"/>
        <w:keepLines w:val="0"/>
        <w:pageBreakBefore w:val="0"/>
        <w:kinsoku/>
        <w:wordWrap/>
        <w:overflowPunct/>
        <w:topLinePunct w:val="0"/>
        <w:bidi w:val="0"/>
        <w:snapToGrid w:val="0"/>
        <w:spacing w:line="360" w:lineRule="auto"/>
        <w:ind w:firstLine="480"/>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5、采煤机停机后，严禁立即开机，必须经过不低于3分钟的等待，（等待变频器显示屏黑屏后指示灯灭）才能重新开动采煤机，以保证变频器得到充分的放电时间。</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、采煤机完好，不漏油，不缺截齿</w:t>
      </w:r>
      <w:r>
        <w:rPr>
          <w:rFonts w:hint="eastAsia" w:ascii="仿宋" w:hAnsi="仿宋" w:eastAsia="仿宋" w:cs="仿宋_GB2312"/>
          <w:bCs/>
          <w:color w:val="000000" w:themeColor="text1"/>
          <w:sz w:val="24"/>
          <w14:textFill>
            <w14:solidFill>
              <w14:schemeClr w14:val="tx1"/>
            </w14:solidFill>
          </w14:textFill>
        </w:rPr>
        <w:t>（采煤机无效截齿不超过5%，不得缠绕</w:t>
      </w:r>
    </w:p>
    <w:p>
      <w:pPr>
        <w:keepNext w:val="0"/>
        <w:keepLines w:val="0"/>
        <w:pageBreakBefore w:val="0"/>
        <w:kinsoku/>
        <w:wordWrap/>
        <w:overflowPunct/>
        <w:topLinePunct w:val="0"/>
        <w:autoSpaceDE w:val="0"/>
        <w:autoSpaceDN w:val="0"/>
        <w:bidi w:val="0"/>
        <w:adjustRightInd w:val="0"/>
        <w:snapToGrid w:val="0"/>
        <w:spacing w:line="360" w:lineRule="auto"/>
        <w:ind w:firstLine="0" w:firstLineChars="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锚杆、钢带等异物割煤）</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各种保护、遥控器灵敏可靠，</w:t>
      </w:r>
      <w:r>
        <w:rPr>
          <w:rFonts w:ascii="仿宋" w:hAnsi="仿宋" w:eastAsia="仿宋" w:cs="仿宋_GB2312"/>
          <w:bCs/>
          <w:color w:val="000000" w:themeColor="text1"/>
          <w:sz w:val="24"/>
          <w14:textFill>
            <w14:solidFill>
              <w14:schemeClr w14:val="tx1"/>
            </w14:solidFill>
          </w14:textFill>
        </w:rPr>
        <w:t>采煤机上必须装有能停止工作面</w:t>
      </w:r>
      <w:r>
        <w:rPr>
          <w:rFonts w:hint="eastAsia" w:ascii="仿宋" w:hAnsi="仿宋" w:eastAsia="仿宋" w:cs="仿宋_GB2312"/>
          <w:bCs/>
          <w:color w:val="000000" w:themeColor="text1"/>
          <w:sz w:val="24"/>
          <w14:textFill>
            <w14:solidFill>
              <w14:schemeClr w14:val="tx1"/>
            </w14:solidFill>
          </w14:textFill>
        </w:rPr>
        <w:t>运输机</w:t>
      </w:r>
      <w:r>
        <w:rPr>
          <w:rFonts w:ascii="仿宋" w:hAnsi="仿宋" w:eastAsia="仿宋" w:cs="仿宋_GB2312"/>
          <w:bCs/>
          <w:color w:val="000000" w:themeColor="text1"/>
          <w:sz w:val="24"/>
          <w14:textFill>
            <w14:solidFill>
              <w14:schemeClr w14:val="tx1"/>
            </w14:solidFill>
          </w14:textFill>
        </w:rPr>
        <w:t>运行的闭锁装置。采煤机因故暂停时，必须</w:t>
      </w:r>
      <w:r>
        <w:rPr>
          <w:rFonts w:hint="eastAsia" w:ascii="仿宋" w:hAnsi="仿宋" w:eastAsia="仿宋" w:cs="仿宋_GB2312"/>
          <w:bCs/>
          <w:color w:val="000000" w:themeColor="text1"/>
          <w:sz w:val="24"/>
          <w14:textFill>
            <w14:solidFill>
              <w14:schemeClr w14:val="tx1"/>
            </w14:solidFill>
          </w14:textFill>
        </w:rPr>
        <w:t>断隔离开关和</w:t>
      </w:r>
      <w:r>
        <w:rPr>
          <w:rFonts w:ascii="仿宋" w:hAnsi="仿宋" w:eastAsia="仿宋" w:cs="仿宋_GB2312"/>
          <w:bCs/>
          <w:color w:val="000000" w:themeColor="text1"/>
          <w:sz w:val="24"/>
          <w14:textFill>
            <w14:solidFill>
              <w14:schemeClr w14:val="tx1"/>
            </w14:solidFill>
          </w14:textFill>
        </w:rPr>
        <w:t>离合器。采煤</w:t>
      </w:r>
      <w:r>
        <w:rPr>
          <w:rFonts w:hint="eastAsia" w:ascii="仿宋" w:hAnsi="仿宋" w:eastAsia="仿宋" w:cs="仿宋_GB2312"/>
          <w:bCs/>
          <w:color w:val="000000" w:themeColor="text1"/>
          <w:sz w:val="24"/>
          <w14:textFill>
            <w14:solidFill>
              <w14:schemeClr w14:val="tx1"/>
            </w14:solidFill>
          </w14:textFill>
        </w:rPr>
        <w:t>机停止工作或</w:t>
      </w:r>
      <w:r>
        <w:rPr>
          <w:rFonts w:ascii="仿宋" w:hAnsi="仿宋" w:eastAsia="仿宋" w:cs="仿宋_GB2312"/>
          <w:bCs/>
          <w:color w:val="000000" w:themeColor="text1"/>
          <w:sz w:val="24"/>
          <w14:textFill>
            <w14:solidFill>
              <w14:schemeClr w14:val="tx1"/>
            </w14:solidFill>
          </w14:textFill>
        </w:rPr>
        <w:t>检修时，必须切断</w:t>
      </w:r>
      <w:r>
        <w:rPr>
          <w:rFonts w:hint="eastAsia" w:ascii="仿宋" w:hAnsi="仿宋" w:eastAsia="仿宋" w:cs="仿宋_GB2312"/>
          <w:bCs/>
          <w:color w:val="000000" w:themeColor="text1"/>
          <w:sz w:val="24"/>
          <w14:textFill>
            <w14:solidFill>
              <w14:schemeClr w14:val="tx1"/>
            </w14:solidFill>
          </w14:textFill>
        </w:rPr>
        <w:t>采煤机前级供电开关电源并断开其隔离开关</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并断开采煤机隔离开关、打开截割部离合器</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7、采煤机上的控制按钮必须设在靠采空区一侧，并加保护设施。采煤机必须安装机载式甲烷断电仪（本工作面采煤机安装GJC4型甲烷传感器），采煤机司机必须携带便携式甲烷检测报警仪。</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w:t>
      </w:r>
      <w:r>
        <w:rPr>
          <w:rFonts w:ascii="仿宋" w:hAnsi="仿宋" w:eastAsia="仿宋" w:cs="仿宋_GB2312"/>
          <w:bCs/>
          <w:color w:val="000000" w:themeColor="text1"/>
          <w:sz w:val="24"/>
          <w14:textFill>
            <w14:solidFill>
              <w14:schemeClr w14:val="tx1"/>
            </w14:solidFill>
          </w14:textFill>
        </w:rPr>
        <w:t>、割煤前应做好准备工作，如：检查各部件是否齐全，油位是否符合要求，各种螺</w:t>
      </w:r>
      <w:r>
        <w:rPr>
          <w:rFonts w:hint="eastAsia" w:ascii="仿宋" w:hAnsi="仿宋" w:eastAsia="仿宋" w:cs="仿宋_GB2312"/>
          <w:bCs/>
          <w:color w:val="000000" w:themeColor="text1"/>
          <w:sz w:val="24"/>
          <w14:textFill>
            <w14:solidFill>
              <w14:schemeClr w14:val="tx1"/>
            </w14:solidFill>
          </w14:textFill>
        </w:rPr>
        <w:t>栓</w:t>
      </w:r>
      <w:r>
        <w:rPr>
          <w:rFonts w:ascii="仿宋" w:hAnsi="仿宋" w:eastAsia="仿宋" w:cs="仿宋_GB2312"/>
          <w:bCs/>
          <w:color w:val="000000" w:themeColor="text1"/>
          <w:sz w:val="24"/>
          <w14:textFill>
            <w14:solidFill>
              <w14:schemeClr w14:val="tx1"/>
            </w14:solidFill>
          </w14:textFill>
        </w:rPr>
        <w:t>是否紧固、操作手柄是否灵活可靠，并空载试运3～5分钟，如发现问题及时处理，严禁带病作业。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9</w:t>
      </w:r>
      <w:r>
        <w:rPr>
          <w:rFonts w:ascii="仿宋" w:hAnsi="仿宋" w:eastAsia="仿宋" w:cs="仿宋_GB2312"/>
          <w:bCs/>
          <w:color w:val="000000" w:themeColor="text1"/>
          <w:sz w:val="24"/>
          <w14:textFill>
            <w14:solidFill>
              <w14:schemeClr w14:val="tx1"/>
            </w14:solidFill>
          </w14:textFill>
        </w:rPr>
        <w:t>、开机前首先打开喷雾</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冷却系统，禁止无水割煤。开机时，必须先巡视采煤机四周，发出</w:t>
      </w:r>
      <w:r>
        <w:rPr>
          <w:rFonts w:hint="eastAsia" w:ascii="仿宋" w:hAnsi="仿宋" w:eastAsia="仿宋" w:cs="仿宋_GB2312"/>
          <w:bCs/>
          <w:color w:val="000000" w:themeColor="text1"/>
          <w:sz w:val="24"/>
          <w14:textFill>
            <w14:solidFill>
              <w14:schemeClr w14:val="tx1"/>
            </w14:solidFill>
          </w14:textFill>
        </w:rPr>
        <w:t>预警</w:t>
      </w:r>
      <w:r>
        <w:rPr>
          <w:rFonts w:ascii="仿宋" w:hAnsi="仿宋" w:eastAsia="仿宋" w:cs="仿宋_GB2312"/>
          <w:bCs/>
          <w:color w:val="000000" w:themeColor="text1"/>
          <w:sz w:val="24"/>
          <w14:textFill>
            <w14:solidFill>
              <w14:schemeClr w14:val="tx1"/>
            </w14:solidFill>
          </w14:textFill>
        </w:rPr>
        <w:t>信号，确保两滚筒上、下5m内无其他人员行走或作业，确认对人员无危险时，方能</w:t>
      </w:r>
      <w:r>
        <w:rPr>
          <w:rFonts w:hint="eastAsia" w:ascii="仿宋" w:hAnsi="仿宋" w:eastAsia="仿宋" w:cs="仿宋_GB2312"/>
          <w:bCs/>
          <w:color w:val="000000" w:themeColor="text1"/>
          <w:sz w:val="24"/>
          <w14:textFill>
            <w14:solidFill>
              <w14:schemeClr w14:val="tx1"/>
            </w14:solidFill>
          </w14:textFill>
        </w:rPr>
        <w:t>接通电源</w:t>
      </w:r>
      <w:r>
        <w:rPr>
          <w:rFonts w:ascii="仿宋" w:hAnsi="仿宋" w:eastAsia="仿宋" w:cs="仿宋_GB2312"/>
          <w:bCs/>
          <w:color w:val="000000" w:themeColor="text1"/>
          <w:sz w:val="24"/>
          <w14:textFill>
            <w14:solidFill>
              <w14:schemeClr w14:val="tx1"/>
            </w14:solidFill>
          </w14:textFill>
        </w:rPr>
        <w:t>开机。采煤机运转时，不论何种原因，需要返刀时，都要及时发出信号，严禁突然返机。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10</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采</w:t>
      </w:r>
      <w:r>
        <w:rPr>
          <w:rFonts w:ascii="仿宋" w:hAnsi="仿宋" w:eastAsia="仿宋" w:cs="仿宋_GB2312"/>
          <w:bCs/>
          <w:color w:val="000000" w:themeColor="text1"/>
          <w:sz w:val="24"/>
          <w14:textFill>
            <w14:solidFill>
              <w14:schemeClr w14:val="tx1"/>
            </w14:solidFill>
          </w14:textFill>
        </w:rPr>
        <w:t>煤机司机</w:t>
      </w:r>
      <w:r>
        <w:rPr>
          <w:rFonts w:hint="eastAsia" w:ascii="仿宋" w:hAnsi="仿宋" w:eastAsia="仿宋" w:cs="仿宋_GB2312"/>
          <w:bCs/>
          <w:color w:val="000000" w:themeColor="text1"/>
          <w:sz w:val="24"/>
          <w14:textFill>
            <w14:solidFill>
              <w14:schemeClr w14:val="tx1"/>
            </w14:solidFill>
          </w14:textFill>
        </w:rPr>
        <w:t>应不少于2人一组协调作业，分工明确，</w:t>
      </w:r>
      <w:r>
        <w:rPr>
          <w:rFonts w:ascii="仿宋" w:hAnsi="仿宋" w:eastAsia="仿宋" w:cs="仿宋_GB2312"/>
          <w:bCs/>
          <w:color w:val="000000" w:themeColor="text1"/>
          <w:sz w:val="24"/>
          <w14:textFill>
            <w14:solidFill>
              <w14:schemeClr w14:val="tx1"/>
            </w14:solidFill>
          </w14:textFill>
        </w:rPr>
        <w:t>严禁</w:t>
      </w:r>
      <w:r>
        <w:rPr>
          <w:rFonts w:hint="eastAsia" w:ascii="仿宋" w:hAnsi="仿宋" w:eastAsia="仿宋" w:cs="仿宋_GB2312"/>
          <w:bCs/>
          <w:color w:val="000000" w:themeColor="text1"/>
          <w:sz w:val="24"/>
          <w14:textFill>
            <w14:solidFill>
              <w14:schemeClr w14:val="tx1"/>
            </w14:solidFill>
          </w14:textFill>
        </w:rPr>
        <w:t>单</w:t>
      </w:r>
      <w:r>
        <w:rPr>
          <w:rFonts w:ascii="仿宋" w:hAnsi="仿宋" w:eastAsia="仿宋" w:cs="仿宋_GB2312"/>
          <w:bCs/>
          <w:color w:val="000000" w:themeColor="text1"/>
          <w:sz w:val="24"/>
          <w14:textFill>
            <w14:solidFill>
              <w14:schemeClr w14:val="tx1"/>
            </w14:solidFill>
          </w14:textFill>
        </w:rPr>
        <w:t>人操作。司机不得远离煤机</w:t>
      </w:r>
      <w:r>
        <w:rPr>
          <w:rFonts w:hint="eastAsia" w:ascii="仿宋" w:hAnsi="仿宋" w:eastAsia="仿宋" w:cs="仿宋_GB2312"/>
          <w:bCs/>
          <w:color w:val="000000" w:themeColor="text1"/>
          <w:sz w:val="24"/>
          <w14:textFill>
            <w14:solidFill>
              <w14:schemeClr w14:val="tx1"/>
            </w14:solidFill>
          </w14:textFill>
        </w:rPr>
        <w:t>，要随时注意观察顶板、煤壁及刮板运输机运转情况，</w:t>
      </w:r>
      <w:r>
        <w:rPr>
          <w:rFonts w:ascii="仿宋" w:hAnsi="仿宋" w:eastAsia="仿宋" w:cs="仿宋_GB2312"/>
          <w:bCs/>
          <w:color w:val="000000" w:themeColor="text1"/>
          <w:sz w:val="24"/>
          <w14:textFill>
            <w14:solidFill>
              <w14:schemeClr w14:val="tx1"/>
            </w14:solidFill>
          </w14:textFill>
        </w:rPr>
        <w:t>采煤机要匀速牵引，均匀出煤，遇夹矸及时降低牵引速度</w:t>
      </w:r>
      <w:r>
        <w:rPr>
          <w:rFonts w:hint="eastAsia" w:ascii="仿宋" w:hAnsi="仿宋" w:eastAsia="仿宋" w:cs="仿宋_GB2312"/>
          <w:bCs/>
          <w:color w:val="000000" w:themeColor="text1"/>
          <w:sz w:val="24"/>
          <w14:textFill>
            <w14:solidFill>
              <w14:schemeClr w14:val="tx1"/>
            </w14:solidFill>
          </w14:textFill>
        </w:rPr>
        <w:t>，发现意外时，应立即停机处理，停机时必须对采煤机、运输机停电闭锁</w:t>
      </w:r>
      <w:r>
        <w:rPr>
          <w:rFonts w:ascii="仿宋" w:hAnsi="仿宋" w:eastAsia="仿宋" w:cs="仿宋_GB2312"/>
          <w:bCs/>
          <w:color w:val="000000" w:themeColor="text1"/>
          <w:sz w:val="24"/>
          <w14:textFill>
            <w14:solidFill>
              <w14:schemeClr w14:val="tx1"/>
            </w14:solidFill>
          </w14:textFill>
        </w:rPr>
        <w:t>。不得强行牵引，以防打坏齿轮，损坏油泵和电机。不得频繁启动。</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11、煤机司机必须提高自主保安意识，确保自己随时处于安全地点操作。防止滚筒甩出煤矸、物料伤人；采煤机司机行走时要注意防滑防倒，同时注意观察架间以防架间漏矸伤人。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12、采煤机运行时，采煤机司机必须站在架档操作，严禁架前行走操作，随时观察两滚筒上、下5m范围内有无其他人员行走或作业，发现隐患，必须立即停机。割煤时，任何人严禁在煤壁作业。</w:t>
      </w:r>
      <w:r>
        <w:rPr>
          <w:rFonts w:hint="eastAsia" w:ascii="仿宋" w:hAnsi="仿宋" w:eastAsia="仿宋"/>
          <w:color w:val="000000" w:themeColor="text1"/>
          <w:sz w:val="24"/>
          <w14:textFill>
            <w14:solidFill>
              <w14:schemeClr w14:val="tx1"/>
            </w14:solidFill>
          </w14:textFill>
        </w:rPr>
        <w:t>在智能化跟机作业时，采煤机司机要跟机观察煤机运行情况，集中精力，观察煤壁、顶板、支架情况，发现异常及时停机后向控制台汇报。</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13</w:t>
      </w:r>
      <w:r>
        <w:rPr>
          <w:rFonts w:ascii="仿宋" w:hAnsi="仿宋" w:eastAsia="仿宋" w:cs="仿宋_GB2312"/>
          <w:bCs/>
          <w:color w:val="000000" w:themeColor="text1"/>
          <w:sz w:val="24"/>
          <w14:textFill>
            <w14:solidFill>
              <w14:schemeClr w14:val="tx1"/>
            </w14:solidFill>
          </w14:textFill>
        </w:rPr>
        <w:t>、工作面遇有坚硬夹</w:t>
      </w:r>
      <w:r>
        <w:rPr>
          <w:rFonts w:hint="eastAsia" w:ascii="仿宋" w:hAnsi="仿宋" w:eastAsia="仿宋" w:cs="仿宋_GB2312"/>
          <w:bCs/>
          <w:color w:val="000000" w:themeColor="text1"/>
          <w:sz w:val="24"/>
          <w14:textFill>
            <w14:solidFill>
              <w14:schemeClr w14:val="tx1"/>
            </w14:solidFill>
          </w14:textFill>
        </w:rPr>
        <w:t>矸、黄铁矿结核或遗留钻杆时，</w:t>
      </w:r>
      <w:r>
        <w:rPr>
          <w:rFonts w:ascii="仿宋" w:hAnsi="仿宋" w:eastAsia="仿宋" w:cs="仿宋_GB2312"/>
          <w:bCs/>
          <w:color w:val="000000" w:themeColor="text1"/>
          <w:sz w:val="24"/>
          <w14:textFill>
            <w14:solidFill>
              <w14:schemeClr w14:val="tx1"/>
            </w14:solidFill>
          </w14:textFill>
        </w:rPr>
        <w:t>应</w:t>
      </w:r>
      <w:r>
        <w:rPr>
          <w:rFonts w:hint="eastAsia" w:ascii="仿宋" w:hAnsi="仿宋" w:eastAsia="仿宋" w:cs="仿宋_GB2312"/>
          <w:bCs/>
          <w:color w:val="000000" w:themeColor="text1"/>
          <w:sz w:val="24"/>
          <w14:textFill>
            <w14:solidFill>
              <w14:schemeClr w14:val="tx1"/>
            </w14:solidFill>
          </w14:textFill>
        </w:rPr>
        <w:t>采取措施</w:t>
      </w:r>
      <w:r>
        <w:rPr>
          <w:rFonts w:ascii="仿宋" w:hAnsi="仿宋" w:eastAsia="仿宋" w:cs="仿宋_GB2312"/>
          <w:bCs/>
          <w:color w:val="000000" w:themeColor="text1"/>
          <w:sz w:val="24"/>
          <w14:textFill>
            <w14:solidFill>
              <w14:schemeClr w14:val="tx1"/>
            </w14:solidFill>
          </w14:textFill>
        </w:rPr>
        <w:t>处理，</w:t>
      </w:r>
      <w:r>
        <w:rPr>
          <w:rFonts w:hint="eastAsia" w:ascii="仿宋" w:hAnsi="仿宋" w:eastAsia="仿宋" w:cs="仿宋_GB2312"/>
          <w:bCs/>
          <w:color w:val="000000" w:themeColor="text1"/>
          <w:sz w:val="24"/>
          <w14:textFill>
            <w14:solidFill>
              <w14:schemeClr w14:val="tx1"/>
            </w14:solidFill>
          </w14:textFill>
        </w:rPr>
        <w:t>严禁</w:t>
      </w:r>
      <w:r>
        <w:rPr>
          <w:rFonts w:ascii="仿宋" w:hAnsi="仿宋" w:eastAsia="仿宋" w:cs="仿宋_GB2312"/>
          <w:bCs/>
          <w:color w:val="000000" w:themeColor="text1"/>
          <w:sz w:val="24"/>
          <w14:textFill>
            <w14:solidFill>
              <w14:schemeClr w14:val="tx1"/>
            </w14:solidFill>
          </w14:textFill>
        </w:rPr>
        <w:t>用采煤机强行截割。</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14</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工作面</w:t>
      </w:r>
      <w:r>
        <w:rPr>
          <w:rFonts w:ascii="仿宋" w:hAnsi="仿宋" w:eastAsia="仿宋" w:cs="仿宋_GB2312"/>
          <w:bCs/>
          <w:color w:val="000000" w:themeColor="text1"/>
          <w:sz w:val="24"/>
          <w14:textFill>
            <w14:solidFill>
              <w14:schemeClr w14:val="tx1"/>
            </w14:solidFill>
          </w14:textFill>
        </w:rPr>
        <w:t>必须做到煤壁直、</w:t>
      </w:r>
      <w:r>
        <w:rPr>
          <w:rFonts w:hint="eastAsia" w:ascii="仿宋" w:hAnsi="仿宋" w:eastAsia="仿宋" w:cs="仿宋_GB2312"/>
          <w:bCs/>
          <w:color w:val="000000" w:themeColor="text1"/>
          <w:sz w:val="24"/>
          <w14:textFill>
            <w14:solidFill>
              <w14:schemeClr w14:val="tx1"/>
            </w14:solidFill>
          </w14:textFill>
        </w:rPr>
        <w:t>顶</w:t>
      </w:r>
      <w:r>
        <w:rPr>
          <w:rFonts w:ascii="仿宋" w:hAnsi="仿宋" w:eastAsia="仿宋" w:cs="仿宋_GB2312"/>
          <w:bCs/>
          <w:color w:val="000000" w:themeColor="text1"/>
          <w:sz w:val="24"/>
          <w14:textFill>
            <w14:solidFill>
              <w14:schemeClr w14:val="tx1"/>
            </w14:solidFill>
          </w14:textFill>
        </w:rPr>
        <w:t>底板平、不留伞檐，采高符合规定。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15</w:t>
      </w:r>
      <w:r>
        <w:rPr>
          <w:rFonts w:ascii="仿宋" w:hAnsi="仿宋" w:eastAsia="仿宋" w:cs="仿宋_GB2312"/>
          <w:bCs/>
          <w:color w:val="000000" w:themeColor="text1"/>
          <w:sz w:val="24"/>
          <w14:textFill>
            <w14:solidFill>
              <w14:schemeClr w14:val="tx1"/>
            </w14:solidFill>
          </w14:textFill>
        </w:rPr>
        <w:t>、煤机割机头（尾）时，应提前回</w:t>
      </w:r>
      <w:r>
        <w:rPr>
          <w:rFonts w:hint="eastAsia" w:ascii="仿宋" w:hAnsi="仿宋" w:eastAsia="仿宋" w:cs="仿宋_GB2312"/>
          <w:bCs/>
          <w:color w:val="000000" w:themeColor="text1"/>
          <w:sz w:val="24"/>
          <w14:textFill>
            <w14:solidFill>
              <w14:schemeClr w14:val="tx1"/>
            </w14:solidFill>
          </w14:textFill>
        </w:rPr>
        <w:t>收</w:t>
      </w:r>
      <w:r>
        <w:rPr>
          <w:rFonts w:ascii="仿宋" w:hAnsi="仿宋" w:eastAsia="仿宋" w:cs="仿宋_GB2312"/>
          <w:bCs/>
          <w:color w:val="000000" w:themeColor="text1"/>
          <w:sz w:val="24"/>
          <w14:textFill>
            <w14:solidFill>
              <w14:schemeClr w14:val="tx1"/>
            </w14:solidFill>
          </w14:textFill>
        </w:rPr>
        <w:t>两巷</w:t>
      </w:r>
      <w:r>
        <w:rPr>
          <w:rFonts w:hint="eastAsia" w:ascii="仿宋" w:hAnsi="仿宋" w:eastAsia="仿宋" w:cs="仿宋_GB2312"/>
          <w:bCs/>
          <w:color w:val="000000" w:themeColor="text1"/>
          <w:sz w:val="24"/>
          <w14:textFill>
            <w14:solidFill>
              <w14:schemeClr w14:val="tx1"/>
            </w14:solidFill>
          </w14:textFill>
        </w:rPr>
        <w:t>回采侧</w:t>
      </w:r>
      <w:r>
        <w:rPr>
          <w:rFonts w:ascii="仿宋" w:hAnsi="仿宋" w:eastAsia="仿宋" w:cs="仿宋_GB2312"/>
          <w:bCs/>
          <w:color w:val="000000" w:themeColor="text1"/>
          <w:sz w:val="24"/>
          <w14:textFill>
            <w14:solidFill>
              <w14:schemeClr w14:val="tx1"/>
            </w14:solidFill>
          </w14:textFill>
        </w:rPr>
        <w:t>煤帮的</w:t>
      </w:r>
      <w:r>
        <w:rPr>
          <w:rFonts w:hint="eastAsia" w:ascii="仿宋" w:hAnsi="仿宋" w:eastAsia="仿宋" w:cs="仿宋_GB2312"/>
          <w:bCs/>
          <w:color w:val="000000" w:themeColor="text1"/>
          <w:sz w:val="24"/>
          <w14:textFill>
            <w14:solidFill>
              <w14:schemeClr w14:val="tx1"/>
            </w14:solidFill>
          </w14:textFill>
        </w:rPr>
        <w:t>金属网、锚杆等，严禁强行截割</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16</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采煤机运行至上（下）端头距离小于10m时，严禁上（下）端头有人作业，同时必须放慢牵引速度，采煤机司机发出警告信号、集中注意力，队长要指定专人观察周围情况，防止挤压、割坏电缆、支柱。严禁使用采煤机强硬割除帮顶支护材料，只有在端头顶板维护完整、各种杂物清除干净、人员躲到安全位置（至少距滚筒10m以外）后方可截割，同时严禁其他人员在煤机附近行走。</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17</w:t>
      </w:r>
      <w:r>
        <w:rPr>
          <w:rFonts w:ascii="仿宋" w:hAnsi="仿宋" w:eastAsia="仿宋" w:cs="仿宋_GB2312"/>
          <w:bCs/>
          <w:color w:val="000000" w:themeColor="text1"/>
          <w:sz w:val="24"/>
          <w14:textFill>
            <w14:solidFill>
              <w14:schemeClr w14:val="tx1"/>
            </w14:solidFill>
          </w14:textFill>
        </w:rPr>
        <w:t>、采煤机运行，</w:t>
      </w:r>
      <w:r>
        <w:rPr>
          <w:rFonts w:hint="eastAsia" w:ascii="仿宋" w:hAnsi="仿宋" w:eastAsia="仿宋" w:cs="仿宋_GB2312"/>
          <w:bCs/>
          <w:color w:val="000000" w:themeColor="text1"/>
          <w:sz w:val="24"/>
          <w14:textFill>
            <w14:solidFill>
              <w14:schemeClr w14:val="tx1"/>
            </w14:solidFill>
          </w14:textFill>
        </w:rPr>
        <w:t>司机</w:t>
      </w:r>
      <w:r>
        <w:rPr>
          <w:rFonts w:ascii="仿宋" w:hAnsi="仿宋" w:eastAsia="仿宋" w:cs="仿宋_GB2312"/>
          <w:bCs/>
          <w:color w:val="000000" w:themeColor="text1"/>
          <w:sz w:val="24"/>
          <w14:textFill>
            <w14:solidFill>
              <w14:schemeClr w14:val="tx1"/>
            </w14:solidFill>
          </w14:textFill>
        </w:rPr>
        <w:t>应时刻注意</w:t>
      </w:r>
      <w:r>
        <w:rPr>
          <w:rFonts w:hint="eastAsia" w:ascii="仿宋" w:hAnsi="仿宋" w:eastAsia="仿宋" w:cs="仿宋_GB2312"/>
          <w:bCs/>
          <w:color w:val="000000" w:themeColor="text1"/>
          <w:sz w:val="24"/>
          <w14:textFill>
            <w14:solidFill>
              <w14:schemeClr w14:val="tx1"/>
            </w14:solidFill>
          </w14:textFill>
        </w:rPr>
        <w:t>采煤机的</w:t>
      </w:r>
      <w:r>
        <w:rPr>
          <w:rFonts w:ascii="仿宋" w:hAnsi="仿宋" w:eastAsia="仿宋" w:cs="仿宋_GB2312"/>
          <w:bCs/>
          <w:color w:val="000000" w:themeColor="text1"/>
          <w:sz w:val="24"/>
          <w14:textFill>
            <w14:solidFill>
              <w14:schemeClr w14:val="tx1"/>
            </w14:solidFill>
          </w14:textFill>
        </w:rPr>
        <w:t>拖拽装置，</w:t>
      </w:r>
      <w:r>
        <w:rPr>
          <w:rFonts w:hint="eastAsia" w:ascii="仿宋" w:hAnsi="仿宋" w:eastAsia="仿宋" w:cs="仿宋_GB2312"/>
          <w:bCs/>
          <w:color w:val="000000" w:themeColor="text1"/>
          <w:sz w:val="24"/>
          <w14:textFill>
            <w14:solidFill>
              <w14:schemeClr w14:val="tx1"/>
            </w14:solidFill>
          </w14:textFill>
        </w:rPr>
        <w:t>防止被卡</w:t>
      </w:r>
      <w:r>
        <w:rPr>
          <w:rFonts w:ascii="仿宋" w:hAnsi="仿宋" w:eastAsia="仿宋" w:cs="仿宋_GB2312"/>
          <w:bCs/>
          <w:color w:val="000000" w:themeColor="text1"/>
          <w:sz w:val="24"/>
          <w14:textFill>
            <w14:solidFill>
              <w14:schemeClr w14:val="tx1"/>
            </w14:solidFill>
          </w14:textFill>
        </w:rPr>
        <w:t>或出槽，防止</w:t>
      </w:r>
      <w:r>
        <w:rPr>
          <w:rFonts w:hint="eastAsia" w:ascii="仿宋" w:hAnsi="仿宋" w:eastAsia="仿宋" w:cs="仿宋_GB2312"/>
          <w:bCs/>
          <w:color w:val="000000" w:themeColor="text1"/>
          <w:sz w:val="24"/>
          <w14:textFill>
            <w14:solidFill>
              <w14:schemeClr w14:val="tx1"/>
            </w14:solidFill>
          </w14:textFill>
        </w:rPr>
        <w:t>拉</w:t>
      </w:r>
      <w:r>
        <w:rPr>
          <w:rFonts w:ascii="仿宋" w:hAnsi="仿宋" w:eastAsia="仿宋" w:cs="仿宋_GB2312"/>
          <w:bCs/>
          <w:color w:val="000000" w:themeColor="text1"/>
          <w:sz w:val="24"/>
          <w14:textFill>
            <w14:solidFill>
              <w14:schemeClr w14:val="tx1"/>
            </w14:solidFill>
          </w14:textFill>
        </w:rPr>
        <w:t>坏、挤伤电缆及水管</w:t>
      </w:r>
      <w:r>
        <w:rPr>
          <w:rFonts w:hint="eastAsia" w:ascii="仿宋" w:hAnsi="仿宋" w:eastAsia="仿宋" w:cs="仿宋_GB2312"/>
          <w:bCs/>
          <w:color w:val="000000" w:themeColor="text1"/>
          <w:sz w:val="24"/>
          <w14:textFill>
            <w14:solidFill>
              <w14:schemeClr w14:val="tx1"/>
            </w14:solidFill>
          </w14:textFill>
        </w:rPr>
        <w:t>；司机</w:t>
      </w:r>
      <w:r>
        <w:rPr>
          <w:rFonts w:ascii="仿宋" w:hAnsi="仿宋" w:eastAsia="仿宋" w:cs="仿宋_GB2312"/>
          <w:bCs/>
          <w:color w:val="000000" w:themeColor="text1"/>
          <w:sz w:val="24"/>
          <w14:textFill>
            <w14:solidFill>
              <w14:schemeClr w14:val="tx1"/>
            </w14:solidFill>
          </w14:textFill>
        </w:rPr>
        <w:t>还要注意观察支架前梁与煤壁的距离，严禁割前梁和护帮板。</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18</w:t>
      </w:r>
      <w:r>
        <w:rPr>
          <w:rFonts w:ascii="仿宋" w:hAnsi="仿宋" w:eastAsia="仿宋" w:cs="仿宋_GB2312"/>
          <w:bCs/>
          <w:color w:val="000000" w:themeColor="text1"/>
          <w:sz w:val="24"/>
          <w14:textFill>
            <w14:solidFill>
              <w14:schemeClr w14:val="tx1"/>
            </w14:solidFill>
          </w14:textFill>
        </w:rPr>
        <w:t>、煤机应安专人定期检修，发现问题及时处理，同时要经常查看油位，保证煤机正常工作。</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9</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采煤机停机时前后滚筒要落地。处理故障或检修时，要对运输机进行停电闭锁，同时严格执行“敲帮问顶”制度，对检修煤机所在处进行背帮护帮板紧贴煤壁，同时专人观察顶帮情况，确认作业范围内无片帮掉顶威胁后，人员方可进行检修。煤机检修要对检修区域内支架的电液控进液截止阀进行关闭并悬挂检修期间禁止供液警示牌或安设专人看护。</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20、更换截齿和滚筒时，必须在支护良好地点进行，采煤机上下3m范围内，对煤帮进行严密背帮，禁止操作液压支架。施工前必须切断采煤机前级供电开关电源并断开其隔离开关，断开采煤机隔离开关，打开截割部离合器，并对工作面输送机施行闭锁。</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21</w:t>
      </w:r>
      <w:r>
        <w:rPr>
          <w:rFonts w:ascii="仿宋" w:hAnsi="仿宋" w:eastAsia="仿宋" w:cs="仿宋_GB2312"/>
          <w:bCs/>
          <w:color w:val="000000" w:themeColor="text1"/>
          <w:sz w:val="24"/>
          <w14:textFill>
            <w14:solidFill>
              <w14:schemeClr w14:val="tx1"/>
            </w14:solidFill>
          </w14:textFill>
        </w:rPr>
        <w:t>、采煤机用</w:t>
      </w:r>
      <w:r>
        <w:rPr>
          <w:rFonts w:hint="eastAsia" w:ascii="仿宋" w:hAnsi="仿宋" w:eastAsia="仿宋" w:cs="仿宋_GB2312"/>
          <w:bCs/>
          <w:color w:val="000000" w:themeColor="text1"/>
          <w:sz w:val="24"/>
          <w14:textFill>
            <w14:solidFill>
              <w14:schemeClr w14:val="tx1"/>
            </w14:solidFill>
          </w14:textFill>
        </w:rPr>
        <w:t>运输机</w:t>
      </w:r>
      <w:r>
        <w:rPr>
          <w:rFonts w:ascii="仿宋" w:hAnsi="仿宋" w:eastAsia="仿宋" w:cs="仿宋_GB2312"/>
          <w:bCs/>
          <w:color w:val="000000" w:themeColor="text1"/>
          <w:sz w:val="24"/>
          <w14:textFill>
            <w14:solidFill>
              <w14:schemeClr w14:val="tx1"/>
            </w14:solidFill>
          </w14:textFill>
        </w:rPr>
        <w:t>作轨道，</w:t>
      </w:r>
      <w:r>
        <w:rPr>
          <w:rFonts w:hint="eastAsia" w:ascii="仿宋" w:hAnsi="仿宋" w:eastAsia="仿宋" w:cs="仿宋_GB2312"/>
          <w:bCs/>
          <w:color w:val="000000" w:themeColor="text1"/>
          <w:sz w:val="24"/>
          <w14:textFill>
            <w14:solidFill>
              <w14:schemeClr w14:val="tx1"/>
            </w14:solidFill>
          </w14:textFill>
        </w:rPr>
        <w:t>必须经常检查采煤机行走机构、刮板输送机的溜槽和销排的连接情况，安设必须紧固、完好。</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22、采煤机的防滑措施</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（1）采煤机停机时（无特殊情况）必须将采煤机放在工作面倾角较小且顶板完好的位置。</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ascii="仿宋" w:hAnsi="仿宋" w:eastAsia="仿宋" w:cs="仿宋_GB2312"/>
          <w:bCs/>
          <w:color w:val="000000" w:themeColor="text1"/>
          <w:sz w:val="24"/>
          <w14:textFill>
            <w14:solidFill>
              <w14:schemeClr w14:val="tx1"/>
            </w14:solidFill>
          </w14:textFill>
        </w:rPr>
        <w:t>回采期间采煤机要</w:t>
      </w:r>
      <w:r>
        <w:rPr>
          <w:rFonts w:hint="eastAsia" w:ascii="仿宋" w:hAnsi="仿宋" w:eastAsia="仿宋" w:cs="仿宋_GB2312"/>
          <w:bCs/>
          <w:color w:val="000000" w:themeColor="text1"/>
          <w:sz w:val="24"/>
          <w14:textFill>
            <w14:solidFill>
              <w14:schemeClr w14:val="tx1"/>
            </w14:solidFill>
          </w14:textFill>
        </w:rPr>
        <w:t>控制好</w:t>
      </w:r>
      <w:r>
        <w:rPr>
          <w:rFonts w:ascii="仿宋" w:hAnsi="仿宋" w:eastAsia="仿宋" w:cs="仿宋_GB2312"/>
          <w:bCs/>
          <w:color w:val="000000" w:themeColor="text1"/>
          <w:sz w:val="24"/>
          <w14:textFill>
            <w14:solidFill>
              <w14:schemeClr w14:val="tx1"/>
            </w14:solidFill>
          </w14:textFill>
        </w:rPr>
        <w:t>速度，防止采煤机过载突然停机而造成下滑。</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为防止煤机突然停机时下滑，应保证煤机牵引部制动闸完好。</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23</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工作面发生冒顶及严重片帮事故时，必须停止采煤机，及时处理。处</w:t>
      </w:r>
    </w:p>
    <w:p>
      <w:pPr>
        <w:keepNext w:val="0"/>
        <w:keepLines w:val="0"/>
        <w:pageBreakBefore w:val="0"/>
        <w:kinsoku/>
        <w:wordWrap/>
        <w:overflowPunct/>
        <w:topLinePunct w:val="0"/>
        <w:autoSpaceDE w:val="0"/>
        <w:autoSpaceDN w:val="0"/>
        <w:bidi w:val="0"/>
        <w:adjustRightInd w:val="0"/>
        <w:snapToGrid w:val="0"/>
        <w:spacing w:line="360" w:lineRule="auto"/>
        <w:ind w:firstLine="0" w:firstLineChars="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理时，必须对采煤机、刮板输送机停电闭锁。</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24、检修煤机时，必须将煤机停在工作面压力较小，片帮不严重的区域，同时必须将片帮煤处理掉，将伸缩梁伸至煤壁，护帮板打出贴实煤壁，并有专人监护。</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进入溜槽内换截齿或检修煤机、支架等设备时，严格执行敲帮问顶制度，使用长把工具找掉活矸危岩，将片帮煤处理掉，作业时设专人监护，煤壁、顶板出现异常响动，立即撤出人员，待煤壁、顶板稳定后重新作业。</w:t>
      </w:r>
    </w:p>
    <w:p>
      <w:pPr>
        <w:pStyle w:val="12"/>
        <w:keepNext w:val="0"/>
        <w:keepLines w:val="0"/>
        <w:pageBreakBefore w:val="0"/>
        <w:kinsoku/>
        <w:wordWrap/>
        <w:overflowPunct/>
        <w:topLinePunct w:val="0"/>
        <w:bidi w:val="0"/>
        <w:snapToGrid w:val="0"/>
        <w:spacing w:after="0" w:line="360" w:lineRule="auto"/>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（二）采煤机检修</w:t>
      </w:r>
    </w:p>
    <w:p>
      <w:pPr>
        <w:pStyle w:val="12"/>
        <w:keepNext w:val="0"/>
        <w:keepLines w:val="0"/>
        <w:pageBreakBefore w:val="0"/>
        <w:kinsoku/>
        <w:wordWrap/>
        <w:overflowPunct/>
        <w:topLinePunct w:val="0"/>
        <w:bidi w:val="0"/>
        <w:snapToGrid w:val="0"/>
        <w:spacing w:after="0" w:line="360" w:lineRule="auto"/>
        <w:ind w:firstLine="48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1、煤机检修前，</w:t>
      </w:r>
      <w:r>
        <w:rPr>
          <w:rFonts w:hint="eastAsia" w:ascii="仿宋" w:hAnsi="仿宋" w:eastAsia="仿宋" w:cs="仿宋_GB2312"/>
          <w:sz w:val="24"/>
        </w:rPr>
        <w:t>在煤机检修地点上下两架范围内用钢筋网配合大板过严顶、背实帮、架间用</w:t>
      </w:r>
      <w:r>
        <w:rPr>
          <w:rFonts w:hint="eastAsia" w:ascii="仿宋" w:hAnsi="仿宋" w:eastAsia="仿宋" w:cs="仿宋_GB2312"/>
          <w:bCs/>
          <w:color w:val="000000" w:themeColor="text1"/>
          <w:sz w:val="24"/>
          <w14:textFill>
            <w14:solidFill>
              <w14:schemeClr w14:val="tx1"/>
            </w14:solidFill>
          </w14:textFill>
        </w:rPr>
        <w:t>DW型单体</w:t>
      </w:r>
      <w:r>
        <w:rPr>
          <w:rFonts w:hint="eastAsia" w:ascii="仿宋" w:hAnsi="仿宋" w:eastAsia="仿宋" w:cs="仿宋_GB2312"/>
          <w:sz w:val="24"/>
        </w:rPr>
        <w:t>配合半圆木支护可靠，同时作业地点上下3架支架控制器进行闭锁，并关闭相应支架进液截止阀。</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2、检修采煤机时，就近闭锁运输机的同时，煤机必须停电闭锁，同时通知控制台司机停上级开关电源并挂停电牌，专人停送电；煤机机身及与滚筒相邻3架支架伸缩梁与护帮板伸出后本架闭锁，</w:t>
      </w:r>
      <w:r>
        <w:rPr>
          <w:rFonts w:hint="eastAsia" w:ascii="仿宋" w:hAnsi="仿宋" w:eastAsia="仿宋" w:cs="仿宋_GB2312"/>
          <w:szCs w:val="24"/>
        </w:rPr>
        <w:t>并关闭相应支架进液截止阀</w:t>
      </w:r>
      <w:r>
        <w:rPr>
          <w:rFonts w:hint="eastAsia" w:ascii="仿宋" w:hAnsi="仿宋" w:eastAsia="仿宋"/>
          <w:color w:val="000000" w:themeColor="text1"/>
          <w:szCs w:val="24"/>
          <w14:textFill>
            <w14:solidFill>
              <w14:schemeClr w14:val="tx1"/>
            </w14:solidFill>
          </w14:textFill>
        </w:rPr>
        <w:t>。</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3、采煤机每日工作前应对下列事项进行检查和处理。</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（1）检查煤机电缆、电缆夹及拖移装置连接情况，起吊检修煤机电缆夹时，必须用棕绳吊挂牢固，做好二次防护，更换损坏的电缆夹；检查连接销有无损坏，电缆和水管有无挤压和损坏。</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（2）检查齿轨和卡块是否牢固，齿轨组的连接锁是否齐全。</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（3）检查喷雾有无堵塞和损坏，水过滤器是否堵塞，水压是否正常，水量是否充足。</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（4）检查截齿及齿座有无损坏和残缺，截齿磨损超限时必须更换，以保持截齿锋利。</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（5）检查各主要部件的螺栓是否紧固和齐全，各部件间的对接螺栓应保持紧固。</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（6）检查各部的油位是否适当，不足的要及时加油，检查各密封部位是否漏油。</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（7）检查各操作手把动作是否灵活可靠。</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（8）测试采煤机牵引、截割、调高情况。</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（9）检查行走箱、导向滑靴及支撑滑靴运行状况。</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（10）煤机工作时应经常注意各部有无异响，各部温升情况，注意油液和冷却水的压力情况。</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（11）检查各种指示显示窗、压力表、流量计、脏污指示器是否正常。</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（12）检查过滤器，必要时清洗滤芯。</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（13）每月应从主、辅牵引部及左、右机头液压箱及齿轮箱取油样，检查是否变质。（粘度、机械杂质、水分、腐蚀性）。</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（14）每天检查红外通讯接收装置是否正常。</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4、人员操作工具时，人员站立位置必须避开工具可能崩落的方向，注意力集中，不得用力过猛。</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5、人员在滚筒及煤壁侧作业时，采煤机及运输机必须停电闭锁，并安设专人监护。</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6、每班割煤和检修过后，应将煤机摇臂下垂，加强润滑。</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7、采煤机自带的瓦斯报警控制和断电装置齐全，报警浓度≥1.0% CH</w:t>
      </w:r>
      <w:r>
        <w:rPr>
          <w:rFonts w:hint="eastAsia" w:ascii="仿宋" w:hAnsi="仿宋" w:eastAsia="仿宋"/>
          <w:color w:val="000000" w:themeColor="text1"/>
          <w:szCs w:val="24"/>
          <w:vertAlign w:val="subscript"/>
          <w14:textFill>
            <w14:solidFill>
              <w14:schemeClr w14:val="tx1"/>
            </w14:solidFill>
          </w14:textFill>
        </w:rPr>
        <w:t>4</w:t>
      </w:r>
      <w:r>
        <w:rPr>
          <w:rFonts w:hint="eastAsia" w:ascii="仿宋" w:hAnsi="仿宋" w:eastAsia="仿宋"/>
          <w:color w:val="000000" w:themeColor="text1"/>
          <w:szCs w:val="24"/>
          <w14:textFill>
            <w14:solidFill>
              <w14:schemeClr w14:val="tx1"/>
            </w14:solidFill>
          </w14:textFill>
        </w:rPr>
        <w:t>，断电浓度≥1.5% CH</w:t>
      </w:r>
      <w:r>
        <w:rPr>
          <w:rFonts w:hint="eastAsia" w:ascii="仿宋" w:hAnsi="仿宋" w:eastAsia="仿宋"/>
          <w:color w:val="000000" w:themeColor="text1"/>
          <w:szCs w:val="24"/>
          <w:vertAlign w:val="subscript"/>
          <w14:textFill>
            <w14:solidFill>
              <w14:schemeClr w14:val="tx1"/>
            </w14:solidFill>
          </w14:textFill>
        </w:rPr>
        <w:t>4</w:t>
      </w:r>
      <w:r>
        <w:rPr>
          <w:rFonts w:hint="eastAsia" w:ascii="仿宋" w:hAnsi="仿宋" w:eastAsia="仿宋"/>
          <w:color w:val="000000" w:themeColor="text1"/>
          <w:szCs w:val="24"/>
          <w14:textFill>
            <w14:solidFill>
              <w14:schemeClr w14:val="tx1"/>
            </w14:solidFill>
          </w14:textFill>
        </w:rPr>
        <w:t>。</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8、煤机检修过后，必须经过重负荷试车。</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9、采煤机使用和维护应严格按照操作规程及使用说明书执行。</w:t>
      </w:r>
    </w:p>
    <w:p>
      <w:pPr>
        <w:pStyle w:val="106"/>
        <w:keepNext w:val="0"/>
        <w:keepLines w:val="0"/>
        <w:pageBreakBefore w:val="0"/>
        <w:kinsoku/>
        <w:wordWrap/>
        <w:overflowPunct/>
        <w:topLinePunct w:val="0"/>
        <w:bidi w:val="0"/>
        <w:snapToGrid w:val="0"/>
        <w:spacing w:line="360" w:lineRule="auto"/>
        <w:rPr>
          <w:rFonts w:hint="default" w:ascii="仿宋" w:hAnsi="仿宋" w:eastAsia="仿宋"/>
          <w:b/>
          <w:sz w:val="24"/>
          <w:szCs w:val="24"/>
        </w:rPr>
      </w:pPr>
      <w:bookmarkStart w:id="356" w:name="_Toc414605930"/>
      <w:bookmarkStart w:id="357" w:name="_Toc13992"/>
      <w:r>
        <w:rPr>
          <w:rFonts w:ascii="仿宋" w:hAnsi="仿宋" w:eastAsia="仿宋"/>
          <w:b/>
          <w:sz w:val="24"/>
          <w:szCs w:val="24"/>
        </w:rPr>
        <w:t>（三）使用煤机牵引、油泵辅助对接部件</w:t>
      </w:r>
      <w:bookmarkEnd w:id="356"/>
      <w:bookmarkEnd w:id="357"/>
      <w:r>
        <w:rPr>
          <w:rFonts w:ascii="仿宋" w:hAnsi="仿宋" w:eastAsia="仿宋"/>
          <w:b/>
          <w:sz w:val="24"/>
          <w:szCs w:val="24"/>
        </w:rPr>
        <w:tab/>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对接部件的情况有：调高油缸销轴的安装和移除、支撑滑靴销轴的安装和移除、导向滑靴的安装和移除、摇臂销轴的安装和拆除、驱动轮毂方头和滚筒的对正，其拆除对接工序如下：</w:t>
      </w:r>
    </w:p>
    <w:p>
      <w:pPr>
        <w:pStyle w:val="107"/>
        <w:keepNext w:val="0"/>
        <w:keepLines w:val="0"/>
        <w:pageBreakBefore w:val="0"/>
        <w:kinsoku/>
        <w:wordWrap/>
        <w:overflowPunct/>
        <w:topLinePunct w:val="0"/>
        <w:bidi w:val="0"/>
        <w:snapToGrid w:val="0"/>
        <w:spacing w:line="360" w:lineRule="auto"/>
        <w:ind w:firstLine="0" w:firstLineChars="0"/>
        <w:rPr>
          <w:rFonts w:ascii="仿宋" w:hAnsi="仿宋" w:eastAsia="仿宋"/>
          <w:b/>
          <w:sz w:val="24"/>
          <w:szCs w:val="24"/>
        </w:rPr>
      </w:pPr>
      <w:bookmarkStart w:id="358" w:name="_Toc414605931"/>
      <w:r>
        <w:rPr>
          <w:rFonts w:hint="eastAsia" w:ascii="仿宋" w:hAnsi="仿宋" w:eastAsia="仿宋"/>
          <w:b/>
          <w:sz w:val="24"/>
          <w:szCs w:val="24"/>
        </w:rPr>
        <w:t>1、</w:t>
      </w:r>
      <w:r>
        <w:rPr>
          <w:rFonts w:ascii="仿宋" w:hAnsi="仿宋" w:eastAsia="仿宋"/>
          <w:b/>
          <w:sz w:val="24"/>
          <w:szCs w:val="24"/>
        </w:rPr>
        <w:t>开启煤机牵引或油泵辅助对接部件时的工序</w:t>
      </w:r>
      <w:bookmarkEnd w:id="358"/>
    </w:p>
    <w:p>
      <w:pPr>
        <w:pStyle w:val="107"/>
        <w:keepNext w:val="0"/>
        <w:keepLines w:val="0"/>
        <w:pageBreakBefore w:val="0"/>
        <w:kinsoku/>
        <w:wordWrap/>
        <w:overflowPunct/>
        <w:topLinePunct w:val="0"/>
        <w:bidi w:val="0"/>
        <w:snapToGrid w:val="0"/>
        <w:spacing w:line="360" w:lineRule="auto"/>
        <w:ind w:firstLine="480"/>
        <w:rPr>
          <w:rFonts w:ascii="仿宋" w:hAnsi="仿宋" w:eastAsia="仿宋"/>
          <w:sz w:val="24"/>
          <w:szCs w:val="24"/>
        </w:rPr>
      </w:pPr>
      <w:r>
        <w:rPr>
          <w:rFonts w:hint="eastAsia" w:ascii="仿宋" w:hAnsi="仿宋" w:eastAsia="仿宋"/>
          <w:sz w:val="24"/>
          <w:szCs w:val="24"/>
        </w:rPr>
        <w:t>（1）更换煤机调高油缸时，首先采煤机停电闭锁，将煤机油缸位置处的载荷锁定装置盖板卸掉，然后拆除旧的调高油缸，使用撬棍、手拉葫芦将新的调高油缸缸体端的销轴安装到机架上，然后送电启动采煤机，但同时必须将煤机截割按钮打至闭</w:t>
      </w:r>
      <w:r>
        <w:rPr>
          <w:rFonts w:hint="eastAsia" w:ascii="仿宋" w:hAnsi="仿宋" w:eastAsia="仿宋"/>
          <w:color w:val="000000" w:themeColor="text1"/>
          <w:sz w:val="24"/>
          <w:szCs w:val="24"/>
          <w14:textFill>
            <w14:solidFill>
              <w14:schemeClr w14:val="tx1"/>
            </w14:solidFill>
          </w14:textFill>
        </w:rPr>
        <w:t>锁状态并拉开煤机滚筒隔离手把，使用遥控器控制调高油缸活塞杆伸出，将杆端的销孔与摇臂上的销孔对准。</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（2）更换煤机煤壁侧支撑滑靴时，首先使用煤机滚筒支撑煤机机身到足够高度，使滑靴不再支撑煤机机身的重量，然后停电闭锁煤机，将旧的支撑滑靴</w:t>
      </w:r>
    </w:p>
    <w:p>
      <w:pPr>
        <w:pStyle w:val="102"/>
        <w:keepNext w:val="0"/>
        <w:keepLines w:val="0"/>
        <w:pageBreakBefore w:val="0"/>
        <w:kinsoku/>
        <w:wordWrap/>
        <w:overflowPunct/>
        <w:topLinePunct w:val="0"/>
        <w:bidi w:val="0"/>
        <w:snapToGrid w:val="0"/>
        <w:spacing w:line="360" w:lineRule="auto"/>
        <w:ind w:firstLine="0" w:firstLineChars="0"/>
        <w:rPr>
          <w:rFonts w:ascii="仿宋" w:hAnsi="仿宋" w:eastAsia="仿宋"/>
          <w:szCs w:val="24"/>
        </w:rPr>
      </w:pPr>
      <w:r>
        <w:rPr>
          <w:rFonts w:hint="eastAsia" w:ascii="仿宋" w:hAnsi="仿宋" w:eastAsia="仿宋"/>
          <w:szCs w:val="24"/>
        </w:rPr>
        <w:t>及连接销轴卸掉并将新的支撑滑靴放置到位后，需要送电启动煤机，慢速的将煤机摇臂往上升，使用撬棍配合调整滑靴和滑靴座，把支撑滑靴的销孔水平校正。</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3）更换导向滑靴或者行走轮时，首先停电闭锁采煤机，拆除导向滑靴销轴定位板后使用拉锤拉出固定销，然后采煤机送电，使用煤机滚筒支撑煤机机身到足够高度，使导向滑靴及行走轮不再支撑煤机机身的重量，停电闭锁采煤机，将旧的导向滑靴或者行走轮卸掉并使用手拉葫芦沿着运输机销排拉出，使用手拉葫芦将新的滑靴或者行走轮拉到位后，送电启动采煤机，慢速的将煤机摇臂往上升，调整导向滑靴和行走轮组件的销孔至水平对正。</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4）更换煤机滚筒时，首先停电闭锁采煤机，将旧的滚筒拆除，并将新的滚筒立放置到煤机附近顶板条件较好且背好帮的位置，然后送电开启采煤机，但同时必须将煤机截割按钮打至闭锁状态，遥控牵引采煤机，同时安排一专人站在距离滚筒不远处观察，当煤机行进至驱动轮毂方头与滚筒对正时，停电闭锁采煤机，使用支架推溜配合完成滚筒的安装。</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5）更换煤机摇臂时，首先将煤机停电闭锁，拆除滚筒和需要更换掉的摇臂后将旧摇臂拉出，将新的摇臂拉到指定位置处，使用手拉葫芦将摇臂截割电机侧起吊到合适的高度，送电启动采煤机，牵引煤机至摇臂与机身铰接位置，停电闭锁采煤机，使用手拉葫芦配合调整摇臂位置，将摇臂的铰接销轴安装到位。</w:t>
      </w:r>
    </w:p>
    <w:p>
      <w:pPr>
        <w:pStyle w:val="107"/>
        <w:keepNext w:val="0"/>
        <w:keepLines w:val="0"/>
        <w:pageBreakBefore w:val="0"/>
        <w:kinsoku/>
        <w:wordWrap/>
        <w:overflowPunct/>
        <w:topLinePunct w:val="0"/>
        <w:bidi w:val="0"/>
        <w:snapToGrid w:val="0"/>
        <w:spacing w:line="360" w:lineRule="auto"/>
        <w:ind w:firstLine="0" w:firstLineChars="0"/>
        <w:rPr>
          <w:rFonts w:ascii="仿宋" w:hAnsi="仿宋" w:eastAsia="仿宋"/>
          <w:b/>
          <w:sz w:val="24"/>
          <w:szCs w:val="24"/>
        </w:rPr>
      </w:pPr>
      <w:bookmarkStart w:id="359" w:name="_Toc414605932"/>
      <w:r>
        <w:rPr>
          <w:rFonts w:hint="eastAsia" w:ascii="仿宋" w:hAnsi="仿宋" w:eastAsia="仿宋"/>
          <w:b/>
          <w:sz w:val="24"/>
          <w:szCs w:val="24"/>
        </w:rPr>
        <w:t>2、</w:t>
      </w:r>
      <w:r>
        <w:rPr>
          <w:rFonts w:ascii="仿宋" w:hAnsi="仿宋" w:eastAsia="仿宋"/>
          <w:b/>
          <w:sz w:val="24"/>
          <w:szCs w:val="24"/>
        </w:rPr>
        <w:t>安全技术措施</w:t>
      </w:r>
      <w:bookmarkEnd w:id="359"/>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（1）工作中需要开启煤机对接部件时，必须由一名副</w:t>
      </w:r>
      <w:r>
        <w:rPr>
          <w:rFonts w:hint="eastAsia" w:ascii="仿宋" w:hAnsi="仿宋" w:eastAsia="仿宋"/>
          <w:szCs w:val="24"/>
          <w:lang w:val="en-US" w:eastAsia="zh-CN"/>
        </w:rPr>
        <w:t>队</w:t>
      </w:r>
      <w:r>
        <w:rPr>
          <w:rFonts w:hint="eastAsia" w:ascii="仿宋" w:hAnsi="仿宋" w:eastAsia="仿宋"/>
          <w:color w:val="000000" w:themeColor="text1"/>
          <w:szCs w:val="24"/>
          <w14:textFill>
            <w14:solidFill>
              <w14:schemeClr w14:val="tx1"/>
            </w14:solidFill>
          </w14:textFill>
        </w:rPr>
        <w:t>长负责现场统一指挥，运输机必须停电闭锁，专人看护。采煤机的停送电必须专人操作。作业地点前后10m范围内的液压支架供液截止阀关闭。</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（2）需牵引或调高煤机时，可以根据作业需要，对煤机泵进行送电启动。但必须将煤机截割按钮打至闭锁状态，同时闭锁工作面运输机，停运输机上一级电源，并安排专人看护，未经允许，严禁解除闭锁送电。</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3）开启煤机只能用于辅助校正销轴、方头的对正情况，校正时工作人员与煤机的运转部位保持足够的安全距离；牵引煤机或调高煤机时，必须缓慢操作；检验校正情况或者进行安装拆除前必须先停电闭锁煤机。</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（4）检修煤机前要将煤机停至工作面顶、帮完好处。将煤机停放位置或者距离煤机最近处的载波闭锁，控制台司机未得到负责人（负责现场统一指挥的</w:t>
      </w:r>
      <w:r>
        <w:rPr>
          <w:rFonts w:hint="eastAsia" w:ascii="仿宋" w:hAnsi="仿宋" w:eastAsia="仿宋"/>
          <w:szCs w:val="24"/>
          <w:lang w:val="en-US" w:eastAsia="zh-CN"/>
        </w:rPr>
        <w:t>班队</w:t>
      </w:r>
      <w:r>
        <w:rPr>
          <w:rFonts w:hint="eastAsia" w:ascii="仿宋" w:hAnsi="仿宋" w:eastAsia="仿宋"/>
          <w:szCs w:val="24"/>
        </w:rPr>
        <w:t>长）的通知下禁止开启运输机。</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（5）人员需要进入煤壁侧作业前，必须在作业地点附近对煤帮利用</w:t>
      </w:r>
      <w:r>
        <w:rPr>
          <w:rFonts w:hint="eastAsia" w:ascii="仿宋" w:hAnsi="仿宋" w:eastAsia="仿宋"/>
          <w:szCs w:val="24"/>
          <w:lang w:val="en-US" w:eastAsia="zh-CN"/>
        </w:rPr>
        <w:t>单体</w:t>
      </w:r>
      <w:r>
        <w:rPr>
          <w:rFonts w:hint="eastAsia" w:ascii="仿宋" w:hAnsi="仿宋" w:eastAsia="仿宋"/>
          <w:szCs w:val="24"/>
        </w:rPr>
        <w:t>进行背帮处理，对作业地点架间处利用塑料网过顶。作业时，必须站在支架下方的安全地点，严禁站在架间作业，防止被掉落的煤矸砸伤。</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6）检修液压系统管路时，首先将煤机截割按钮打至闭锁状态，然后送电开启采煤机，检修煤壁侧液压管路时，人员要站在煤机调高油缸缸体端一侧，调高采煤机观察油管及密封情况，发现故障及时的停电闭锁，然后再进行故障处理。</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7）更换调高油缸时，拆除旧调高油缸的过程必须停电闭锁采煤机，安装新调高油缸时，先将煤机截割按钮打至闭锁状态，送电启动采煤机，人员站在调高油缸活塞杆一端，使用遥控器控制调高油缸活塞杆伸出，将杆端的销孔与摇臂上的销孔对准。</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8）更换支撑滑靴时，首先使用煤机滚筒支撑煤机机身到足够高度，使滑靴不再支撑煤机机身的重量后要立即停电闭锁煤机。旧的支撑滑靴拆除及新滑靴放置到位后，由经验丰富的检修工操作采煤机缓慢抬高摇臂将机身落下使滑靴和行走轮组件的销孔至水平对正。</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9）更换导向滑靴或行走轮时，拆除旧的导向滑靴或行走轮时，要停电闭锁采煤机，待新的导向滑靴或者行走轮拉到位后，送电开启采煤机，由经验丰富的煤机检修工操作将摇臂抬高，调整导向滑靴和行走轮组件的销孔至水平对正。</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10）更换滚筒时，新的滚筒放置到位后要安排经验丰富的煤机检修工牵引采煤机，滚筒驱动轮毂方头与滚筒位置对正后，要立即停电闭锁采煤机，支架工缓慢的推溜，专人现场协调指挥，滚筒看护人员要站在顶板较好，背帮可靠且尽可能在距离滚筒远的地方观察。</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（11）更换摇臂时，牵引煤机至与摇臂铰接位置时，机身上及煤帮禁止有人，待到摇臂与机身到达铰接后立即停电闭锁，使用手拉葫芦辅助调整摇臂的位置直至铰接销能够安装到位。</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（12）检修过程中，不需要启动煤机液压泵辅助调节摇臂升降或者使用牵引辅助左右微调煤机时，采煤机也必须停电闭锁。</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（13）检修过程中，煤机送电后人员要远离煤机滚筒，防止滚筒可能出现的误动作而出现事故。</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（14）各类起吊工具如锚链，葫芦等在使用前严格检查，确保完好，严禁超负荷使用并做好二次保护。起吊前将起吊物与起吊用具固定牢靠，严禁出现相对滑动现象。</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（15）使用液压支架作起吊生根点时，严禁停乳化泵。</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（16）使用手拉葫芦前，检查手动葫芦传动部件、大小轮、逆止装置、上下吊钩是否齐全完好；检查链轮润滑情况、链条有无损伤裂纹、链条有无扭转打结；并且空运转正常。</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B0F0"/>
          <w:szCs w:val="24"/>
        </w:rPr>
      </w:pPr>
      <w:r>
        <w:rPr>
          <w:rFonts w:hint="eastAsia" w:ascii="仿宋" w:hAnsi="仿宋" w:eastAsia="仿宋"/>
          <w:szCs w:val="24"/>
        </w:rPr>
        <w:t>（17）除起吊人员外，3米内不得有其他无关人员</w:t>
      </w:r>
      <w:r>
        <w:rPr>
          <w:rFonts w:hint="eastAsia" w:ascii="仿宋" w:hAnsi="仿宋" w:eastAsia="仿宋"/>
          <w:color w:val="000000" w:themeColor="text1"/>
          <w:szCs w:val="24"/>
          <w14:textFill>
            <w14:solidFill>
              <w14:schemeClr w14:val="tx1"/>
            </w14:solidFill>
          </w14:textFill>
        </w:rPr>
        <w:t>逗留或作业，起吊人员后方10m范围内，撤退路线畅通，无杂物。起吊时，闲杂人员严禁通过。作业人员应站在3米以外避开链条崩出和设备歪倒可能泼及的区域。</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szCs w:val="24"/>
        </w:rPr>
      </w:pPr>
      <w:r>
        <w:rPr>
          <w:rFonts w:hint="eastAsia" w:ascii="仿宋" w:hAnsi="仿宋" w:eastAsia="仿宋"/>
          <w:szCs w:val="24"/>
        </w:rPr>
        <w:t>（18）作业过程必须设一名</w:t>
      </w:r>
      <w:r>
        <w:rPr>
          <w:rFonts w:hint="eastAsia" w:ascii="仿宋" w:hAnsi="仿宋" w:eastAsia="仿宋"/>
          <w:szCs w:val="24"/>
          <w:lang w:val="en-US" w:eastAsia="zh-CN"/>
        </w:rPr>
        <w:t>班队长</w:t>
      </w:r>
      <w:r>
        <w:rPr>
          <w:rFonts w:hint="eastAsia" w:ascii="仿宋" w:hAnsi="仿宋" w:eastAsia="仿宋"/>
          <w:szCs w:val="24"/>
        </w:rPr>
        <w:t>负责统一指挥，施工现场要有副队长以上管理干部现场跟班，并协调处理施工过程中出现的各类问题。</w:t>
      </w:r>
    </w:p>
    <w:p>
      <w:pPr>
        <w:pStyle w:val="107"/>
        <w:keepNext w:val="0"/>
        <w:keepLines w:val="0"/>
        <w:pageBreakBefore w:val="0"/>
        <w:kinsoku/>
        <w:wordWrap/>
        <w:overflowPunct/>
        <w:topLinePunct w:val="0"/>
        <w:bidi w:val="0"/>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w:t>
      </w:r>
      <w:r>
        <w:rPr>
          <w:rFonts w:ascii="仿宋" w:hAnsi="仿宋" w:eastAsia="仿宋"/>
          <w:b/>
          <w:color w:val="000000" w:themeColor="text1"/>
          <w:sz w:val="24"/>
          <w:szCs w:val="24"/>
          <w14:textFill>
            <w14:solidFill>
              <w14:schemeClr w14:val="tx1"/>
            </w14:solidFill>
          </w14:textFill>
        </w:rPr>
        <w:t>当工作面更换煤机大件，需要进行送电点车配合作业时</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（1）工作现场设专人配带便携仪，注意工作地点的瓦斯浓度变化情况，当瓦斯超限时，要立即停止作业，待浓度降低至0.8%后方可继续作业。</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在更换大件及处理断链事故需要进行送电点车配合作业时，应安排专人负责联系停送电，除留下一名有经验老工人站在安全地点观察外，其他人员全部撤离5m以外。煤机送电后，开车司机听从观察人员的指挥进行点车配合作业，点车时要防止刮碰到悬挂着的备件，出现意外情况，立即停车闭锁停电进行处理。</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（3）点车到位后，将煤机上一级电源停电，观察人员确定吊挂工具、起吊点无安全隐患后，其他人员才可进入作业。</w:t>
      </w:r>
    </w:p>
    <w:p>
      <w:pPr>
        <w:pStyle w:val="102"/>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（4）点车配合作业期间，现场应有副科级以上干部现场跟班，及时解决现场发生的问题。</w:t>
      </w:r>
    </w:p>
    <w:p>
      <w:pPr>
        <w:pStyle w:val="60"/>
        <w:keepNext w:val="0"/>
        <w:keepLines w:val="0"/>
        <w:pageBreakBefore w:val="0"/>
        <w:kinsoku/>
        <w:wordWrap/>
        <w:overflowPunct/>
        <w:topLinePunct w:val="0"/>
        <w:bidi w:val="0"/>
        <w:snapToGrid w:val="0"/>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七、液压支架（超前支架）的使用与管理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1、支架工必须经培训，取得合格证并持证上岗，非专职人员不准操作，支架工应熟悉支架的结构和液压控制系统工作原理，并严格执行工作面支架的操作程序和遵守移架注意事项。</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2、</w:t>
      </w:r>
      <w:r>
        <w:rPr>
          <w:rFonts w:hint="eastAsia" w:ascii="仿宋" w:hAnsi="仿宋" w:eastAsia="仿宋" w:cs="仿宋_GB2312"/>
          <w:bCs/>
          <w:color w:val="000000" w:themeColor="text1"/>
          <w:sz w:val="24"/>
          <w14:textFill>
            <w14:solidFill>
              <w14:schemeClr w14:val="tx1"/>
            </w14:solidFill>
          </w14:textFill>
        </w:rPr>
        <w:t>支架必须逐架编号管理</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3、支架的连接件</w:t>
      </w:r>
      <w:r>
        <w:rPr>
          <w:rFonts w:hint="eastAsia" w:ascii="仿宋" w:hAnsi="仿宋" w:eastAsia="仿宋" w:cs="仿宋_GB2312"/>
          <w:bCs/>
          <w:color w:val="000000" w:themeColor="text1"/>
          <w:sz w:val="24"/>
          <w14:textFill>
            <w14:solidFill>
              <w14:schemeClr w14:val="tx1"/>
            </w14:solidFill>
          </w14:textFill>
        </w:rPr>
        <w:t>应</w:t>
      </w:r>
      <w:r>
        <w:rPr>
          <w:rFonts w:ascii="仿宋" w:hAnsi="仿宋" w:eastAsia="仿宋" w:cs="仿宋_GB2312"/>
          <w:bCs/>
          <w:color w:val="000000" w:themeColor="text1"/>
          <w:sz w:val="24"/>
          <w14:textFill>
            <w14:solidFill>
              <w14:schemeClr w14:val="tx1"/>
            </w14:solidFill>
          </w14:textFill>
        </w:rPr>
        <w:t>齐全、紧固有效，活柱、缸体无损坏、变形，阀类、管接头、立柱等密封部件密封良好，不漏液、不串液、不自动卸载</w:t>
      </w:r>
      <w:r>
        <w:rPr>
          <w:rFonts w:hint="eastAsia" w:ascii="仿宋" w:hAnsi="仿宋" w:eastAsia="仿宋" w:cs="仿宋_GB2312"/>
          <w:bCs/>
          <w:color w:val="000000" w:themeColor="text1"/>
          <w:sz w:val="24"/>
          <w14:textFill>
            <w14:solidFill>
              <w14:schemeClr w14:val="tx1"/>
            </w14:solidFill>
          </w14:textFill>
        </w:rPr>
        <w:t>，液压系统完好</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4、支架推移千斤顶与运输机联接必须紧固可靠。</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5、采煤机割煤后，及时移架并按顺序推溜。下行割煤时，自上而下分段追机移架，分段内自下而上移架，上行割煤时，顺序上行移架。</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6、移架前必须认真检查，确保支架各部位完好，清理好架前架间浮煤、杂物，电缆、管子应吊挂整齐，确认无问题后方可操作。</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移架</w:t>
      </w:r>
      <w:r>
        <w:rPr>
          <w:rFonts w:ascii="仿宋" w:hAnsi="仿宋" w:eastAsia="仿宋"/>
          <w:color w:val="000000" w:themeColor="text1"/>
          <w:sz w:val="24"/>
          <w14:textFill>
            <w14:solidFill>
              <w14:schemeClr w14:val="tx1"/>
            </w14:solidFill>
          </w14:textFill>
        </w:rPr>
        <w:t>时，</w:t>
      </w:r>
      <w:r>
        <w:rPr>
          <w:rFonts w:hint="eastAsia" w:ascii="仿宋" w:hAnsi="仿宋" w:eastAsia="仿宋"/>
          <w:color w:val="000000" w:themeColor="text1"/>
          <w:sz w:val="24"/>
          <w14:textFill>
            <w14:solidFill>
              <w14:schemeClr w14:val="tx1"/>
            </w14:solidFill>
          </w14:textFill>
        </w:rPr>
        <w:t>支架</w:t>
      </w:r>
      <w:r>
        <w:rPr>
          <w:rFonts w:ascii="仿宋" w:hAnsi="仿宋" w:eastAsia="仿宋"/>
          <w:color w:val="000000" w:themeColor="text1"/>
          <w:sz w:val="24"/>
          <w14:textFill>
            <w14:solidFill>
              <w14:schemeClr w14:val="tx1"/>
            </w14:solidFill>
          </w14:textFill>
        </w:rPr>
        <w:t>工应站在架</w:t>
      </w:r>
      <w:r>
        <w:rPr>
          <w:rFonts w:hint="eastAsia" w:ascii="仿宋" w:hAnsi="仿宋" w:eastAsia="仿宋"/>
          <w:color w:val="000000" w:themeColor="text1"/>
          <w:sz w:val="24"/>
          <w14:textFill>
            <w14:solidFill>
              <w14:schemeClr w14:val="tx1"/>
            </w14:solidFill>
          </w14:textFill>
        </w:rPr>
        <w:t>档</w:t>
      </w:r>
      <w:r>
        <w:rPr>
          <w:rFonts w:ascii="仿宋" w:hAnsi="仿宋" w:eastAsia="仿宋"/>
          <w:color w:val="000000" w:themeColor="text1"/>
          <w:sz w:val="24"/>
          <w14:textFill>
            <w14:solidFill>
              <w14:schemeClr w14:val="tx1"/>
            </w14:solidFill>
          </w14:textFill>
        </w:rPr>
        <w:t>内，面向煤壁操作，</w:t>
      </w:r>
      <w:r>
        <w:rPr>
          <w:rFonts w:hint="eastAsia" w:ascii="仿宋" w:hAnsi="仿宋" w:eastAsia="仿宋"/>
          <w:color w:val="000000" w:themeColor="text1"/>
          <w:sz w:val="24"/>
          <w14:textFill>
            <w14:solidFill>
              <w14:schemeClr w14:val="tx1"/>
            </w14:solidFill>
          </w14:textFill>
        </w:rPr>
        <w:t>严禁将身体任何部位伸出架外，防止掉矸或崩销伤人；人员严禁在支架底座与运输机之间、坐在抬底千斤顶上操作，</w:t>
      </w:r>
      <w:r>
        <w:rPr>
          <w:rFonts w:ascii="仿宋" w:hAnsi="仿宋" w:eastAsia="仿宋"/>
          <w:color w:val="000000" w:themeColor="text1"/>
          <w:sz w:val="24"/>
          <w14:textFill>
            <w14:solidFill>
              <w14:schemeClr w14:val="tx1"/>
            </w14:solidFill>
          </w14:textFill>
        </w:rPr>
        <w:t>禁止脚蹬在底座前，并注意观察周围和支架前方有无其他人员，</w:t>
      </w:r>
      <w:r>
        <w:rPr>
          <w:rFonts w:hint="eastAsia" w:ascii="仿宋" w:hAnsi="仿宋" w:eastAsia="仿宋"/>
          <w:color w:val="000000" w:themeColor="text1"/>
          <w:sz w:val="24"/>
          <w14:textFill>
            <w14:solidFill>
              <w14:schemeClr w14:val="tx1"/>
            </w14:solidFill>
          </w14:textFill>
        </w:rPr>
        <w:t>移架时，支架前方、顶梁下方不得有任何人作业或停留。</w:t>
      </w:r>
    </w:p>
    <w:p>
      <w:pPr>
        <w:pStyle w:val="12"/>
        <w:keepNext w:val="0"/>
        <w:keepLines w:val="0"/>
        <w:pageBreakBefore w:val="0"/>
        <w:kinsoku/>
        <w:wordWrap/>
        <w:overflowPunct/>
        <w:topLinePunct w:val="0"/>
        <w:bidi w:val="0"/>
        <w:snapToGrid w:val="0"/>
        <w:spacing w:after="0" w:line="360" w:lineRule="auto"/>
        <w:ind w:firstLine="480"/>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r>
        <w:rPr>
          <w:rFonts w:ascii="仿宋" w:hAnsi="仿宋" w:eastAsia="仿宋"/>
          <w:color w:val="000000" w:themeColor="text1"/>
          <w:sz w:val="24"/>
          <w14:textFill>
            <w14:solidFill>
              <w14:schemeClr w14:val="tx1"/>
            </w14:solidFill>
          </w14:textFill>
        </w:rPr>
        <w:t>、移架时，支架可下降</w:t>
      </w: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50～</w:t>
      </w: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00mm之间，以能移动支架为标准</w:t>
      </w:r>
      <w:r>
        <w:rPr>
          <w:rFonts w:hint="eastAsia" w:ascii="仿宋" w:hAnsi="仿宋" w:eastAsia="仿宋"/>
          <w:color w:val="000000" w:themeColor="text1"/>
          <w:sz w:val="24"/>
          <w14:textFill>
            <w14:solidFill>
              <w14:schemeClr w14:val="tx1"/>
            </w14:solidFill>
          </w14:textFill>
        </w:rPr>
        <w:t>，少降快拉</w:t>
      </w:r>
      <w:r>
        <w:rPr>
          <w:rFonts w:ascii="仿宋" w:hAnsi="仿宋" w:eastAsia="仿宋"/>
          <w:color w:val="000000" w:themeColor="text1"/>
          <w:sz w:val="24"/>
          <w14:textFill>
            <w14:solidFill>
              <w14:schemeClr w14:val="tx1"/>
            </w14:solidFill>
          </w14:textFill>
        </w:rPr>
        <w:t>。当顶板破碎时，必须带压</w:t>
      </w:r>
      <w:r>
        <w:rPr>
          <w:rFonts w:hint="eastAsia" w:ascii="仿宋" w:hAnsi="仿宋" w:eastAsia="仿宋"/>
          <w:color w:val="000000" w:themeColor="text1"/>
          <w:sz w:val="24"/>
          <w14:textFill>
            <w14:solidFill>
              <w14:schemeClr w14:val="tx1"/>
            </w14:solidFill>
          </w14:textFill>
        </w:rPr>
        <w:t>擦顶</w:t>
      </w:r>
      <w:r>
        <w:rPr>
          <w:rFonts w:ascii="仿宋" w:hAnsi="仿宋" w:eastAsia="仿宋"/>
          <w:color w:val="000000" w:themeColor="text1"/>
          <w:sz w:val="24"/>
          <w14:textFill>
            <w14:solidFill>
              <w14:schemeClr w14:val="tx1"/>
            </w14:solidFill>
          </w14:textFill>
        </w:rPr>
        <w:t>移架。移架过程中，如发生</w:t>
      </w:r>
      <w:r>
        <w:rPr>
          <w:rFonts w:hint="eastAsia" w:ascii="仿宋" w:hAnsi="仿宋" w:eastAsia="仿宋"/>
          <w:color w:val="000000" w:themeColor="text1"/>
          <w:sz w:val="24"/>
          <w14:textFill>
            <w14:solidFill>
              <w14:schemeClr w14:val="tx1"/>
            </w14:solidFill>
          </w14:textFill>
        </w:rPr>
        <w:t>掉</w:t>
      </w:r>
      <w:r>
        <w:rPr>
          <w:rFonts w:ascii="仿宋" w:hAnsi="仿宋" w:eastAsia="仿宋"/>
          <w:color w:val="000000" w:themeColor="text1"/>
          <w:sz w:val="24"/>
          <w14:textFill>
            <w14:solidFill>
              <w14:schemeClr w14:val="tx1"/>
            </w14:solidFill>
          </w14:textFill>
        </w:rPr>
        <w:t>顶、</w:t>
      </w:r>
      <w:r>
        <w:rPr>
          <w:rFonts w:hint="eastAsia" w:ascii="仿宋" w:hAnsi="仿宋" w:eastAsia="仿宋"/>
          <w:color w:val="000000" w:themeColor="text1"/>
          <w:sz w:val="24"/>
          <w14:textFill>
            <w14:solidFill>
              <w14:schemeClr w14:val="tx1"/>
            </w14:solidFill>
          </w14:textFill>
        </w:rPr>
        <w:t>抽冒、</w:t>
      </w:r>
      <w:r>
        <w:rPr>
          <w:rFonts w:ascii="仿宋" w:hAnsi="仿宋" w:eastAsia="仿宋"/>
          <w:color w:val="000000" w:themeColor="text1"/>
          <w:sz w:val="24"/>
          <w14:textFill>
            <w14:solidFill>
              <w14:schemeClr w14:val="tx1"/>
            </w14:solidFill>
          </w14:textFill>
        </w:rPr>
        <w:t>严重片帮时，</w:t>
      </w:r>
      <w:r>
        <w:rPr>
          <w:rFonts w:hint="eastAsia" w:ascii="仿宋" w:hAnsi="仿宋" w:eastAsia="仿宋"/>
          <w:color w:val="000000" w:themeColor="text1"/>
          <w:sz w:val="24"/>
          <w14:textFill>
            <w14:solidFill>
              <w14:schemeClr w14:val="tx1"/>
            </w14:solidFill>
          </w14:textFill>
        </w:rPr>
        <w:t>应及时停止采煤机，闭锁输送机，并对煤壁、顶板进行管理。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9、移架时，要边观察、边移架，防止支架马鞍抵坏电缆槽电缆、拉断架间照明电缆或在线监控电缆等，防止支架尾梁刮后部运输机，发现问题及时处理；如果出现</w:t>
      </w:r>
      <w:r>
        <w:rPr>
          <w:rFonts w:ascii="仿宋" w:hAnsi="仿宋" w:eastAsia="仿宋" w:cs="仿宋_GB2312"/>
          <w:bCs/>
          <w:color w:val="000000" w:themeColor="text1"/>
          <w:sz w:val="24"/>
          <w14:textFill>
            <w14:solidFill>
              <w14:schemeClr w14:val="tx1"/>
            </w14:solidFill>
          </w14:textFill>
        </w:rPr>
        <w:t>阻力过大</w:t>
      </w:r>
      <w:r>
        <w:rPr>
          <w:rFonts w:hint="eastAsia" w:ascii="仿宋" w:hAnsi="仿宋" w:eastAsia="仿宋" w:cs="仿宋_GB2312"/>
          <w:bCs/>
          <w:color w:val="000000" w:themeColor="text1"/>
          <w:sz w:val="24"/>
          <w14:textFill>
            <w14:solidFill>
              <w14:schemeClr w14:val="tx1"/>
            </w14:solidFill>
          </w14:textFill>
        </w:rPr>
        <w:t>、拉移困难时要立即停止移架，查明原因，处理好后再移</w:t>
      </w:r>
      <w:r>
        <w:rPr>
          <w:rFonts w:ascii="仿宋" w:hAnsi="仿宋" w:eastAsia="仿宋" w:cs="仿宋_GB2312"/>
          <w:bCs/>
          <w:color w:val="000000" w:themeColor="text1"/>
          <w:sz w:val="24"/>
          <w14:textFill>
            <w14:solidFill>
              <w14:schemeClr w14:val="tx1"/>
            </w14:solidFill>
          </w14:textFill>
        </w:rPr>
        <w:t>，严禁硬拉、硬推。</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10、如果出现采高较大或顶板破碎时，要首先处理好顶板，然后方可移架，移架前要观察好周围的顶板和煤帮情况。</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11、如果出现采高较低时，要及时挑顶，采取措施进行处理，严禁拉超前架，以防工作面出现压力异常将支架压死。</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12、支架不得爬架、咬架，出现倒架、挤架、咬架等现象时，应掌握好拉架顺序，及时处理，禁止硬拉硬拽，以防造成支架损坏。若支架架形不正出现歪架、调斜等异常现象时，要及时调架，调架时，若调架处顶板破碎或冒顶必须先对顶板进行维护，否则严禁降架调架。调架时每处只准一次调一架，严禁同时调两架或两架以上的支架，以防发生冒顶事故。</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13、每次调架前，都必须检查本架以及周围支架的完好情况，以及调架千斤顶、单体、链条等是否完好，否则应及时处理。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14、调架时，降架幅度不要过大，不要超过上下支架的侧护板，以免发生咬架、造成顶板事故和歪架幅度增大。调架时队长要现场指挥，并安专人观察架间管线，防止受挤、受拉。</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15、出现歪架或架形不正时，要使用单体调架，调架时，采取一根单体上端打在掩梁侧护板上，其下端紧靠邻架底座；另一根单体上端打在顶梁侧护板上，其下端紧靠邻架底座，两根单体同时远程供液。</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16、如支架歪斜严重、支架底座翘起时，应把翘起部分的底座掏空至前后立柱，将单体柱头打在被调支架前端底座上，单体另一端打在上架前立柱的柱窝内，在向前移架的同时，远距离供液把支架底座压平。</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17、工作面片帮严重时应及时超前拉架，顶板破碎时必须采取人工超前管理措施。</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18、拉移机头、尾支架前，应首先维护好端头顶板，将端头支架与过渡支架的杂物清净，端头所有人员全部躲到安全地点后方可移架，若过渡支架与端头支架之间有空档，要及时用单体配合工字钢、半圆木或金属网过严顶板，防止拉架时掉矸伤人或出现漏顶事故。</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19、拉移端头支架</w:t>
      </w:r>
      <w:r>
        <w:rPr>
          <w:rFonts w:hint="eastAsia" w:ascii="仿宋" w:hAnsi="仿宋" w:eastAsia="仿宋" w:cs="仿宋_GB2312"/>
          <w:bCs/>
          <w:color w:val="000000" w:themeColor="text1"/>
          <w:sz w:val="24"/>
          <w:lang w:eastAsia="zh-CN"/>
          <w14:textFill>
            <w14:solidFill>
              <w14:schemeClr w14:val="tx1"/>
            </w14:solidFill>
          </w14:textFill>
        </w:rPr>
        <w:t>（</w:t>
      </w:r>
      <w:r>
        <w:rPr>
          <w:rFonts w:hint="eastAsia" w:ascii="仿宋" w:hAnsi="仿宋" w:eastAsia="仿宋" w:cs="仿宋_GB2312"/>
          <w:bCs/>
          <w:color w:val="000000" w:themeColor="text1"/>
          <w:sz w:val="24"/>
          <w:lang w:val="en-US" w:eastAsia="zh-CN"/>
          <w14:textFill>
            <w14:solidFill>
              <w14:schemeClr w14:val="tx1"/>
            </w14:solidFill>
          </w14:textFill>
        </w:rPr>
        <w:t>单元支架</w:t>
      </w:r>
      <w:r>
        <w:rPr>
          <w:rFonts w:hint="eastAsia" w:ascii="仿宋" w:hAnsi="仿宋" w:eastAsia="仿宋" w:cs="仿宋_GB2312"/>
          <w:bCs/>
          <w:color w:val="000000" w:themeColor="text1"/>
          <w:sz w:val="24"/>
          <w:lang w:eastAsia="zh-CN"/>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或超前支架时，要看清顶板情况，</w:t>
      </w:r>
      <w:r>
        <w:rPr>
          <w:rFonts w:hint="eastAsia" w:ascii="仿宋" w:hAnsi="仿宋" w:eastAsia="仿宋" w:cs="仿宋_GB2312"/>
          <w:bCs/>
          <w:color w:val="000000" w:themeColor="text1"/>
          <w:sz w:val="24"/>
          <w:lang w:val="en-US" w:eastAsia="zh-CN"/>
          <w14:textFill>
            <w14:solidFill>
              <w14:schemeClr w14:val="tx1"/>
            </w14:solidFill>
          </w14:textFill>
        </w:rPr>
        <w:t>巷道顶板存在落差时，加强巷道支护管理，移架后在支架顶梁上方垫实木料</w:t>
      </w:r>
      <w:r>
        <w:rPr>
          <w:rFonts w:hint="eastAsia" w:ascii="仿宋" w:hAnsi="仿宋" w:eastAsia="仿宋" w:cs="仿宋_GB2312"/>
          <w:bCs/>
          <w:color w:val="000000" w:themeColor="text1"/>
          <w:sz w:val="24"/>
          <w14:textFill>
            <w14:solidFill>
              <w14:schemeClr w14:val="tx1"/>
            </w14:solidFill>
          </w14:textFill>
        </w:rPr>
        <w:t>衬平</w:t>
      </w:r>
      <w:r>
        <w:rPr>
          <w:rFonts w:hint="eastAsia" w:ascii="仿宋" w:hAnsi="仿宋" w:eastAsia="仿宋" w:cs="仿宋_GB2312"/>
          <w:bCs/>
          <w:color w:val="000000" w:themeColor="text1"/>
          <w:sz w:val="24"/>
          <w:lang w:val="en-US" w:eastAsia="zh-CN"/>
          <w14:textFill>
            <w14:solidFill>
              <w14:schemeClr w14:val="tx1"/>
            </w14:solidFill>
          </w14:textFill>
        </w:rPr>
        <w:t>顶板，</w:t>
      </w:r>
      <w:r>
        <w:rPr>
          <w:rFonts w:hint="eastAsia" w:ascii="仿宋" w:hAnsi="仿宋" w:eastAsia="仿宋" w:cs="仿宋_GB2312"/>
          <w:bCs/>
          <w:color w:val="000000" w:themeColor="text1"/>
          <w:sz w:val="24"/>
          <w14:textFill>
            <w14:solidFill>
              <w14:schemeClr w14:val="tx1"/>
            </w14:solidFill>
          </w14:textFill>
        </w:rPr>
        <w:t>确保支架接顶严实；</w:t>
      </w:r>
      <w:r>
        <w:rPr>
          <w:rFonts w:hint="eastAsia" w:ascii="仿宋" w:hAnsi="仿宋" w:eastAsia="仿宋" w:cs="仿宋_GB2312"/>
          <w:bCs/>
          <w:color w:val="000000" w:themeColor="text1"/>
          <w:sz w:val="24"/>
          <w:lang w:val="en-US" w:eastAsia="zh-CN"/>
          <w14:textFill>
            <w14:solidFill>
              <w14:schemeClr w14:val="tx1"/>
            </w14:solidFill>
          </w14:textFill>
        </w:rPr>
        <w:t>同时在高度变矮处，及时采取卧底施工，保证巷道高度。</w:t>
      </w:r>
    </w:p>
    <w:p>
      <w:pPr>
        <w:keepNext w:val="0"/>
        <w:keepLines w:val="0"/>
        <w:pageBreakBefore w:val="0"/>
        <w:kinsoku/>
        <w:wordWrap/>
        <w:overflowPunct/>
        <w:topLinePunct w:val="0"/>
        <w:bidi w:val="0"/>
        <w:snapToGrid w:val="0"/>
        <w:spacing w:line="360" w:lineRule="auto"/>
        <w:ind w:firstLine="480"/>
        <w:rPr>
          <w:rFonts w:ascii="仿宋" w:hAnsi="仿宋" w:eastAsia="仿宋"/>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20、</w:t>
      </w:r>
      <w:r>
        <w:rPr>
          <w:rFonts w:ascii="仿宋" w:hAnsi="仿宋" w:eastAsia="仿宋" w:cs="仿宋_GB2312"/>
          <w:bCs/>
          <w:color w:val="000000" w:themeColor="text1"/>
          <w:sz w:val="24"/>
          <w14:textFill>
            <w14:solidFill>
              <w14:schemeClr w14:val="tx1"/>
            </w14:solidFill>
          </w14:textFill>
        </w:rPr>
        <w:t>移端头支架</w:t>
      </w:r>
      <w:r>
        <w:rPr>
          <w:rFonts w:hint="eastAsia" w:ascii="仿宋" w:hAnsi="仿宋" w:eastAsia="仿宋" w:cs="仿宋_GB2312"/>
          <w:bCs/>
          <w:color w:val="000000" w:themeColor="text1"/>
          <w:sz w:val="24"/>
          <w14:textFill>
            <w14:solidFill>
              <w14:schemeClr w14:val="tx1"/>
            </w14:solidFill>
          </w14:textFill>
        </w:rPr>
        <w:t>或超前支架</w:t>
      </w:r>
      <w:r>
        <w:rPr>
          <w:rFonts w:ascii="仿宋" w:hAnsi="仿宋" w:eastAsia="仿宋" w:cs="仿宋_GB2312"/>
          <w:bCs/>
          <w:color w:val="000000" w:themeColor="text1"/>
          <w:sz w:val="24"/>
          <w14:textFill>
            <w14:solidFill>
              <w14:schemeClr w14:val="tx1"/>
            </w14:solidFill>
          </w14:textFill>
        </w:rPr>
        <w:t>时，移架人员应首先</w:t>
      </w:r>
      <w:r>
        <w:rPr>
          <w:rFonts w:hint="eastAsia" w:ascii="仿宋" w:hAnsi="仿宋" w:eastAsia="仿宋" w:cs="仿宋_GB2312"/>
          <w:bCs/>
          <w:color w:val="000000" w:themeColor="text1"/>
          <w:sz w:val="24"/>
          <w14:textFill>
            <w14:solidFill>
              <w14:schemeClr w14:val="tx1"/>
            </w14:solidFill>
          </w14:textFill>
        </w:rPr>
        <w:t>确认待移支架周围5m范围内无人逗留或作业时，方可拉移支架，拉移期间严禁人员通过；</w:t>
      </w:r>
      <w:r>
        <w:rPr>
          <w:rFonts w:hint="eastAsia" w:ascii="仿宋" w:hAnsi="仿宋" w:eastAsia="仿宋"/>
          <w:color w:val="000000" w:themeColor="text1"/>
          <w:sz w:val="24"/>
          <w14:textFill>
            <w14:solidFill>
              <w14:schemeClr w14:val="tx1"/>
            </w14:solidFill>
          </w14:textFill>
        </w:rPr>
        <w:t>移架人员应站在顶梁下方安全地点，身体的任何部位严禁超出顶梁遮挡范围以外，时刻注意观察顶帮情况，防止掉落大块煤矸伤人。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21、支架拉移后及时将顶梁升起，接实顶板，并需保持3～5秒的供液时间，保证支架初撑力达标。如果顶板破碎，冒落较高时，只需将支架与相邻支架升平即可，必要时在支架顶梁上接实木料。</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22、移架时，要用侧护板协调好架间距；</w:t>
      </w:r>
      <w:r>
        <w:rPr>
          <w:rFonts w:ascii="仿宋" w:hAnsi="仿宋" w:eastAsia="仿宋" w:cs="仿宋_GB2312"/>
          <w:bCs/>
          <w:color w:val="000000" w:themeColor="text1"/>
          <w:sz w:val="24"/>
          <w14:textFill>
            <w14:solidFill>
              <w14:schemeClr w14:val="tx1"/>
            </w14:solidFill>
          </w14:textFill>
        </w:rPr>
        <w:t>升架时，要注意侧护板伸出情况，防止升架损坏侧护板或出现挤架、爬架现象。</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23、移架必须逐架进行，严禁相邻2个支架同时降架和移架，移架要按规定的步距进行，要保证支架齐、正、直、稳。</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24、移架后支架伸缩梁要及时伸出，护帮板应贴紧煤壁，护帮有力，防止片帮伤人。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25、</w:t>
      </w:r>
      <w:r>
        <w:rPr>
          <w:rFonts w:ascii="仿宋" w:hAnsi="仿宋" w:eastAsia="仿宋" w:cs="仿宋_GB2312"/>
          <w:bCs/>
          <w:color w:val="000000" w:themeColor="text1"/>
          <w:sz w:val="24"/>
          <w14:textFill>
            <w14:solidFill>
              <w14:schemeClr w14:val="tx1"/>
            </w14:solidFill>
          </w14:textFill>
        </w:rPr>
        <w:t>液压支架的防倒防滑措施</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工作面割煤时要防止运输机下滑牵动支架下滑。支架下滑严重时，必须及时用单体，以相邻支架为支点，将支架底座靠正，防止支架随运输机下滑而下滑。</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（2）加强支架支护质量管理，架型要正，支护标准符合要求。</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煤机割煤时，</w:t>
      </w:r>
      <w:r>
        <w:rPr>
          <w:rFonts w:hint="eastAsia" w:ascii="仿宋" w:hAnsi="仿宋" w:eastAsia="仿宋" w:cs="仿宋_GB2312"/>
          <w:bCs/>
          <w:color w:val="000000" w:themeColor="text1"/>
          <w:sz w:val="24"/>
          <w14:textFill>
            <w14:solidFill>
              <w14:schemeClr w14:val="tx1"/>
            </w14:solidFill>
          </w14:textFill>
        </w:rPr>
        <w:t>保证顶底板平整</w:t>
      </w:r>
      <w:r>
        <w:rPr>
          <w:rFonts w:ascii="仿宋" w:hAnsi="仿宋" w:eastAsia="仿宋" w:cs="仿宋_GB2312"/>
          <w:bCs/>
          <w:color w:val="000000" w:themeColor="text1"/>
          <w:sz w:val="24"/>
          <w14:textFill>
            <w14:solidFill>
              <w14:schemeClr w14:val="tx1"/>
            </w14:solidFill>
          </w14:textFill>
        </w:rPr>
        <w:t>，支架顶</w:t>
      </w:r>
      <w:r>
        <w:rPr>
          <w:rFonts w:hint="eastAsia" w:ascii="仿宋" w:hAnsi="仿宋" w:eastAsia="仿宋" w:cs="仿宋_GB2312"/>
          <w:bCs/>
          <w:color w:val="000000" w:themeColor="text1"/>
          <w:sz w:val="24"/>
          <w14:textFill>
            <w14:solidFill>
              <w14:schemeClr w14:val="tx1"/>
            </w14:solidFill>
          </w14:textFill>
        </w:rPr>
        <w:t>梁</w:t>
      </w:r>
      <w:r>
        <w:rPr>
          <w:rFonts w:ascii="仿宋" w:hAnsi="仿宋" w:eastAsia="仿宋" w:cs="仿宋_GB2312"/>
          <w:bCs/>
          <w:color w:val="000000" w:themeColor="text1"/>
          <w:sz w:val="24"/>
          <w14:textFill>
            <w14:solidFill>
              <w14:schemeClr w14:val="tx1"/>
            </w14:solidFill>
          </w14:textFill>
        </w:rPr>
        <w:t>要与顶板充分接触，</w:t>
      </w:r>
      <w:r>
        <w:rPr>
          <w:rFonts w:hint="eastAsia" w:ascii="仿宋" w:hAnsi="仿宋" w:eastAsia="仿宋" w:cs="仿宋_GB2312"/>
          <w:bCs/>
          <w:color w:val="000000" w:themeColor="text1"/>
          <w:sz w:val="24"/>
          <w14:textFill>
            <w14:solidFill>
              <w14:schemeClr w14:val="tx1"/>
            </w14:solidFill>
          </w14:textFill>
        </w:rPr>
        <w:t>拉架后应及时升足劲，保证支架初撑力达标。</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（4）工作面采取多轮顺序循环放煤，防止冲击支架尾梁。</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w:t>
      </w:r>
      <w:r>
        <w:rPr>
          <w:rFonts w:ascii="仿宋" w:hAnsi="仿宋" w:eastAsia="仿宋" w:cs="仿宋_GB2312"/>
          <w:bCs/>
          <w:color w:val="000000" w:themeColor="text1"/>
          <w:sz w:val="24"/>
          <w14:textFill>
            <w14:solidFill>
              <w14:schemeClr w14:val="tx1"/>
            </w14:solidFill>
          </w14:textFill>
        </w:rPr>
        <w:t>为防止新移设支架处于初撑力阶段与顶底板的摩擦力小可能产生下滑，</w:t>
      </w:r>
      <w:r>
        <w:rPr>
          <w:rFonts w:hint="eastAsia" w:ascii="仿宋" w:hAnsi="仿宋" w:eastAsia="仿宋" w:cs="仿宋_GB2312"/>
          <w:bCs/>
          <w:color w:val="000000" w:themeColor="text1"/>
          <w:sz w:val="24"/>
          <w14:textFill>
            <w14:solidFill>
              <w14:schemeClr w14:val="tx1"/>
            </w14:solidFill>
          </w14:textFill>
        </w:rPr>
        <w:t>可</w:t>
      </w:r>
      <w:r>
        <w:rPr>
          <w:rFonts w:ascii="仿宋" w:hAnsi="仿宋" w:eastAsia="仿宋" w:cs="仿宋_GB2312"/>
          <w:bCs/>
          <w:color w:val="000000" w:themeColor="text1"/>
          <w:sz w:val="24"/>
          <w14:textFill>
            <w14:solidFill>
              <w14:schemeClr w14:val="tx1"/>
            </w14:solidFill>
          </w14:textFill>
        </w:rPr>
        <w:t>采取间隔移架</w:t>
      </w:r>
      <w:r>
        <w:rPr>
          <w:rFonts w:hint="eastAsia" w:ascii="仿宋" w:hAnsi="仿宋" w:eastAsia="仿宋" w:cs="仿宋_GB2312"/>
          <w:bCs/>
          <w:color w:val="000000" w:themeColor="text1"/>
          <w:sz w:val="24"/>
          <w14:textFill>
            <w14:solidFill>
              <w14:schemeClr w14:val="tx1"/>
            </w14:solidFill>
          </w14:textFill>
        </w:rPr>
        <w:t>的方式</w:t>
      </w:r>
      <w:r>
        <w:rPr>
          <w:rFonts w:ascii="仿宋" w:hAnsi="仿宋" w:eastAsia="仿宋" w:cs="仿宋_GB2312"/>
          <w:bCs/>
          <w:color w:val="000000" w:themeColor="text1"/>
          <w:sz w:val="24"/>
          <w14:textFill>
            <w14:solidFill>
              <w14:schemeClr w14:val="tx1"/>
            </w14:solidFill>
          </w14:textFill>
        </w:rPr>
        <w:t>，并使支架保持适当迎山角，以抵消顶板下沉时的位移量。</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（6）为了防止支架下滑，下端头移架时先移第3架，然后移第1架、第2架，其余支架按顺序自下而上逐架拉移。</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hint="eastAsia"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（7）拉架必须保证支架垂直于顶底板，歪斜度小于±5°，升架后，顶梁与顶板平行支设，其最大仰俯角小于7°，当歪斜度大于±5°时，支架有歪倒的可能时，应及时用单体，以相邻支架为支点，将支架扶正。</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_GB2312"/>
          <w:bCs/>
          <w:color w:val="000000" w:themeColor="text1"/>
          <w:sz w:val="24"/>
          <w:lang w:eastAsia="zh-CN"/>
          <w14:textFill>
            <w14:solidFill>
              <w14:schemeClr w14:val="tx1"/>
            </w14:solidFill>
          </w14:textFill>
        </w:rPr>
        <w:t>（</w:t>
      </w:r>
      <w:r>
        <w:rPr>
          <w:rFonts w:hint="eastAsia" w:ascii="仿宋" w:hAnsi="仿宋" w:eastAsia="仿宋" w:cs="仿宋_GB2312"/>
          <w:bCs/>
          <w:color w:val="000000" w:themeColor="text1"/>
          <w:sz w:val="24"/>
          <w:lang w:val="en-US" w:eastAsia="zh-CN"/>
          <w14:textFill>
            <w14:solidFill>
              <w14:schemeClr w14:val="tx1"/>
            </w14:solidFill>
          </w14:textFill>
        </w:rPr>
        <w:t>8</w:t>
      </w:r>
      <w:r>
        <w:rPr>
          <w:rFonts w:hint="eastAsia" w:ascii="仿宋" w:hAnsi="仿宋" w:eastAsia="仿宋" w:cs="仿宋_GB2312"/>
          <w:bCs/>
          <w:color w:val="000000" w:themeColor="text1"/>
          <w:sz w:val="24"/>
          <w:lang w:eastAsia="zh-CN"/>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工作面倾角大于15</w:t>
      </w:r>
      <w:r>
        <w:rPr>
          <w:rFonts w:hint="eastAsia" w:ascii="仿宋" w:hAnsi="仿宋" w:eastAsia="仿宋" w:cs="仿宋_GB2312"/>
          <w:bCs/>
          <w:color w:val="000000" w:themeColor="text1"/>
          <w:sz w:val="24"/>
          <w:lang w:val="en-US" w:eastAsia="zh-CN"/>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时，液压支架有防倒、防滑措施，其他设备有防滑措施；倾角大于25</w:t>
      </w:r>
      <w:r>
        <w:rPr>
          <w:rFonts w:hint="eastAsia" w:ascii="仿宋" w:hAnsi="仿宋" w:eastAsia="仿宋" w:cs="仿宋_GB2312"/>
          <w:bCs/>
          <w:color w:val="000000" w:themeColor="text1"/>
          <w:sz w:val="24"/>
          <w:lang w:val="en-US" w:eastAsia="zh-CN"/>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时，有防止煤（矸）窜出伤人的措施</w:t>
      </w:r>
      <w:r>
        <w:rPr>
          <w:rFonts w:hint="eastAsia" w:ascii="仿宋" w:hAnsi="仿宋" w:eastAsia="仿宋" w:cs="仿宋_GB2312"/>
          <w:bCs/>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26、更</w:t>
      </w:r>
      <w:r>
        <w:rPr>
          <w:rFonts w:ascii="仿宋" w:hAnsi="仿宋" w:eastAsia="仿宋" w:cs="仿宋_GB2312"/>
          <w:bCs/>
          <w:color w:val="000000" w:themeColor="text1"/>
          <w:sz w:val="24"/>
          <w14:textFill>
            <w14:solidFill>
              <w14:schemeClr w14:val="tx1"/>
            </w14:solidFill>
          </w14:textFill>
        </w:rPr>
        <w:t>换立柱、</w:t>
      </w:r>
      <w:r>
        <w:rPr>
          <w:rFonts w:hint="eastAsia" w:ascii="仿宋" w:hAnsi="仿宋" w:eastAsia="仿宋" w:cs="仿宋_GB2312"/>
          <w:bCs/>
          <w:color w:val="000000" w:themeColor="text1"/>
          <w:sz w:val="24"/>
          <w14:textFill>
            <w14:solidFill>
              <w14:schemeClr w14:val="tx1"/>
            </w14:solidFill>
          </w14:textFill>
        </w:rPr>
        <w:t>护帮板等安全</w:t>
      </w:r>
      <w:r>
        <w:rPr>
          <w:rFonts w:ascii="仿宋" w:hAnsi="仿宋" w:eastAsia="仿宋" w:cs="仿宋_GB2312"/>
          <w:bCs/>
          <w:color w:val="000000" w:themeColor="text1"/>
          <w:sz w:val="24"/>
          <w14:textFill>
            <w14:solidFill>
              <w14:schemeClr w14:val="tx1"/>
            </w14:solidFill>
          </w14:textFill>
        </w:rPr>
        <w:t>措施</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（1）更换护帮板时</w:t>
      </w:r>
      <w:r>
        <w:rPr>
          <w:rFonts w:ascii="仿宋" w:hAnsi="仿宋" w:eastAsia="仿宋" w:cs="仿宋_GB2312"/>
          <w:bCs/>
          <w:color w:val="000000" w:themeColor="text1"/>
          <w:sz w:val="24"/>
          <w14:textFill>
            <w14:solidFill>
              <w14:schemeClr w14:val="tx1"/>
            </w14:solidFill>
          </w14:textFill>
        </w:rPr>
        <w:t>首先加强</w:t>
      </w:r>
      <w:r>
        <w:rPr>
          <w:rFonts w:hint="eastAsia" w:ascii="仿宋" w:hAnsi="仿宋" w:eastAsia="仿宋" w:cs="仿宋_GB2312"/>
          <w:bCs/>
          <w:color w:val="000000" w:themeColor="text1"/>
          <w:sz w:val="24"/>
          <w14:textFill>
            <w14:solidFill>
              <w14:schemeClr w14:val="tx1"/>
            </w14:solidFill>
          </w14:textFill>
        </w:rPr>
        <w:t>施工地点附近</w:t>
      </w:r>
      <w:r>
        <w:rPr>
          <w:rFonts w:ascii="仿宋" w:hAnsi="仿宋" w:eastAsia="仿宋" w:cs="仿宋_GB2312"/>
          <w:bCs/>
          <w:color w:val="000000" w:themeColor="text1"/>
          <w:sz w:val="24"/>
          <w14:textFill>
            <w14:solidFill>
              <w14:schemeClr w14:val="tx1"/>
            </w14:solidFill>
          </w14:textFill>
        </w:rPr>
        <w:t>煤帮的管理</w:t>
      </w:r>
      <w:r>
        <w:rPr>
          <w:rFonts w:hint="eastAsia" w:ascii="仿宋" w:hAnsi="仿宋" w:eastAsia="仿宋" w:cs="仿宋_GB2312"/>
          <w:bCs/>
          <w:color w:val="000000" w:themeColor="text1"/>
          <w:sz w:val="24"/>
          <w14:textFill>
            <w14:solidFill>
              <w14:schemeClr w14:val="tx1"/>
            </w14:solidFill>
          </w14:textFill>
        </w:rPr>
        <w:t>，使用单体配合半圆木、板皮等对施工地点上下各3m范围内煤帮进行严密背帮，防止片帮伤人，人员必须站在支护完好地点作业，严禁空顶作业。</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（2）更换立柱时，必须将待更换立柱支架及其附近支架升足劲，保证初撑力不小于24MPa；需更换同一架支架2根及以上的立柱时，必须逐根进行，每更换好一根后及时升足劲。</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（3）作业时必须由班队长现场指挥，无关人员严禁在附近逗留，作业期间，严禁人员通过施工地点，确需通过时，必须经施工负责人同意，并确认安全后方可通过。</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（4）作业前，必须将运输机、采煤机停电闭锁，并设专人看管。</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（5）拆装高压胶管时，必须在无压情况下进行作业，严禁带压操作。</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在拆卸立柱</w:t>
      </w:r>
      <w:r>
        <w:rPr>
          <w:rFonts w:hint="eastAsia" w:ascii="仿宋" w:hAnsi="仿宋" w:eastAsia="仿宋" w:cs="仿宋_GB2312"/>
          <w:bCs/>
          <w:color w:val="000000" w:themeColor="text1"/>
          <w:sz w:val="24"/>
          <w14:textFill>
            <w14:solidFill>
              <w14:schemeClr w14:val="tx1"/>
            </w14:solidFill>
          </w14:textFill>
        </w:rPr>
        <w:t>、护帮板</w:t>
      </w:r>
      <w:r>
        <w:rPr>
          <w:rFonts w:ascii="仿宋" w:hAnsi="仿宋" w:eastAsia="仿宋" w:cs="仿宋_GB2312"/>
          <w:bCs/>
          <w:color w:val="000000" w:themeColor="text1"/>
          <w:sz w:val="24"/>
          <w14:textFill>
            <w14:solidFill>
              <w14:schemeClr w14:val="tx1"/>
            </w14:solidFill>
          </w14:textFill>
        </w:rPr>
        <w:t>前，要首先</w:t>
      </w:r>
      <w:r>
        <w:rPr>
          <w:rFonts w:hint="eastAsia" w:ascii="仿宋" w:hAnsi="仿宋" w:eastAsia="仿宋" w:cs="仿宋_GB2312"/>
          <w:bCs/>
          <w:color w:val="000000" w:themeColor="text1"/>
          <w:sz w:val="24"/>
          <w14:textFill>
            <w14:solidFill>
              <w14:schemeClr w14:val="tx1"/>
            </w14:solidFill>
          </w14:textFill>
        </w:rPr>
        <w:t>不少于2个手拉葫芦</w:t>
      </w:r>
      <w:r>
        <w:rPr>
          <w:rFonts w:ascii="仿宋" w:hAnsi="仿宋" w:eastAsia="仿宋" w:cs="仿宋_GB2312"/>
          <w:bCs/>
          <w:color w:val="000000" w:themeColor="text1"/>
          <w:sz w:val="24"/>
          <w14:textFill>
            <w14:solidFill>
              <w14:schemeClr w14:val="tx1"/>
            </w14:solidFill>
          </w14:textFill>
        </w:rPr>
        <w:t>将其进行固定，防止歪倒或掉落，然后再用手拉葫芦进行起吊，起吊时严格按照</w:t>
      </w:r>
      <w:r>
        <w:rPr>
          <w:rFonts w:hint="eastAsia" w:ascii="仿宋" w:hAnsi="仿宋" w:eastAsia="仿宋" w:cs="仿宋_GB2312"/>
          <w:bCs/>
          <w:color w:val="000000" w:themeColor="text1"/>
          <w:sz w:val="24"/>
          <w14:textFill>
            <w14:solidFill>
              <w14:schemeClr w14:val="tx1"/>
            </w14:solidFill>
          </w14:textFill>
        </w:rPr>
        <w:t>本作业规程中大件起吊相关规定执行。</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w:t>
      </w:r>
      <w:r>
        <w:rPr>
          <w:rFonts w:ascii="仿宋" w:hAnsi="仿宋" w:eastAsia="仿宋" w:cs="仿宋_GB2312"/>
          <w:bCs/>
          <w:color w:val="000000" w:themeColor="text1"/>
          <w:sz w:val="24"/>
          <w14:textFill>
            <w14:solidFill>
              <w14:schemeClr w14:val="tx1"/>
            </w14:solidFill>
          </w14:textFill>
        </w:rPr>
        <w:t>使用手拉葫芦时，吊挂必须牢固，且重物与起吊工具间必须连接可靠，</w:t>
      </w:r>
      <w:r>
        <w:rPr>
          <w:rFonts w:hint="eastAsia" w:ascii="仿宋" w:hAnsi="仿宋" w:eastAsia="仿宋" w:cs="仿宋_GB2312"/>
          <w:bCs/>
          <w:color w:val="000000" w:themeColor="text1"/>
          <w:sz w:val="24"/>
          <w14:textFill>
            <w14:solidFill>
              <w14:schemeClr w14:val="tx1"/>
            </w14:solidFill>
          </w14:textFill>
        </w:rPr>
        <w:t>每个手拉葫芦的</w:t>
      </w:r>
      <w:r>
        <w:rPr>
          <w:rFonts w:ascii="仿宋" w:hAnsi="仿宋" w:eastAsia="仿宋" w:cs="仿宋_GB2312"/>
          <w:bCs/>
          <w:color w:val="000000" w:themeColor="text1"/>
          <w:sz w:val="24"/>
          <w14:textFill>
            <w14:solidFill>
              <w14:schemeClr w14:val="tx1"/>
            </w14:solidFill>
          </w14:textFill>
        </w:rPr>
        <w:t>起吊能力</w:t>
      </w:r>
      <w:r>
        <w:rPr>
          <w:rFonts w:hint="eastAsia" w:ascii="仿宋" w:hAnsi="仿宋" w:eastAsia="仿宋" w:cs="仿宋_GB2312"/>
          <w:bCs/>
          <w:color w:val="000000" w:themeColor="text1"/>
          <w:sz w:val="24"/>
          <w14:textFill>
            <w14:solidFill>
              <w14:schemeClr w14:val="tx1"/>
            </w14:solidFill>
          </w14:textFill>
        </w:rPr>
        <w:t>均</w:t>
      </w:r>
      <w:r>
        <w:rPr>
          <w:rFonts w:ascii="仿宋" w:hAnsi="仿宋" w:eastAsia="仿宋" w:cs="仿宋_GB2312"/>
          <w:bCs/>
          <w:color w:val="000000" w:themeColor="text1"/>
          <w:sz w:val="24"/>
          <w14:textFill>
            <w14:solidFill>
              <w14:schemeClr w14:val="tx1"/>
            </w14:solidFill>
          </w14:textFill>
        </w:rPr>
        <w:t>大于起吊重量，人员严禁</w:t>
      </w:r>
      <w:r>
        <w:rPr>
          <w:rFonts w:hint="eastAsia" w:ascii="仿宋" w:hAnsi="仿宋" w:eastAsia="仿宋" w:cs="仿宋_GB2312"/>
          <w:bCs/>
          <w:color w:val="000000" w:themeColor="text1"/>
          <w:sz w:val="24"/>
          <w14:textFill>
            <w14:solidFill>
              <w14:schemeClr w14:val="tx1"/>
            </w14:solidFill>
          </w14:textFill>
        </w:rPr>
        <w:t>位于重物</w:t>
      </w:r>
      <w:r>
        <w:rPr>
          <w:rFonts w:ascii="仿宋" w:hAnsi="仿宋" w:eastAsia="仿宋" w:cs="仿宋_GB2312"/>
          <w:bCs/>
          <w:color w:val="000000" w:themeColor="text1"/>
          <w:sz w:val="24"/>
          <w14:textFill>
            <w14:solidFill>
              <w14:schemeClr w14:val="tx1"/>
            </w14:solidFill>
          </w14:textFill>
        </w:rPr>
        <w:t>可能歪倒的方向</w:t>
      </w:r>
      <w:r>
        <w:rPr>
          <w:rFonts w:hint="eastAsia" w:ascii="仿宋" w:hAnsi="仿宋" w:eastAsia="仿宋" w:cs="仿宋_GB2312"/>
          <w:bCs/>
          <w:color w:val="000000" w:themeColor="text1"/>
          <w:sz w:val="24"/>
          <w14:textFill>
            <w14:solidFill>
              <w14:schemeClr w14:val="tx1"/>
            </w14:solidFill>
          </w14:textFill>
        </w:rPr>
        <w:t>上</w:t>
      </w:r>
      <w:r>
        <w:rPr>
          <w:rFonts w:ascii="仿宋" w:hAnsi="仿宋" w:eastAsia="仿宋" w:cs="仿宋_GB2312"/>
          <w:bCs/>
          <w:color w:val="000000" w:themeColor="text1"/>
          <w:sz w:val="24"/>
          <w14:textFill>
            <w14:solidFill>
              <w14:schemeClr w14:val="tx1"/>
            </w14:solidFill>
          </w14:textFill>
        </w:rPr>
        <w:t>，并防止挤坏管路、阀组等。</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（8）更换完成后，必须对销轴、管路等进行全面检查，确保齐全、紧固后方可撤掉手拉葫芦，然后进行供液。</w:t>
      </w:r>
    </w:p>
    <w:p>
      <w:pPr>
        <w:keepNext w:val="0"/>
        <w:keepLines w:val="0"/>
        <w:pageBreakBefore w:val="0"/>
        <w:widowControl w:val="0"/>
        <w:kinsoku/>
        <w:wordWrap/>
        <w:overflowPunct/>
        <w:topLinePunct w:val="0"/>
        <w:bidi w:val="0"/>
        <w:snapToGrid w:val="0"/>
        <w:spacing w:line="440" w:lineRule="exact"/>
        <w:ind w:firstLine="480"/>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27、检修、更换支架前梁千斤顶、伸缩梁千斤顶、护帮板千斤顶等时，作业地点前后各5m范围煤壁用单体，柱距1m，背帮柱必须打在实底上，上部打在护帮板与煤壁之间，接实顶板，支撑有力。 </w:t>
      </w:r>
    </w:p>
    <w:p>
      <w:pPr>
        <w:pStyle w:val="60"/>
        <w:keepNext w:val="0"/>
        <w:keepLines w:val="0"/>
        <w:pageBreakBefore w:val="0"/>
        <w:widowControl w:val="0"/>
        <w:kinsoku/>
        <w:wordWrap/>
        <w:overflowPunct/>
        <w:topLinePunct w:val="0"/>
        <w:bidi w:val="0"/>
        <w:snapToGrid w:val="0"/>
        <w:spacing w:line="44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八、三机的使用与管理</w:t>
      </w:r>
    </w:p>
    <w:p>
      <w:pPr>
        <w:pStyle w:val="60"/>
        <w:keepNext w:val="0"/>
        <w:keepLines w:val="0"/>
        <w:pageBreakBefore w:val="0"/>
        <w:widowControl w:val="0"/>
        <w:kinsoku/>
        <w:wordWrap/>
        <w:overflowPunct/>
        <w:topLinePunct w:val="0"/>
        <w:bidi w:val="0"/>
        <w:snapToGrid w:val="0"/>
        <w:spacing w:line="44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（一）一般规定</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工作面</w:t>
      </w:r>
      <w:r>
        <w:rPr>
          <w:rFonts w:ascii="仿宋" w:hAnsi="仿宋" w:eastAsia="仿宋" w:cs="仿宋_GB2312"/>
          <w:bCs/>
          <w:color w:val="000000" w:themeColor="text1"/>
          <w:sz w:val="24"/>
          <w14:textFill>
            <w14:solidFill>
              <w14:schemeClr w14:val="tx1"/>
            </w14:solidFill>
          </w14:textFill>
        </w:rPr>
        <w:t>运输机</w:t>
      </w:r>
      <w:r>
        <w:rPr>
          <w:rFonts w:hint="eastAsia" w:ascii="仿宋" w:hAnsi="仿宋" w:eastAsia="仿宋" w:cs="仿宋_GB2312"/>
          <w:bCs/>
          <w:color w:val="000000" w:themeColor="text1"/>
          <w:sz w:val="24"/>
          <w14:textFill>
            <w14:solidFill>
              <w14:schemeClr w14:val="tx1"/>
            </w14:solidFill>
          </w14:textFill>
        </w:rPr>
        <w:t>、转载机等</w:t>
      </w:r>
      <w:r>
        <w:rPr>
          <w:rFonts w:ascii="仿宋" w:hAnsi="仿宋" w:eastAsia="仿宋" w:cs="仿宋_GB2312"/>
          <w:bCs/>
          <w:color w:val="000000" w:themeColor="text1"/>
          <w:sz w:val="24"/>
          <w14:textFill>
            <w14:solidFill>
              <w14:schemeClr w14:val="tx1"/>
            </w14:solidFill>
          </w14:textFill>
        </w:rPr>
        <w:t>机头与机尾</w:t>
      </w:r>
      <w:r>
        <w:rPr>
          <w:rFonts w:hint="eastAsia" w:ascii="仿宋" w:hAnsi="仿宋" w:eastAsia="仿宋" w:cs="仿宋_GB2312"/>
          <w:bCs/>
          <w:color w:val="000000" w:themeColor="text1"/>
          <w:sz w:val="24"/>
          <w14:textFill>
            <w14:solidFill>
              <w14:schemeClr w14:val="tx1"/>
            </w14:solidFill>
          </w14:textFill>
        </w:rPr>
        <w:t>相互之间</w:t>
      </w:r>
      <w:r>
        <w:rPr>
          <w:rFonts w:ascii="仿宋" w:hAnsi="仿宋" w:eastAsia="仿宋" w:cs="仿宋_GB2312"/>
          <w:bCs/>
          <w:color w:val="000000" w:themeColor="text1"/>
          <w:sz w:val="24"/>
          <w14:textFill>
            <w14:solidFill>
              <w14:schemeClr w14:val="tx1"/>
            </w14:solidFill>
          </w14:textFill>
        </w:rPr>
        <w:t>搭接合理，确保其底链不拉回头煤</w:t>
      </w:r>
      <w:r>
        <w:rPr>
          <w:rFonts w:hint="eastAsia" w:ascii="仿宋" w:hAnsi="仿宋" w:eastAsia="仿宋" w:cs="仿宋_GB2312"/>
          <w:bCs/>
          <w:color w:val="000000" w:themeColor="text1"/>
          <w:sz w:val="24"/>
          <w14:textFill>
            <w14:solidFill>
              <w14:schemeClr w14:val="tx1"/>
            </w14:solidFill>
          </w14:textFill>
        </w:rPr>
        <w:t>，出煤顺畅</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ascii="仿宋" w:hAnsi="仿宋" w:eastAsia="仿宋" w:cs="仿宋_GB2312"/>
          <w:bCs/>
          <w:color w:val="000000" w:themeColor="text1"/>
          <w:sz w:val="24"/>
          <w14:textFill>
            <w14:solidFill>
              <w14:schemeClr w14:val="tx1"/>
            </w14:solidFill>
          </w14:textFill>
        </w:rPr>
        <w:t>、要安排专人定期对三机进行检修，损坏的部件及时更换，符合设备完好标准，确保其正常运转</w:t>
      </w:r>
      <w:r>
        <w:rPr>
          <w:rFonts w:hint="eastAsia" w:ascii="仿宋" w:hAnsi="仿宋" w:eastAsia="仿宋" w:cs="仿宋_GB2312"/>
          <w:bCs/>
          <w:color w:val="000000" w:themeColor="text1"/>
          <w:sz w:val="24"/>
          <w14:textFill>
            <w14:solidFill>
              <w14:schemeClr w14:val="tx1"/>
            </w14:solidFill>
          </w14:textFill>
        </w:rPr>
        <w:t>；处理故障或更换配件等,必须执行停电闭锁挂牌制度。</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、开机前司机应认真检查，要求转动部位附近无杂物，管线吊挂整齐，各种螺丝齐全紧固，盖板完整，油位适量，冷却良好，信号齐全，闭锁可靠。</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4、三机要分别安设起动报警系统，确保信号准确完好可靠；每次开车前都必须先发出信号，待人员离开转动部位、收</w:t>
      </w:r>
      <w:r>
        <w:rPr>
          <w:rFonts w:ascii="仿宋" w:hAnsi="仿宋" w:eastAsia="仿宋" w:cs="仿宋_GB2312"/>
          <w:bCs/>
          <w:color w:val="000000" w:themeColor="text1"/>
          <w:sz w:val="24"/>
          <w14:textFill>
            <w14:solidFill>
              <w14:schemeClr w14:val="tx1"/>
            </w14:solidFill>
          </w14:textFill>
        </w:rPr>
        <w:t>到回应信号后，再正式开</w:t>
      </w:r>
      <w:r>
        <w:rPr>
          <w:rFonts w:hint="eastAsia" w:ascii="仿宋" w:hAnsi="仿宋" w:eastAsia="仿宋" w:cs="仿宋_GB2312"/>
          <w:bCs/>
          <w:color w:val="000000" w:themeColor="text1"/>
          <w:sz w:val="24"/>
          <w14:textFill>
            <w14:solidFill>
              <w14:schemeClr w14:val="tx1"/>
            </w14:solidFill>
          </w14:textFill>
        </w:rPr>
        <w:t>车</w:t>
      </w:r>
      <w:r>
        <w:rPr>
          <w:rFonts w:ascii="仿宋" w:hAnsi="仿宋" w:eastAsia="仿宋" w:cs="仿宋_GB2312"/>
          <w:bCs/>
          <w:color w:val="000000" w:themeColor="text1"/>
          <w:sz w:val="24"/>
          <w14:textFill>
            <w14:solidFill>
              <w14:schemeClr w14:val="tx1"/>
            </w14:solidFill>
          </w14:textFill>
        </w:rPr>
        <w:t>，严禁约时</w:t>
      </w:r>
      <w:r>
        <w:rPr>
          <w:rFonts w:hint="eastAsia" w:ascii="仿宋" w:hAnsi="仿宋" w:eastAsia="仿宋" w:cs="仿宋_GB2312"/>
          <w:bCs/>
          <w:color w:val="000000" w:themeColor="text1"/>
          <w:sz w:val="24"/>
          <w14:textFill>
            <w14:solidFill>
              <w14:schemeClr w14:val="tx1"/>
            </w14:solidFill>
          </w14:textFill>
        </w:rPr>
        <w:t>开车；三机需点动时，控制台电工必须听清信号或喊话，防止误操作。</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5、正常开车时，应坚持由外向里逐台开车的原则，要先开破碎机后开转载机，停车时先停转载机后停破碎机；严格遵循先送水后开机，先停机后停水的原则，严禁无水开机。</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、三机启动后，司机应注意观察运行状态，要求运行平稳，声音正常</w:t>
      </w:r>
      <w:r>
        <w:rPr>
          <w:rFonts w:hint="eastAsia" w:ascii="仿宋" w:hAnsi="仿宋" w:eastAsia="仿宋" w:cs="仿宋_GB2312"/>
          <w:bCs/>
          <w:color w:val="000000" w:themeColor="text1"/>
          <w:sz w:val="24"/>
          <w14:textFill>
            <w14:solidFill>
              <w14:schemeClr w14:val="tx1"/>
            </w14:solidFill>
          </w14:textFill>
        </w:rPr>
        <w:t>，发现异常必须及时停机处理。</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7、电机和减速箱的通风和冷却系统要保持良好, 电机与齿箱部分不得堆煤和其它杂物，要保证散热，电机、减速箱工作温度不得超过75℃，严禁用高压液冲洗电机和齿箱冷却系统内的杂物。</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8、三机运行期间，司机严禁离岗，确需离开时必须停机闭锁。</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9、有大块煤、矸影响运输机、转载机正常运转时，应停机闭锁进行处理。</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10、正常</w:t>
      </w:r>
      <w:r>
        <w:rPr>
          <w:rFonts w:ascii="仿宋" w:hAnsi="仿宋" w:eastAsia="仿宋" w:cs="仿宋_GB2312"/>
          <w:bCs/>
          <w:color w:val="000000" w:themeColor="text1"/>
          <w:sz w:val="24"/>
          <w14:textFill>
            <w14:solidFill>
              <w14:schemeClr w14:val="tx1"/>
            </w14:solidFill>
          </w14:textFill>
        </w:rPr>
        <w:t>情况下不得负重停车，必须将煤运完后，方可停车</w:t>
      </w:r>
      <w:r>
        <w:rPr>
          <w:rFonts w:hint="eastAsia" w:ascii="仿宋" w:hAnsi="仿宋" w:eastAsia="仿宋" w:cs="仿宋_GB2312"/>
          <w:bCs/>
          <w:color w:val="000000" w:themeColor="text1"/>
          <w:sz w:val="24"/>
          <w14:textFill>
            <w14:solidFill>
              <w14:schemeClr w14:val="tx1"/>
            </w14:solidFill>
          </w14:textFill>
        </w:rPr>
        <w:t>；若运输机、转载机被压死或破碎机被卡死时，不得强行起动，以防止烧坏电机。</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11、严禁人员进入运转的前部运输机、转载机里侧和后部运输机上方作业；必须进入作业时，要停机闭锁，管理好顶板与煤帮,要严格执行敲帮问顶制度，及时找净活矸危岩，并设专人看管闭锁和观察顶帮后方可进行；</w:t>
      </w:r>
      <w:r>
        <w:rPr>
          <w:rFonts w:ascii="仿宋" w:hAnsi="仿宋" w:eastAsia="仿宋" w:cs="仿宋_GB2312"/>
          <w:bCs/>
          <w:color w:val="000000" w:themeColor="text1"/>
          <w:sz w:val="24"/>
          <w14:textFill>
            <w14:solidFill>
              <w14:schemeClr w14:val="tx1"/>
            </w14:solidFill>
          </w14:textFill>
        </w:rPr>
        <w:t>工作结束</w:t>
      </w:r>
      <w:r>
        <w:rPr>
          <w:rFonts w:hint="eastAsia" w:ascii="仿宋" w:hAnsi="仿宋" w:eastAsia="仿宋" w:cs="仿宋_GB2312"/>
          <w:bCs/>
          <w:color w:val="000000" w:themeColor="text1"/>
          <w:sz w:val="24"/>
          <w14:textFill>
            <w14:solidFill>
              <w14:schemeClr w14:val="tx1"/>
            </w14:solidFill>
          </w14:textFill>
        </w:rPr>
        <w:t>、确认安全</w:t>
      </w:r>
      <w:r>
        <w:rPr>
          <w:rFonts w:ascii="仿宋" w:hAnsi="仿宋" w:eastAsia="仿宋" w:cs="仿宋_GB2312"/>
          <w:bCs/>
          <w:color w:val="000000" w:themeColor="text1"/>
          <w:sz w:val="24"/>
          <w14:textFill>
            <w14:solidFill>
              <w14:schemeClr w14:val="tx1"/>
            </w14:solidFill>
          </w14:textFill>
        </w:rPr>
        <w:t>后方可送信号开车。</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12、前后部运输机运行期间，卸煤口方向不得有人员逗留。</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13、</w:t>
      </w:r>
      <w:r>
        <w:rPr>
          <w:rFonts w:ascii="仿宋" w:hAnsi="仿宋" w:eastAsia="仿宋" w:cs="仿宋_GB2312"/>
          <w:bCs/>
          <w:color w:val="000000" w:themeColor="text1"/>
          <w:sz w:val="24"/>
          <w14:textFill>
            <w14:solidFill>
              <w14:schemeClr w14:val="tx1"/>
            </w14:solidFill>
          </w14:textFill>
        </w:rPr>
        <w:t>运输机、转载机严禁乘人</w:t>
      </w:r>
      <w:r>
        <w:rPr>
          <w:rFonts w:hint="eastAsia" w:ascii="仿宋" w:hAnsi="仿宋" w:eastAsia="仿宋" w:cs="仿宋_GB2312"/>
          <w:bCs/>
          <w:color w:val="000000" w:themeColor="text1"/>
          <w:sz w:val="24"/>
          <w14:textFill>
            <w14:solidFill>
              <w14:schemeClr w14:val="tx1"/>
            </w14:solidFill>
          </w14:textFill>
        </w:rPr>
        <w:t>，溜槽内严禁行人；转载机严禁运送除煤矸外的其它物料、配件等；</w:t>
      </w:r>
      <w:r>
        <w:rPr>
          <w:rFonts w:ascii="仿宋" w:hAnsi="仿宋" w:eastAsia="仿宋" w:cs="仿宋_GB2312"/>
          <w:bCs/>
          <w:color w:val="000000" w:themeColor="text1"/>
          <w:sz w:val="24"/>
          <w14:textFill>
            <w14:solidFill>
              <w14:schemeClr w14:val="tx1"/>
            </w14:solidFill>
          </w14:textFill>
        </w:rPr>
        <w:t>行人跨越</w:t>
      </w:r>
      <w:r>
        <w:rPr>
          <w:rFonts w:hint="eastAsia" w:ascii="仿宋" w:hAnsi="仿宋" w:eastAsia="仿宋" w:cs="仿宋_GB2312"/>
          <w:bCs/>
          <w:color w:val="000000" w:themeColor="text1"/>
          <w:sz w:val="24"/>
          <w14:textFill>
            <w14:solidFill>
              <w14:schemeClr w14:val="tx1"/>
            </w14:solidFill>
          </w14:textFill>
        </w:rPr>
        <w:t>处</w:t>
      </w:r>
      <w:r>
        <w:rPr>
          <w:rFonts w:ascii="仿宋" w:hAnsi="仿宋" w:eastAsia="仿宋" w:cs="仿宋_GB2312"/>
          <w:bCs/>
          <w:color w:val="000000" w:themeColor="text1"/>
          <w:sz w:val="24"/>
          <w14:textFill>
            <w14:solidFill>
              <w14:schemeClr w14:val="tx1"/>
            </w14:solidFill>
          </w14:textFill>
        </w:rPr>
        <w:t>要有行人过桥</w:t>
      </w:r>
      <w:r>
        <w:rPr>
          <w:rFonts w:hint="eastAsia" w:ascii="仿宋" w:hAnsi="仿宋" w:eastAsia="仿宋" w:cs="仿宋_GB2312"/>
          <w:bCs/>
          <w:color w:val="000000" w:themeColor="text1"/>
          <w:sz w:val="24"/>
          <w14:textFill>
            <w14:solidFill>
              <w14:schemeClr w14:val="tx1"/>
            </w14:solidFill>
          </w14:textFill>
        </w:rPr>
        <w:t>，过桥护栏高度不低于300mm。</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w:t>
      </w:r>
      <w:r>
        <w:rPr>
          <w:rFonts w:hint="eastAsia" w:ascii="仿宋" w:hAnsi="仿宋" w:eastAsia="仿宋" w:cs="仿宋_GB2312"/>
          <w:bCs/>
          <w:color w:val="000000" w:themeColor="text1"/>
          <w:sz w:val="24"/>
          <w14:textFill>
            <w14:solidFill>
              <w14:schemeClr w14:val="tx1"/>
            </w14:solidFill>
          </w14:textFill>
        </w:rPr>
        <w:t>4</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运输机、转载机</w:t>
      </w:r>
      <w:r>
        <w:rPr>
          <w:rFonts w:ascii="仿宋" w:hAnsi="仿宋" w:eastAsia="仿宋" w:cs="仿宋_GB2312"/>
          <w:bCs/>
          <w:color w:val="000000" w:themeColor="text1"/>
          <w:sz w:val="24"/>
          <w14:textFill>
            <w14:solidFill>
              <w14:schemeClr w14:val="tx1"/>
            </w14:solidFill>
          </w14:textFill>
        </w:rPr>
        <w:t>掐、接链</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（1）首先检查</w:t>
      </w:r>
      <w:r>
        <w:rPr>
          <w:rFonts w:ascii="仿宋" w:hAnsi="仿宋" w:eastAsia="仿宋" w:cs="仿宋_GB2312"/>
          <w:bCs/>
          <w:color w:val="000000" w:themeColor="text1"/>
          <w:sz w:val="24"/>
          <w14:textFill>
            <w14:solidFill>
              <w14:schemeClr w14:val="tx1"/>
            </w14:solidFill>
          </w14:textFill>
        </w:rPr>
        <w:t>掐接链段的顶</w:t>
      </w:r>
      <w:r>
        <w:rPr>
          <w:rFonts w:hint="eastAsia" w:ascii="仿宋" w:hAnsi="仿宋" w:eastAsia="仿宋" w:cs="仿宋_GB2312"/>
          <w:bCs/>
          <w:color w:val="000000" w:themeColor="text1"/>
          <w:sz w:val="24"/>
          <w14:textFill>
            <w14:solidFill>
              <w14:schemeClr w14:val="tx1"/>
            </w14:solidFill>
          </w14:textFill>
        </w:rPr>
        <w:t>帮支护情况</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找净活矸危岩</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工作面需进行背帮；</w:t>
      </w:r>
      <w:r>
        <w:rPr>
          <w:rFonts w:ascii="仿宋" w:hAnsi="仿宋" w:eastAsia="仿宋" w:cs="仿宋_GB2312"/>
          <w:bCs/>
          <w:color w:val="000000" w:themeColor="text1"/>
          <w:sz w:val="24"/>
          <w14:textFill>
            <w14:solidFill>
              <w14:schemeClr w14:val="tx1"/>
            </w14:solidFill>
          </w14:textFill>
        </w:rPr>
        <w:t>将需要掐、接链的设备进行停电闭锁。</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（2）正常情况下使用液压马达配合阻链器进行掐、接链，</w:t>
      </w:r>
      <w:r>
        <w:rPr>
          <w:rFonts w:ascii="仿宋" w:hAnsi="仿宋" w:eastAsia="仿宋" w:cs="仿宋_GB2312"/>
          <w:bCs/>
          <w:color w:val="000000" w:themeColor="text1"/>
          <w:sz w:val="24"/>
          <w14:textFill>
            <w14:solidFill>
              <w14:schemeClr w14:val="tx1"/>
            </w14:solidFill>
          </w14:textFill>
        </w:rPr>
        <w:t>使用阻链器阻好刮板链。</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找出活环位置，并将活环开到机头、机尾附近，进行掐、接链。</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w:t>
      </w:r>
      <w:r>
        <w:rPr>
          <w:rFonts w:ascii="仿宋" w:hAnsi="仿宋" w:eastAsia="仿宋" w:cs="仿宋_GB2312"/>
          <w:bCs/>
          <w:color w:val="000000" w:themeColor="text1"/>
          <w:sz w:val="24"/>
          <w14:textFill>
            <w14:solidFill>
              <w14:schemeClr w14:val="tx1"/>
            </w14:solidFill>
          </w14:textFill>
        </w:rPr>
        <w:t>将活环卸开，将多余的链子掐掉，若只有一个活环，则用钢锯将多余链子截断去掉；使用钢锯锯链环时，必须对锯动处浇水，防止产生火花。</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w:t>
      </w:r>
      <w:r>
        <w:rPr>
          <w:rFonts w:ascii="仿宋" w:hAnsi="仿宋" w:eastAsia="仿宋" w:cs="仿宋_GB2312"/>
          <w:bCs/>
          <w:color w:val="000000" w:themeColor="text1"/>
          <w:sz w:val="24"/>
          <w14:textFill>
            <w14:solidFill>
              <w14:schemeClr w14:val="tx1"/>
            </w14:solidFill>
          </w14:textFill>
        </w:rPr>
        <w:t>掐掉多余的链子后，用活环将链子重新接好，打上胀销。</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接链时要注意大链不得扭劲。</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w:t>
      </w:r>
      <w:r>
        <w:rPr>
          <w:rFonts w:ascii="仿宋" w:hAnsi="仿宋" w:eastAsia="仿宋" w:cs="仿宋_GB2312"/>
          <w:bCs/>
          <w:color w:val="000000" w:themeColor="text1"/>
          <w:sz w:val="24"/>
          <w14:textFill>
            <w14:solidFill>
              <w14:schemeClr w14:val="tx1"/>
            </w14:solidFill>
          </w14:textFill>
        </w:rPr>
        <w:t>大链接好后，要对输送机中部槽及链</w:t>
      </w:r>
      <w:r>
        <w:rPr>
          <w:rFonts w:hint="eastAsia" w:ascii="仿宋" w:hAnsi="仿宋" w:eastAsia="仿宋" w:cs="仿宋_GB2312"/>
          <w:bCs/>
          <w:color w:val="000000" w:themeColor="text1"/>
          <w:sz w:val="24"/>
          <w14:textFill>
            <w14:solidFill>
              <w14:schemeClr w14:val="tx1"/>
            </w14:solidFill>
          </w14:textFill>
        </w:rPr>
        <w:t>条</w:t>
      </w:r>
      <w:r>
        <w:rPr>
          <w:rFonts w:ascii="仿宋" w:hAnsi="仿宋" w:eastAsia="仿宋" w:cs="仿宋_GB2312"/>
          <w:bCs/>
          <w:color w:val="000000" w:themeColor="text1"/>
          <w:sz w:val="24"/>
          <w14:textFill>
            <w14:solidFill>
              <w14:schemeClr w14:val="tx1"/>
            </w14:solidFill>
          </w14:textFill>
        </w:rPr>
        <w:t>认真检查一遍，确认无误后，方可联系开机。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w:t>
      </w:r>
      <w:r>
        <w:rPr>
          <w:rFonts w:ascii="仿宋" w:hAnsi="仿宋" w:eastAsia="仿宋" w:cs="仿宋_GB2312"/>
          <w:bCs/>
          <w:color w:val="000000" w:themeColor="text1"/>
          <w:sz w:val="24"/>
          <w14:textFill>
            <w14:solidFill>
              <w14:schemeClr w14:val="tx1"/>
            </w14:solidFill>
          </w14:textFill>
        </w:rPr>
        <w:t>在不能使用上述方法时，可使用液压单体支柱使链条拉紧，必须做到以下规定：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①</w:t>
      </w:r>
      <w:r>
        <w:rPr>
          <w:rFonts w:ascii="仿宋" w:hAnsi="仿宋" w:eastAsia="仿宋" w:cs="仿宋_GB2312"/>
          <w:bCs/>
          <w:color w:val="000000" w:themeColor="text1"/>
          <w:sz w:val="24"/>
          <w14:textFill>
            <w14:solidFill>
              <w14:schemeClr w14:val="tx1"/>
            </w14:solidFill>
          </w14:textFill>
        </w:rPr>
        <w:t>将紧链用的单体柱、活环、胀销、钎子等准备齐全。</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②在掐、接链两侧距掐接链地点不少于5m处分别支设一根单体支柱，单体支柱柱头向下，</w:t>
      </w:r>
      <w:r>
        <w:rPr>
          <w:rFonts w:ascii="仿宋" w:hAnsi="仿宋" w:eastAsia="仿宋" w:cs="仿宋_GB2312"/>
          <w:bCs/>
          <w:color w:val="000000" w:themeColor="text1"/>
          <w:sz w:val="24"/>
          <w14:textFill>
            <w14:solidFill>
              <w14:schemeClr w14:val="tx1"/>
            </w14:solidFill>
          </w14:textFill>
        </w:rPr>
        <w:t>柱头小爪</w:t>
      </w:r>
      <w:r>
        <w:rPr>
          <w:rFonts w:hint="eastAsia" w:ascii="仿宋" w:hAnsi="仿宋" w:eastAsia="仿宋" w:cs="仿宋_GB2312"/>
          <w:bCs/>
          <w:color w:val="000000" w:themeColor="text1"/>
          <w:sz w:val="24"/>
          <w14:textFill>
            <w14:solidFill>
              <w14:schemeClr w14:val="tx1"/>
            </w14:solidFill>
          </w14:textFill>
        </w:rPr>
        <w:t>要放</w:t>
      </w:r>
      <w:r>
        <w:rPr>
          <w:rFonts w:ascii="仿宋" w:hAnsi="仿宋" w:eastAsia="仿宋" w:cs="仿宋_GB2312"/>
          <w:bCs/>
          <w:color w:val="000000" w:themeColor="text1"/>
          <w:sz w:val="24"/>
          <w14:textFill>
            <w14:solidFill>
              <w14:schemeClr w14:val="tx1"/>
            </w14:solidFill>
          </w14:textFill>
        </w:rPr>
        <w:t>在链环上，</w:t>
      </w:r>
      <w:r>
        <w:rPr>
          <w:rFonts w:hint="eastAsia" w:ascii="仿宋" w:hAnsi="仿宋" w:eastAsia="仿宋" w:cs="仿宋_GB2312"/>
          <w:bCs/>
          <w:color w:val="000000" w:themeColor="text1"/>
          <w:sz w:val="24"/>
          <w14:textFill>
            <w14:solidFill>
              <w14:schemeClr w14:val="tx1"/>
            </w14:solidFill>
          </w14:textFill>
        </w:rPr>
        <w:t>单体放置稳固，单体</w:t>
      </w:r>
      <w:r>
        <w:rPr>
          <w:rFonts w:ascii="仿宋" w:hAnsi="仿宋" w:eastAsia="仿宋" w:cs="仿宋_GB2312"/>
          <w:bCs/>
          <w:color w:val="000000" w:themeColor="text1"/>
          <w:sz w:val="24"/>
          <w14:textFill>
            <w14:solidFill>
              <w14:schemeClr w14:val="tx1"/>
            </w14:solidFill>
          </w14:textFill>
        </w:rPr>
        <w:t>角度要适当，柱体要正，不得歪斜，防止将大链顶到中部槽帮上，给掐链和接链造成困难。</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③使用棕绳分别将每根单体的柱头、柱根处拴紧拴牢，棕绳在单体上缠绕不得少于3圈，并生根牢固可靠，防止崩柱伤人。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④缓慢</w:t>
      </w:r>
      <w:r>
        <w:rPr>
          <w:rFonts w:ascii="仿宋" w:hAnsi="仿宋" w:eastAsia="仿宋" w:cs="仿宋_GB2312"/>
          <w:bCs/>
          <w:color w:val="000000" w:themeColor="text1"/>
          <w:sz w:val="24"/>
          <w14:textFill>
            <w14:solidFill>
              <w14:schemeClr w14:val="tx1"/>
            </w14:solidFill>
          </w14:textFill>
        </w:rPr>
        <w:t>供液将大链顶紧，使多余的链子聚在一起，当大链的松紧合适后，停止供液，将液压枪去掉。</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⑤供液时，</w:t>
      </w:r>
      <w:r>
        <w:rPr>
          <w:rFonts w:ascii="仿宋" w:hAnsi="仿宋" w:eastAsia="仿宋" w:cs="仿宋_GB2312"/>
          <w:bCs/>
          <w:color w:val="000000" w:themeColor="text1"/>
          <w:sz w:val="24"/>
          <w14:textFill>
            <w14:solidFill>
              <w14:schemeClr w14:val="tx1"/>
            </w14:solidFill>
          </w14:textFill>
        </w:rPr>
        <w:t>施工人员不得少于2人</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1人稳单体，1人供液，并观察升柱情况</w:t>
      </w:r>
      <w:r>
        <w:rPr>
          <w:rFonts w:hint="eastAsia" w:ascii="仿宋" w:hAnsi="仿宋" w:eastAsia="仿宋" w:cs="仿宋_GB2312"/>
          <w:bCs/>
          <w:color w:val="000000" w:themeColor="text1"/>
          <w:sz w:val="24"/>
          <w14:textFill>
            <w14:solidFill>
              <w14:schemeClr w14:val="tx1"/>
            </w14:solidFill>
          </w14:textFill>
        </w:rPr>
        <w:t>及</w:t>
      </w:r>
      <w:r>
        <w:rPr>
          <w:rFonts w:ascii="仿宋" w:hAnsi="仿宋" w:eastAsia="仿宋" w:cs="仿宋_GB2312"/>
          <w:bCs/>
          <w:color w:val="000000" w:themeColor="text1"/>
          <w:sz w:val="24"/>
          <w14:textFill>
            <w14:solidFill>
              <w14:schemeClr w14:val="tx1"/>
            </w14:solidFill>
          </w14:textFill>
        </w:rPr>
        <w:t>作业地点附近环境安全状况，发现问题及时处理，确认无危险后，方可继续操作。单体点上劲后，</w:t>
      </w:r>
      <w:r>
        <w:rPr>
          <w:rFonts w:hint="eastAsia" w:ascii="仿宋" w:hAnsi="仿宋" w:eastAsia="仿宋" w:cs="仿宋_GB2312"/>
          <w:bCs/>
          <w:color w:val="000000" w:themeColor="text1"/>
          <w:sz w:val="24"/>
          <w14:textFill>
            <w14:solidFill>
              <w14:schemeClr w14:val="tx1"/>
            </w14:solidFill>
          </w14:textFill>
        </w:rPr>
        <w:t>所有</w:t>
      </w:r>
      <w:r>
        <w:rPr>
          <w:rFonts w:ascii="仿宋" w:hAnsi="仿宋" w:eastAsia="仿宋" w:cs="仿宋_GB2312"/>
          <w:bCs/>
          <w:color w:val="000000" w:themeColor="text1"/>
          <w:sz w:val="24"/>
          <w14:textFill>
            <w14:solidFill>
              <w14:schemeClr w14:val="tx1"/>
            </w14:solidFill>
          </w14:textFill>
        </w:rPr>
        <w:t>人员</w:t>
      </w:r>
      <w:r>
        <w:rPr>
          <w:rFonts w:hint="eastAsia" w:ascii="仿宋" w:hAnsi="仿宋" w:eastAsia="仿宋" w:cs="仿宋_GB2312"/>
          <w:bCs/>
          <w:color w:val="000000" w:themeColor="text1"/>
          <w:sz w:val="24"/>
          <w14:textFill>
            <w14:solidFill>
              <w14:schemeClr w14:val="tx1"/>
            </w14:solidFill>
          </w14:textFill>
        </w:rPr>
        <w:t>撤至安全地点</w:t>
      </w:r>
      <w:r>
        <w:rPr>
          <w:rFonts w:ascii="仿宋" w:hAnsi="仿宋" w:eastAsia="仿宋" w:cs="仿宋_GB2312"/>
          <w:bCs/>
          <w:color w:val="000000" w:themeColor="text1"/>
          <w:sz w:val="24"/>
          <w14:textFill>
            <w14:solidFill>
              <w14:schemeClr w14:val="tx1"/>
            </w14:solidFill>
          </w14:textFill>
        </w:rPr>
        <w:t>，供液人员</w:t>
      </w:r>
      <w:r>
        <w:rPr>
          <w:rFonts w:hint="eastAsia" w:ascii="仿宋" w:hAnsi="仿宋" w:eastAsia="仿宋" w:cs="仿宋_GB2312"/>
          <w:bCs/>
          <w:color w:val="000000" w:themeColor="text1"/>
          <w:sz w:val="24"/>
          <w14:textFill>
            <w14:solidFill>
              <w14:schemeClr w14:val="tx1"/>
            </w14:solidFill>
          </w14:textFill>
        </w:rPr>
        <w:t>应在</w:t>
      </w:r>
      <w:r>
        <w:rPr>
          <w:rFonts w:ascii="仿宋" w:hAnsi="仿宋" w:eastAsia="仿宋" w:cs="仿宋_GB2312"/>
          <w:bCs/>
          <w:color w:val="000000" w:themeColor="text1"/>
          <w:sz w:val="24"/>
          <w14:textFill>
            <w14:solidFill>
              <w14:schemeClr w14:val="tx1"/>
            </w14:solidFill>
          </w14:textFill>
        </w:rPr>
        <w:t>距单体</w:t>
      </w:r>
      <w:r>
        <w:rPr>
          <w:rFonts w:hint="eastAsia" w:ascii="仿宋" w:hAnsi="仿宋" w:eastAsia="仿宋" w:cs="仿宋_GB2312"/>
          <w:bCs/>
          <w:color w:val="000000" w:themeColor="text1"/>
          <w:sz w:val="24"/>
          <w14:textFill>
            <w14:solidFill>
              <w14:schemeClr w14:val="tx1"/>
            </w14:solidFill>
          </w14:textFill>
        </w:rPr>
        <w:t>5</w:t>
      </w:r>
      <w:r>
        <w:rPr>
          <w:rFonts w:ascii="仿宋" w:hAnsi="仿宋" w:eastAsia="仿宋" w:cs="仿宋_GB2312"/>
          <w:bCs/>
          <w:color w:val="000000" w:themeColor="text1"/>
          <w:sz w:val="24"/>
          <w14:textFill>
            <w14:solidFill>
              <w14:schemeClr w14:val="tx1"/>
            </w14:solidFill>
          </w14:textFill>
        </w:rPr>
        <w:t>m以</w:t>
      </w:r>
      <w:r>
        <w:rPr>
          <w:rFonts w:hint="eastAsia" w:ascii="仿宋" w:hAnsi="仿宋" w:eastAsia="仿宋" w:cs="仿宋_GB2312"/>
          <w:bCs/>
          <w:color w:val="000000" w:themeColor="text1"/>
          <w:sz w:val="24"/>
          <w14:textFill>
            <w14:solidFill>
              <w14:schemeClr w14:val="tx1"/>
            </w14:solidFill>
          </w14:textFill>
        </w:rPr>
        <w:t>外的安全地点进行远程供液</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供液时必须平缓进行，且</w:t>
      </w:r>
      <w:r>
        <w:rPr>
          <w:rFonts w:ascii="仿宋" w:hAnsi="仿宋" w:eastAsia="仿宋" w:cs="仿宋_GB2312"/>
          <w:bCs/>
          <w:color w:val="000000" w:themeColor="text1"/>
          <w:sz w:val="24"/>
          <w14:textFill>
            <w14:solidFill>
              <w14:schemeClr w14:val="tx1"/>
            </w14:solidFill>
          </w14:textFill>
        </w:rPr>
        <w:t>要避开单体滑脱的方向，防止单体打崩伤人</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⑥</w:t>
      </w:r>
      <w:r>
        <w:rPr>
          <w:rFonts w:ascii="仿宋" w:hAnsi="仿宋" w:eastAsia="仿宋" w:cs="仿宋_GB2312"/>
          <w:bCs/>
          <w:color w:val="000000" w:themeColor="text1"/>
          <w:sz w:val="24"/>
          <w14:textFill>
            <w14:solidFill>
              <w14:schemeClr w14:val="tx1"/>
            </w14:solidFill>
          </w14:textFill>
        </w:rPr>
        <w:t>供液期间，若发现单体柱有滑脱趋势时要立即停止供液，待稳定后方可放液重新</w:t>
      </w:r>
      <w:r>
        <w:rPr>
          <w:rFonts w:hint="eastAsia" w:ascii="仿宋" w:hAnsi="仿宋" w:eastAsia="仿宋" w:cs="仿宋_GB2312"/>
          <w:bCs/>
          <w:color w:val="000000" w:themeColor="text1"/>
          <w:sz w:val="24"/>
          <w14:textFill>
            <w14:solidFill>
              <w14:schemeClr w14:val="tx1"/>
            </w14:solidFill>
          </w14:textFill>
        </w:rPr>
        <w:t>固定好后</w:t>
      </w:r>
      <w:r>
        <w:rPr>
          <w:rFonts w:ascii="仿宋" w:hAnsi="仿宋" w:eastAsia="仿宋" w:cs="仿宋_GB2312"/>
          <w:bCs/>
          <w:color w:val="000000" w:themeColor="text1"/>
          <w:sz w:val="24"/>
          <w14:textFill>
            <w14:solidFill>
              <w14:schemeClr w14:val="tx1"/>
            </w14:solidFill>
          </w14:textFill>
        </w:rPr>
        <w:t>再打。</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⑦</w:t>
      </w:r>
      <w:r>
        <w:rPr>
          <w:rFonts w:ascii="仿宋" w:hAnsi="仿宋" w:eastAsia="仿宋" w:cs="仿宋_GB2312"/>
          <w:bCs/>
          <w:color w:val="000000" w:themeColor="text1"/>
          <w:sz w:val="24"/>
          <w14:textFill>
            <w14:solidFill>
              <w14:schemeClr w14:val="tx1"/>
            </w14:solidFill>
          </w14:textFill>
        </w:rPr>
        <w:t>顶链过程中，</w:t>
      </w:r>
      <w:r>
        <w:rPr>
          <w:rFonts w:hint="eastAsia" w:ascii="仿宋" w:hAnsi="仿宋" w:eastAsia="仿宋" w:cs="仿宋_GB2312"/>
          <w:bCs/>
          <w:color w:val="000000" w:themeColor="text1"/>
          <w:sz w:val="24"/>
          <w14:textFill>
            <w14:solidFill>
              <w14:schemeClr w14:val="tx1"/>
            </w14:solidFill>
          </w14:textFill>
        </w:rPr>
        <w:t>供液过程中</w:t>
      </w:r>
      <w:r>
        <w:rPr>
          <w:rFonts w:ascii="仿宋" w:hAnsi="仿宋" w:eastAsia="仿宋" w:cs="仿宋_GB2312"/>
          <w:bCs/>
          <w:color w:val="000000" w:themeColor="text1"/>
          <w:sz w:val="24"/>
          <w14:textFill>
            <w14:solidFill>
              <w14:schemeClr w14:val="tx1"/>
            </w14:solidFill>
          </w14:textFill>
        </w:rPr>
        <w:t>两</w:t>
      </w:r>
      <w:r>
        <w:rPr>
          <w:rFonts w:hint="eastAsia" w:ascii="仿宋" w:hAnsi="仿宋" w:eastAsia="仿宋" w:cs="仿宋_GB2312"/>
          <w:bCs/>
          <w:color w:val="000000" w:themeColor="text1"/>
          <w:sz w:val="24"/>
          <w14:textFill>
            <w14:solidFill>
              <w14:schemeClr w14:val="tx1"/>
            </w14:solidFill>
          </w14:textFill>
        </w:rPr>
        <w:t>端</w:t>
      </w:r>
      <w:r>
        <w:rPr>
          <w:rFonts w:ascii="仿宋" w:hAnsi="仿宋" w:eastAsia="仿宋" w:cs="仿宋_GB2312"/>
          <w:bCs/>
          <w:color w:val="000000" w:themeColor="text1"/>
          <w:sz w:val="24"/>
          <w14:textFill>
            <w14:solidFill>
              <w14:schemeClr w14:val="tx1"/>
            </w14:solidFill>
          </w14:textFill>
        </w:rPr>
        <w:t>要安排人</w:t>
      </w:r>
      <w:r>
        <w:rPr>
          <w:rFonts w:hint="eastAsia" w:ascii="仿宋" w:hAnsi="仿宋" w:eastAsia="仿宋" w:cs="仿宋_GB2312"/>
          <w:bCs/>
          <w:color w:val="000000" w:themeColor="text1"/>
          <w:sz w:val="24"/>
          <w14:textFill>
            <w14:solidFill>
              <w14:schemeClr w14:val="tx1"/>
            </w14:solidFill>
          </w14:textFill>
        </w:rPr>
        <w:t>员</w:t>
      </w:r>
      <w:r>
        <w:rPr>
          <w:rFonts w:ascii="仿宋" w:hAnsi="仿宋" w:eastAsia="仿宋" w:cs="仿宋_GB2312"/>
          <w:bCs/>
          <w:color w:val="000000" w:themeColor="text1"/>
          <w:sz w:val="24"/>
          <w14:textFill>
            <w14:solidFill>
              <w14:schemeClr w14:val="tx1"/>
            </w14:solidFill>
          </w14:textFill>
        </w:rPr>
        <w:t>警戒，严防人员闯入。</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⑧</w:t>
      </w:r>
      <w:r>
        <w:rPr>
          <w:rFonts w:ascii="仿宋" w:hAnsi="仿宋" w:eastAsia="仿宋" w:cs="仿宋_GB2312"/>
          <w:bCs/>
          <w:color w:val="000000" w:themeColor="text1"/>
          <w:sz w:val="24"/>
          <w14:textFill>
            <w14:solidFill>
              <w14:schemeClr w14:val="tx1"/>
            </w14:solidFill>
          </w14:textFill>
        </w:rPr>
        <w:t>放液时，</w:t>
      </w:r>
      <w:r>
        <w:rPr>
          <w:rFonts w:hint="eastAsia" w:ascii="仿宋" w:hAnsi="仿宋" w:eastAsia="仿宋" w:cs="仿宋_GB2312"/>
          <w:bCs/>
          <w:color w:val="000000" w:themeColor="text1"/>
          <w:sz w:val="24"/>
          <w14:textFill>
            <w14:solidFill>
              <w14:schemeClr w14:val="tx1"/>
            </w14:solidFill>
          </w14:textFill>
        </w:rPr>
        <w:t>人员要使用长柄工具站在安全地点缓慢</w:t>
      </w:r>
      <w:r>
        <w:rPr>
          <w:rFonts w:ascii="仿宋" w:hAnsi="仿宋" w:eastAsia="仿宋" w:cs="仿宋_GB2312"/>
          <w:bCs/>
          <w:color w:val="000000" w:themeColor="text1"/>
          <w:sz w:val="24"/>
          <w14:textFill>
            <w14:solidFill>
              <w14:schemeClr w14:val="tx1"/>
            </w14:solidFill>
          </w14:textFill>
        </w:rPr>
        <w:t>放液，</w:t>
      </w:r>
      <w:r>
        <w:rPr>
          <w:rFonts w:hint="eastAsia" w:ascii="仿宋" w:hAnsi="仿宋" w:eastAsia="仿宋" w:cs="仿宋_GB2312"/>
          <w:bCs/>
          <w:color w:val="000000" w:themeColor="text1"/>
          <w:sz w:val="24"/>
          <w14:textFill>
            <w14:solidFill>
              <w14:schemeClr w14:val="tx1"/>
            </w14:solidFill>
          </w14:textFill>
        </w:rPr>
        <w:t>防止</w:t>
      </w:r>
      <w:r>
        <w:rPr>
          <w:rFonts w:ascii="仿宋" w:hAnsi="仿宋" w:eastAsia="仿宋" w:cs="仿宋_GB2312"/>
          <w:bCs/>
          <w:color w:val="000000" w:themeColor="text1"/>
          <w:sz w:val="24"/>
          <w14:textFill>
            <w14:solidFill>
              <w14:schemeClr w14:val="tx1"/>
            </w14:solidFill>
          </w14:textFill>
        </w:rPr>
        <w:t>大链回弹。</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15、</w:t>
      </w:r>
      <w:r>
        <w:rPr>
          <w:rFonts w:hint="eastAsia" w:ascii="仿宋" w:hAnsi="仿宋" w:eastAsia="仿宋" w:cs="仿宋"/>
          <w:color w:val="000000" w:themeColor="text1"/>
          <w:sz w:val="24"/>
          <w14:textFill>
            <w14:solidFill>
              <w14:schemeClr w14:val="tx1"/>
            </w14:solidFill>
          </w14:textFill>
        </w:rPr>
        <w:t>工作面前、后部运输机防滑</w:t>
      </w:r>
    </w:p>
    <w:p>
      <w:pPr>
        <w:keepNext w:val="0"/>
        <w:keepLines w:val="0"/>
        <w:pageBreakBefore w:val="0"/>
        <w:kinsoku/>
        <w:wordWrap/>
        <w:overflowPunct/>
        <w:topLinePunct w:val="0"/>
        <w:bidi w:val="0"/>
        <w:snapToGrid w:val="0"/>
        <w:spacing w:line="360" w:lineRule="auto"/>
        <w:ind w:firstLine="48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（1）保证运输机与转载机搭接合理，底链不带回头煤，也可根据情况将运输机冷却水排放在运输机煤流中，使运输机带水开车，尽量减少底链的运行阻力。</w:t>
      </w:r>
    </w:p>
    <w:p>
      <w:pPr>
        <w:keepNext w:val="0"/>
        <w:keepLines w:val="0"/>
        <w:pageBreakBefore w:val="0"/>
        <w:kinsoku/>
        <w:wordWrap/>
        <w:overflowPunct/>
        <w:topLinePunct w:val="0"/>
        <w:bidi w:val="0"/>
        <w:snapToGrid w:val="0"/>
        <w:spacing w:line="360" w:lineRule="auto"/>
        <w:ind w:firstLine="48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（2）根据两巷高差，工作面适当调成伪倾斜。</w:t>
      </w:r>
    </w:p>
    <w:p>
      <w:pPr>
        <w:keepNext w:val="0"/>
        <w:keepLines w:val="0"/>
        <w:pageBreakBefore w:val="0"/>
        <w:kinsoku/>
        <w:wordWrap/>
        <w:overflowPunct/>
        <w:topLinePunct w:val="0"/>
        <w:bidi w:val="0"/>
        <w:snapToGrid w:val="0"/>
        <w:spacing w:line="360" w:lineRule="auto"/>
        <w:ind w:firstLine="480"/>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（3）严格控制推移运输机的顺序，尽量从底向高顺序抵车，严禁从高向低抵车或从两端向中间抵车。</w:t>
      </w:r>
    </w:p>
    <w:p>
      <w:pPr>
        <w:pStyle w:val="60"/>
        <w:keepNext w:val="0"/>
        <w:keepLines w:val="0"/>
        <w:pageBreakBefore w:val="0"/>
        <w:kinsoku/>
        <w:wordWrap/>
        <w:overflowPunct/>
        <w:topLinePunct w:val="0"/>
        <w:bidi w:val="0"/>
        <w:snapToGrid w:val="0"/>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（二）转载机、破碎机的使用管理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转载机必须安装拉线闭锁保护装置，</w:t>
      </w:r>
      <w:r>
        <w:rPr>
          <w:rFonts w:ascii="仿宋" w:hAnsi="仿宋" w:eastAsia="仿宋" w:cs="仿宋_GB2312"/>
          <w:bCs/>
          <w:color w:val="000000" w:themeColor="text1"/>
          <w:sz w:val="24"/>
          <w14:textFill>
            <w14:solidFill>
              <w14:schemeClr w14:val="tx1"/>
            </w14:solidFill>
          </w14:textFill>
        </w:rPr>
        <w:t>转载机机头要安设</w:t>
      </w:r>
      <w:r>
        <w:rPr>
          <w:rFonts w:hint="eastAsia" w:ascii="仿宋" w:hAnsi="仿宋" w:eastAsia="仿宋" w:cs="仿宋_GB2312"/>
          <w:bCs/>
          <w:color w:val="000000" w:themeColor="text1"/>
          <w:sz w:val="24"/>
          <w14:textFill>
            <w14:solidFill>
              <w14:schemeClr w14:val="tx1"/>
            </w14:solidFill>
          </w14:textFill>
        </w:rPr>
        <w:t>闭锁扩音</w:t>
      </w:r>
      <w:r>
        <w:rPr>
          <w:rFonts w:ascii="仿宋" w:hAnsi="仿宋" w:eastAsia="仿宋" w:cs="仿宋_GB2312"/>
          <w:bCs/>
          <w:color w:val="000000" w:themeColor="text1"/>
          <w:sz w:val="24"/>
          <w14:textFill>
            <w14:solidFill>
              <w14:schemeClr w14:val="tx1"/>
            </w14:solidFill>
          </w14:textFill>
        </w:rPr>
        <w:t>电话一个，且</w:t>
      </w:r>
      <w:r>
        <w:rPr>
          <w:rFonts w:hint="eastAsia" w:ascii="仿宋" w:hAnsi="仿宋" w:eastAsia="仿宋" w:cs="仿宋_GB2312"/>
          <w:bCs/>
          <w:color w:val="000000" w:themeColor="text1"/>
          <w:sz w:val="24"/>
          <w14:textFill>
            <w14:solidFill>
              <w14:schemeClr w14:val="tx1"/>
            </w14:solidFill>
          </w14:textFill>
        </w:rPr>
        <w:t>要</w:t>
      </w:r>
      <w:r>
        <w:rPr>
          <w:rFonts w:ascii="仿宋" w:hAnsi="仿宋" w:eastAsia="仿宋" w:cs="仿宋_GB2312"/>
          <w:bCs/>
          <w:color w:val="000000" w:themeColor="text1"/>
          <w:sz w:val="24"/>
          <w14:textFill>
            <w14:solidFill>
              <w14:schemeClr w14:val="tx1"/>
            </w14:solidFill>
          </w14:textFill>
        </w:rPr>
        <w:t>保证</w:t>
      </w:r>
      <w:r>
        <w:rPr>
          <w:rFonts w:hint="eastAsia" w:ascii="仿宋" w:hAnsi="仿宋" w:eastAsia="仿宋" w:cs="仿宋_GB2312"/>
          <w:bCs/>
          <w:color w:val="000000" w:themeColor="text1"/>
          <w:sz w:val="24"/>
          <w14:textFill>
            <w14:solidFill>
              <w14:schemeClr w14:val="tx1"/>
            </w14:solidFill>
          </w14:textFill>
        </w:rPr>
        <w:t>完好</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破碎机的锤头与破碎机中部槽之间的间距要合适；</w:t>
      </w:r>
      <w:r>
        <w:rPr>
          <w:rFonts w:ascii="仿宋" w:hAnsi="仿宋" w:eastAsia="仿宋" w:cs="仿宋_GB2312"/>
          <w:bCs/>
          <w:color w:val="000000" w:themeColor="text1"/>
          <w:sz w:val="24"/>
          <w14:textFill>
            <w14:solidFill>
              <w14:schemeClr w14:val="tx1"/>
            </w14:solidFill>
          </w14:textFill>
        </w:rPr>
        <w:t>如转载机与破碎机之间有坚硬矸石或其它硬物卡住时应及时停车</w:t>
      </w:r>
      <w:r>
        <w:rPr>
          <w:rFonts w:hint="eastAsia" w:ascii="仿宋" w:hAnsi="仿宋" w:eastAsia="仿宋" w:cs="仿宋_GB2312"/>
          <w:bCs/>
          <w:color w:val="000000" w:themeColor="text1"/>
          <w:sz w:val="24"/>
          <w14:textFill>
            <w14:solidFill>
              <w14:schemeClr w14:val="tx1"/>
            </w14:solidFill>
          </w14:textFill>
        </w:rPr>
        <w:t>闭锁</w:t>
      </w:r>
      <w:r>
        <w:rPr>
          <w:rFonts w:ascii="仿宋" w:hAnsi="仿宋" w:eastAsia="仿宋" w:cs="仿宋_GB2312"/>
          <w:bCs/>
          <w:color w:val="000000" w:themeColor="text1"/>
          <w:sz w:val="24"/>
          <w14:textFill>
            <w14:solidFill>
              <w14:schemeClr w14:val="tx1"/>
            </w14:solidFill>
          </w14:textFill>
        </w:rPr>
        <w:t>处理</w:t>
      </w:r>
      <w:r>
        <w:rPr>
          <w:rFonts w:hint="eastAsia" w:ascii="仿宋" w:hAnsi="仿宋" w:eastAsia="仿宋" w:cs="仿宋_GB2312"/>
          <w:bCs/>
          <w:color w:val="000000" w:themeColor="text1"/>
          <w:sz w:val="24"/>
          <w14:textFill>
            <w14:solidFill>
              <w14:schemeClr w14:val="tx1"/>
            </w14:solidFill>
          </w14:textFill>
        </w:rPr>
        <w:t>，严禁强行开车</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w:t>
      </w:r>
      <w:r>
        <w:rPr>
          <w:rFonts w:ascii="仿宋" w:hAnsi="仿宋" w:eastAsia="仿宋" w:cs="仿宋_GB2312"/>
          <w:bCs/>
          <w:color w:val="000000" w:themeColor="text1"/>
          <w:sz w:val="24"/>
          <w14:textFill>
            <w14:solidFill>
              <w14:schemeClr w14:val="tx1"/>
            </w14:solidFill>
          </w14:textFill>
        </w:rPr>
        <w:t>、机巷转载机机头与</w:t>
      </w:r>
      <w:r>
        <w:rPr>
          <w:rFonts w:hint="eastAsia" w:ascii="仿宋" w:hAnsi="仿宋" w:eastAsia="仿宋" w:cs="仿宋_GB2312"/>
          <w:bCs/>
          <w:color w:val="000000" w:themeColor="text1"/>
          <w:sz w:val="24"/>
          <w14:textFill>
            <w14:solidFill>
              <w14:schemeClr w14:val="tx1"/>
            </w14:solidFill>
          </w14:textFill>
        </w:rPr>
        <w:t>皮带机</w:t>
      </w:r>
      <w:r>
        <w:rPr>
          <w:rFonts w:ascii="仿宋" w:hAnsi="仿宋" w:eastAsia="仿宋" w:cs="仿宋_GB2312"/>
          <w:bCs/>
          <w:color w:val="000000" w:themeColor="text1"/>
          <w:sz w:val="24"/>
          <w14:textFill>
            <w14:solidFill>
              <w14:schemeClr w14:val="tx1"/>
            </w14:solidFill>
          </w14:textFill>
        </w:rPr>
        <w:t>机尾要有挡煤装置，防止撒煤。</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w:t>
      </w:r>
      <w:r>
        <w:rPr>
          <w:rFonts w:ascii="仿宋" w:hAnsi="仿宋" w:eastAsia="仿宋" w:cs="仿宋_GB2312"/>
          <w:bCs/>
          <w:color w:val="000000" w:themeColor="text1"/>
          <w:sz w:val="24"/>
          <w14:textFill>
            <w14:solidFill>
              <w14:schemeClr w14:val="tx1"/>
            </w14:solidFill>
          </w14:textFill>
        </w:rPr>
        <w:t>、转载机</w:t>
      </w:r>
      <w:r>
        <w:rPr>
          <w:rFonts w:hint="eastAsia" w:ascii="仿宋" w:hAnsi="仿宋" w:eastAsia="仿宋" w:cs="仿宋_GB2312"/>
          <w:bCs/>
          <w:color w:val="000000" w:themeColor="text1"/>
          <w:sz w:val="24"/>
          <w14:textFill>
            <w14:solidFill>
              <w14:schemeClr w14:val="tx1"/>
            </w14:solidFill>
          </w14:textFill>
        </w:rPr>
        <w:t>、破碎机安全</w:t>
      </w:r>
      <w:r>
        <w:rPr>
          <w:rFonts w:ascii="仿宋" w:hAnsi="仿宋" w:eastAsia="仿宋" w:cs="仿宋_GB2312"/>
          <w:bCs/>
          <w:color w:val="000000" w:themeColor="text1"/>
          <w:sz w:val="24"/>
          <w14:textFill>
            <w14:solidFill>
              <w14:schemeClr w14:val="tx1"/>
            </w14:solidFill>
          </w14:textFill>
        </w:rPr>
        <w:t>防护装置有效可靠</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破碎机严禁倒转。</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5、破碎机进出口必须设两道防护链；</w:t>
      </w:r>
      <w:r>
        <w:rPr>
          <w:rFonts w:ascii="仿宋" w:hAnsi="仿宋" w:eastAsia="仿宋" w:cs="仿宋_GB2312"/>
          <w:bCs/>
          <w:color w:val="000000" w:themeColor="text1"/>
          <w:sz w:val="24"/>
          <w14:textFill>
            <w14:solidFill>
              <w14:schemeClr w14:val="tx1"/>
            </w14:solidFill>
          </w14:textFill>
        </w:rPr>
        <w:t>破碎机如须打开上盖时，必须把破碎机</w:t>
      </w:r>
      <w:r>
        <w:rPr>
          <w:rFonts w:hint="eastAsia" w:ascii="仿宋" w:hAnsi="仿宋" w:eastAsia="仿宋" w:cs="仿宋_GB2312"/>
          <w:bCs/>
          <w:color w:val="000000" w:themeColor="text1"/>
          <w:sz w:val="24"/>
          <w14:textFill>
            <w14:solidFill>
              <w14:schemeClr w14:val="tx1"/>
            </w14:solidFill>
          </w14:textFill>
        </w:rPr>
        <w:t>和转载机</w:t>
      </w:r>
      <w:r>
        <w:rPr>
          <w:rFonts w:ascii="仿宋" w:hAnsi="仿宋" w:eastAsia="仿宋" w:cs="仿宋_GB2312"/>
          <w:bCs/>
          <w:color w:val="000000" w:themeColor="text1"/>
          <w:sz w:val="24"/>
          <w14:textFill>
            <w14:solidFill>
              <w14:schemeClr w14:val="tx1"/>
            </w14:solidFill>
          </w14:textFill>
        </w:rPr>
        <w:t xml:space="preserve">停电、闭锁、挂牌，且破碎锤头停稳后方可开盖。 </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转载机</w:t>
      </w:r>
      <w:r>
        <w:rPr>
          <w:rFonts w:ascii="仿宋" w:hAnsi="仿宋" w:eastAsia="仿宋" w:cs="仿宋_GB2312"/>
          <w:bCs/>
          <w:color w:val="000000" w:themeColor="text1"/>
          <w:sz w:val="24"/>
          <w14:textFill>
            <w14:solidFill>
              <w14:schemeClr w14:val="tx1"/>
            </w14:solidFill>
          </w14:textFill>
        </w:rPr>
        <w:t>运行时，人员不准在</w:t>
      </w:r>
      <w:r>
        <w:rPr>
          <w:rFonts w:hint="eastAsia" w:ascii="仿宋" w:hAnsi="仿宋" w:eastAsia="仿宋" w:cs="仿宋_GB2312"/>
          <w:bCs/>
          <w:color w:val="000000" w:themeColor="text1"/>
          <w:sz w:val="24"/>
          <w14:textFill>
            <w14:solidFill>
              <w14:schemeClr w14:val="tx1"/>
            </w14:solidFill>
          </w14:textFill>
        </w:rPr>
        <w:t>转载机</w:t>
      </w:r>
      <w:r>
        <w:rPr>
          <w:rFonts w:ascii="仿宋" w:hAnsi="仿宋" w:eastAsia="仿宋" w:cs="仿宋_GB2312"/>
          <w:bCs/>
          <w:color w:val="000000" w:themeColor="text1"/>
          <w:sz w:val="24"/>
          <w14:textFill>
            <w14:solidFill>
              <w14:schemeClr w14:val="tx1"/>
            </w14:solidFill>
          </w14:textFill>
        </w:rPr>
        <w:t>上方进行作业</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确需作业时，必须</w:t>
      </w:r>
      <w:r>
        <w:rPr>
          <w:rFonts w:hint="eastAsia" w:ascii="仿宋" w:hAnsi="仿宋" w:eastAsia="仿宋" w:cs="仿宋_GB2312"/>
          <w:bCs/>
          <w:color w:val="000000" w:themeColor="text1"/>
          <w:sz w:val="24"/>
          <w14:textFill>
            <w14:solidFill>
              <w14:schemeClr w14:val="tx1"/>
            </w14:solidFill>
          </w14:textFill>
        </w:rPr>
        <w:t>保证作业地点前后5m范围内转载机为全封闭状态，确保施工安全</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w:t>
      </w:r>
      <w:r>
        <w:rPr>
          <w:rFonts w:ascii="仿宋" w:hAnsi="仿宋" w:eastAsia="仿宋" w:cs="仿宋_GB2312"/>
          <w:bCs/>
          <w:color w:val="000000" w:themeColor="text1"/>
          <w:sz w:val="24"/>
          <w14:textFill>
            <w14:solidFill>
              <w14:schemeClr w14:val="tx1"/>
            </w14:solidFill>
          </w14:textFill>
        </w:rPr>
        <w:t>、拉移机巷转载机注意事项</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拉移转载机前</w:t>
      </w:r>
      <w:r>
        <w:rPr>
          <w:rFonts w:hint="eastAsia" w:ascii="仿宋" w:hAnsi="仿宋" w:eastAsia="仿宋" w:cs="仿宋_GB2312"/>
          <w:bCs/>
          <w:color w:val="000000" w:themeColor="text1"/>
          <w:sz w:val="24"/>
          <w14:textFill>
            <w14:solidFill>
              <w14:schemeClr w14:val="tx1"/>
            </w14:solidFill>
          </w14:textFill>
        </w:rPr>
        <w:t>应检查挪移通道内巷道两帮及顶板情况，是否有擦帮碰顶现象，</w:t>
      </w:r>
      <w:r>
        <w:rPr>
          <w:rFonts w:ascii="仿宋" w:hAnsi="仿宋" w:eastAsia="仿宋" w:cs="仿宋_GB2312"/>
          <w:bCs/>
          <w:color w:val="000000" w:themeColor="text1"/>
          <w:sz w:val="24"/>
          <w14:textFill>
            <w14:solidFill>
              <w14:schemeClr w14:val="tx1"/>
            </w14:solidFill>
          </w14:textFill>
        </w:rPr>
        <w:t>浮煤杂物</w:t>
      </w:r>
      <w:r>
        <w:rPr>
          <w:rFonts w:hint="eastAsia" w:ascii="仿宋" w:hAnsi="仿宋" w:eastAsia="仿宋" w:cs="仿宋_GB2312"/>
          <w:bCs/>
          <w:color w:val="000000" w:themeColor="text1"/>
          <w:sz w:val="24"/>
          <w14:textFill>
            <w14:solidFill>
              <w14:schemeClr w14:val="tx1"/>
            </w14:solidFill>
          </w14:textFill>
        </w:rPr>
        <w:t>是否</w:t>
      </w:r>
      <w:r>
        <w:rPr>
          <w:rFonts w:ascii="仿宋" w:hAnsi="仿宋" w:eastAsia="仿宋" w:cs="仿宋_GB2312"/>
          <w:bCs/>
          <w:color w:val="000000" w:themeColor="text1"/>
          <w:sz w:val="24"/>
          <w14:textFill>
            <w14:solidFill>
              <w14:schemeClr w14:val="tx1"/>
            </w14:solidFill>
          </w14:textFill>
        </w:rPr>
        <w:t>清理干净</w:t>
      </w:r>
      <w:r>
        <w:rPr>
          <w:rFonts w:hint="eastAsia" w:ascii="仿宋" w:hAnsi="仿宋" w:eastAsia="仿宋" w:cs="仿宋_GB2312"/>
          <w:bCs/>
          <w:color w:val="000000" w:themeColor="text1"/>
          <w:sz w:val="24"/>
          <w14:textFill>
            <w14:solidFill>
              <w14:schemeClr w14:val="tx1"/>
            </w14:solidFill>
          </w14:textFill>
        </w:rPr>
        <w:t>、</w:t>
      </w:r>
      <w:r>
        <w:rPr>
          <w:rFonts w:ascii="仿宋" w:hAnsi="仿宋" w:eastAsia="仿宋" w:cs="仿宋_GB2312"/>
          <w:bCs/>
          <w:color w:val="000000" w:themeColor="text1"/>
          <w:sz w:val="24"/>
          <w14:textFill>
            <w14:solidFill>
              <w14:schemeClr w14:val="tx1"/>
            </w14:solidFill>
          </w14:textFill>
        </w:rPr>
        <w:t>电缆管线是否吊挂整齐</w:t>
      </w:r>
      <w:r>
        <w:rPr>
          <w:rFonts w:hint="eastAsia" w:ascii="仿宋" w:hAnsi="仿宋" w:eastAsia="仿宋" w:cs="仿宋_GB2312"/>
          <w:bCs/>
          <w:color w:val="000000" w:themeColor="text1"/>
          <w:sz w:val="24"/>
          <w14:textFill>
            <w14:solidFill>
              <w14:schemeClr w14:val="tx1"/>
            </w14:solidFill>
          </w14:textFill>
        </w:rPr>
        <w:t>，发现问题</w:t>
      </w:r>
      <w:r>
        <w:rPr>
          <w:rFonts w:ascii="仿宋" w:hAnsi="仿宋" w:eastAsia="仿宋" w:cs="仿宋_GB2312"/>
          <w:bCs/>
          <w:color w:val="000000" w:themeColor="text1"/>
          <w:sz w:val="24"/>
          <w14:textFill>
            <w14:solidFill>
              <w14:schemeClr w14:val="tx1"/>
            </w14:solidFill>
          </w14:textFill>
        </w:rPr>
        <w:t>必须及时处理，</w:t>
      </w:r>
      <w:r>
        <w:rPr>
          <w:rFonts w:hint="eastAsia" w:ascii="仿宋" w:hAnsi="仿宋" w:eastAsia="仿宋" w:cs="仿宋_GB2312"/>
          <w:bCs/>
          <w:color w:val="000000" w:themeColor="text1"/>
          <w:sz w:val="24"/>
          <w14:textFill>
            <w14:solidFill>
              <w14:schemeClr w14:val="tx1"/>
            </w14:solidFill>
          </w14:textFill>
        </w:rPr>
        <w:t>保证安全间距符合规定，</w:t>
      </w:r>
      <w:r>
        <w:rPr>
          <w:rFonts w:ascii="仿宋" w:hAnsi="仿宋" w:eastAsia="仿宋" w:cs="仿宋_GB2312"/>
          <w:bCs/>
          <w:color w:val="000000" w:themeColor="text1"/>
          <w:sz w:val="24"/>
          <w14:textFill>
            <w14:solidFill>
              <w14:schemeClr w14:val="tx1"/>
            </w14:solidFill>
          </w14:textFill>
        </w:rPr>
        <w:t>禁止</w:t>
      </w:r>
      <w:r>
        <w:rPr>
          <w:rFonts w:hint="eastAsia" w:ascii="仿宋" w:hAnsi="仿宋" w:eastAsia="仿宋" w:cs="仿宋_GB2312"/>
          <w:bCs/>
          <w:color w:val="000000" w:themeColor="text1"/>
          <w:sz w:val="24"/>
          <w14:textFill>
            <w14:solidFill>
              <w14:schemeClr w14:val="tx1"/>
            </w14:solidFill>
          </w14:textFill>
        </w:rPr>
        <w:t>强推硬抵挪移转载机</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（2）移转载机期间，工作面必须停止生产，并对工作面运输机、链板机、转载机、皮带机闭锁。拉移时，要注意与皮带机机尾、运输机机头的搭接情况，拉移过程中要密切观察，</w:t>
      </w:r>
      <w:r>
        <w:rPr>
          <w:rFonts w:hint="eastAsia" w:ascii="仿宋" w:hAnsi="仿宋" w:eastAsia="仿宋" w:cs="仿宋_GB2312"/>
          <w:color w:val="000000" w:themeColor="text1"/>
          <w:sz w:val="24"/>
          <w14:textFill>
            <w14:solidFill>
              <w14:schemeClr w14:val="tx1"/>
            </w14:solidFill>
          </w14:textFill>
        </w:rPr>
        <w:t>应有专人在机头、机尾观察和传递信号，</w:t>
      </w:r>
      <w:r>
        <w:rPr>
          <w:rFonts w:hint="eastAsia" w:ascii="仿宋" w:hAnsi="仿宋" w:eastAsia="仿宋" w:cs="仿宋_GB2312"/>
          <w:bCs/>
          <w:color w:val="000000" w:themeColor="text1"/>
          <w:sz w:val="24"/>
          <w14:textFill>
            <w14:solidFill>
              <w14:schemeClr w14:val="tx1"/>
            </w14:solidFill>
          </w14:textFill>
        </w:rPr>
        <w:t>防止移过位或掉道，保证机头必须搭在皮带机机尾的导轨上，转载机机尾滞后后部运输机机头100～200mm，搭接合理。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（3）移转载机期间，转载机里侧严禁有人，转载机外侧除操作人员外，其他无关人员不得在挪移通道内停留或作业。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（4）拉移转载机时，各千斤顶要慢慢供液，一旦出现拉移困难时，要立即停止移动，查清问题，解决后方可移动。</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（5）转载机推移缸只能用来收缩导轨，严禁用来推移转载机；转载机推移前，导轨上浮矸、浮煤必须清理干净。</w:t>
      </w:r>
    </w:p>
    <w:p>
      <w:pPr>
        <w:pStyle w:val="60"/>
        <w:keepNext w:val="0"/>
        <w:keepLines w:val="0"/>
        <w:pageBreakBefore w:val="0"/>
        <w:kinsoku/>
        <w:wordWrap/>
        <w:overflowPunct/>
        <w:topLinePunct w:val="0"/>
        <w:bidi w:val="0"/>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（三）运输机的使用管理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1、看机头机尾人员要精力集中，随时注意运输机的运行情况，发现刮板出槽、飘链、掉链、跳齿或出现其他不安全因素时必须立即停机处理。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2、工作面每隔15m安装一个扩音闭锁电话，运输机头、机尾必须各安设一个，且保证灵敏可靠，发出信号点的间距不得超过15m；扩音闭锁电话必须牢固的吊挂在适当的位置。</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工作面支架推移千斤顶与运输机联接必须牢固可靠，运输机与支架应垂直布置，确保联接的推移耳只承受与运输机长度方向中心线垂直的推移力和拉架力。移车应滞后采煤机后滚筒15m～30m的距离，运输机弯曲段长度不小于15m，严禁出现陡弯，推移后运输机要成一直线，中部槽间水平方向与垂直方向错口</w:t>
      </w:r>
    </w:p>
    <w:p>
      <w:pPr>
        <w:keepNext w:val="0"/>
        <w:keepLines w:val="0"/>
        <w:pageBreakBefore w:val="0"/>
        <w:kinsoku/>
        <w:wordWrap/>
        <w:overflowPunct/>
        <w:topLinePunct w:val="0"/>
        <w:autoSpaceDE w:val="0"/>
        <w:autoSpaceDN w:val="0"/>
        <w:bidi w:val="0"/>
        <w:adjustRightInd w:val="0"/>
        <w:snapToGrid w:val="0"/>
        <w:spacing w:line="360" w:lineRule="auto"/>
        <w:ind w:firstLine="0" w:firstLineChars="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量不大于3mm。</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4、移车前，必须将支架升足劲，防止支架移动造成冒顶。</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5、移车时，应按顺序进行，严禁从两头向中间移或任意分段移车，要抵够0.8m的行程。</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推拉运输机时，如果阻力过大，应及时查找原因进行处理，严禁硬拉、硬推。若因机道有台阶、矸石块等障碍物，推不动时，应进行返刀或人工清理；人工清理时，必须有专人监护，若顶板破碎，还必须进行临时支护。</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7、移后部运输机时应在支架拉移后、顶煤放完后进行，移后部运输机时要密切观察支架尾梁及插板情况，防止刮蹭。</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8、除机头、机尾外，移车工必须在运输机运行过程中进行，严禁停机移车；移输送机机头、机尾时必须将机头和过渡槽处的浮煤杂物清理干净，以防机头飘起，损坏过渡槽，人员需进入煤帮作业时，必须提前背帮，并有专人监护顶帮状况；移机头时，必须将转载机停电闭锁，严禁用转载机顶拉机头。移机头、机尾，使用单体辅助抵车时，必须采用远程供液的方式，供液人员位于5m以外的安全地点，单体放置稳固，拴好棕绳，严禁单体液压支柱顶住电机、减速器等易损部位。</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9、移车时，操作人员应在架内作业，防止链条、刮板等弹崩伤人。严禁人员在推移段内架前行走或作业，防止推拉销崩出伤人或推拉杆挤伤人。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10、正常情况下严禁开倒车。</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11、严禁用高压液冲洗电机、齿箱冷却系统内的杂物。</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12、工作面运输机机头距离支架顶梁最小高度不得低于0.6m。</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13、起吊运输机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（1）以支架、链条、起吊钩为起吊刮板运输机工具。链条采用直径不小于18mm的圆环链，起吊钩采用38×137mm的接链环。</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（2）起吊运输机前要先通知运输机司机和采煤机司机停止运输机和采煤机运行，并停电闭锁，安排妥善后再进行起吊运输机工作。运输机司机和采煤机司机未经施工负责人的同意，禁止开车或开机。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（3）起吊运输机前要先选好起吊的位置，检查顶板及煤壁情况，顶板破碎和煤壁片帮时要先维护好顶板及煤壁。</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（4）降架时先稍降一点观察顶板情况，发现问题及时处理；然后慢慢降架至顶梁脱离顶板后，迅速将支架降到适当高度挂上链条起吊。</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（5）相邻支架不能同时降下。</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（6）起吊运输机时，操作人员要躲在其操作的支架的立柱后面，其他人员躲到5m以外的安全地点，同时设好警戒，禁止人员进入作业地点5m范围内。</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（7）运输机吊起后，施工人员必须抓住木料后端快速将准备好的木料从老塘侧垂直煤壁塞入运输机下方，严禁从煤帮侧往运输机下方垫料，严禁身体任何部位进入运输机下方。</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（8）然后缓慢降下顶梁，取下起吊工具，将支架重新升足劲。</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14、处理运输机底链断双链</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（1）处理断链时，必须由班队长现场统一指挥，首先将采煤机开关停电闭锁，并指派专人停、送电，专人看守，无跟班人员命令严禁送电，运输机司机要听从班队长指挥，严禁任意开停。</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（2）利用天窗查找出断链的大概位置。</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（3）由班队长联系运输机司机，开正车或倒车将断链处拉至最近天窗位置，将运输机停电闭锁，安排专人看护。</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（4）将备用的大链连接到断链处的底链上，然后使用直径不小于12.5mm钢丝绳（或8#铁丝）连接到备用大链的另一端，利用钢丝绳（或铁丝）将备用大链拉至同一天窗处，将备用大链合上。</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（5）点动开正车或倒车把底链拉上来，注意不要让大链掉道。</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（6）按掐接链方法将备用大链掐掉，将原有的大链接在一起。</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（7）所使用的活环必须胀销齐全，不得用其它物品代替。</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（8）大链接好后要认真检查运输机各部件，找出断链的原因，并进行处理。</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15、防止压运输机措施</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（1）采面运输机必须保持平、直、稳，严禁出现2个以上弯曲段。</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（2）运输机搭接合理，出煤顺畅，不拉回头煤；</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（3）工作面割煤前，必须先对运输机进行运转，将运输机内的煤拉净后，方可割煤。</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（4）运输机不运转时，严禁割煤；前部运输机运煤量较大时，暂停割煤和移架；后部运输机煤量较大时，暂停放煤和移架。</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（5）煤机司机要控制好煤机的牵引速度，控制好割煤量；放煤工要密切观察后部运输机的运行情况，严格控制放煤量，防止因转载机煤量过大而造成频繁停车。</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（6）正常情况下不得负重停车。</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16、处理压运输机措施</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（1）如果运输机被压住，严禁强行开车，必须将运输机开关停电闭锁，并安排专人看管。</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（2）应及时检查运输机情况，找出原因，采取适当措施处理。</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（3）若因为运输机内的煤多而压住运输机，自下而上从运输机内清理车内煤炭，减轻运输机负荷，直到运输机能够正常运转。</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（4）施工人员进入运输机、煤壁前，必须检查顶帮支护情况，进行敲帮问顶找净活矸危岩，确认安全，并排专人监护。</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17、运输机防滑措施</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（1）工作面割煤时防止煤、矸进入运输机底槽，以减小运输机底链运行阻力。</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（2）工作面适当伪斜，伪斜角随煤层倾角的增加而增加，合理的控制运输机及支架的下滑量。</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（3）严格执行移运输机的顺序，当运输机下滑严重时，可采取从下向上单向移运输机。</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（4）用单体液压支柱顶住机头（尾），推移时，将先移完的机头（尾）稳固后，用单体支柱斜支在底座下侧，然后再继续推移。</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（5）在移运输机时不能同时松开机头和机尾的稳固单体，移完后应立即恢复稳固单体。</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18、工作面破大块煤</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（1）杜绝超过输送机槽宽的煤矸进入转载机，应在工作面进行破碎。</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（2）破大块煤人员应选择支护良好且有扩音闭锁电话的地点，并随时注意煤壁情况，防止片帮伤人。</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（3）破大块煤前必须将运输机停车闭锁，人员使用风镐、手镐站在运输机老塘侧进行破碎，严禁站在车内。</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（4）破大块煤时人员应注意防止块煤掉落砸伤。</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19、检修、更换前部运输机刮板、链条等，必须将作业地点安排在机头、机尾合适位置，确需在工作面作业时，地点必须选在工作面压力较小，片帮不严重的区域，同时必须将片帮煤处理掉，将伸缩梁伸至煤壁，护帮板打出贴实煤壁，并有专人监护。</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20、运输机打运物料前，必须停机闭锁，物料必须固定牢固，采用钢丝绳固定在链条或刮板上防止窜动；严禁将物料露出刮板机避免剐蹭，打运物料期间，必须慢速行使且沿途有人观察物料状态，发现异常及时停机闭锁处理，否则不得打运。</w:t>
      </w:r>
    </w:p>
    <w:p>
      <w:pPr>
        <w:pStyle w:val="60"/>
        <w:keepNext w:val="0"/>
        <w:keepLines w:val="0"/>
        <w:pageBreakBefore w:val="0"/>
        <w:widowControl w:val="0"/>
        <w:kinsoku/>
        <w:wordWrap/>
        <w:overflowPunct/>
        <w:topLinePunct w:val="0"/>
        <w:bidi w:val="0"/>
        <w:snapToGrid w:val="0"/>
        <w:spacing w:line="43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九、皮带机的使用与管理</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1、皮带机司机必须经过培训、考试合格，取得操作资格证后，方可持证上岗。</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ascii="仿宋" w:hAnsi="仿宋" w:eastAsia="仿宋" w:cs="仿宋_GB2312"/>
          <w:bCs/>
          <w:color w:val="000000" w:themeColor="text1"/>
          <w:sz w:val="24"/>
          <w14:textFill>
            <w14:solidFill>
              <w14:schemeClr w14:val="tx1"/>
            </w14:solidFill>
          </w14:textFill>
        </w:rPr>
        <w:t>、皮带机使用阻燃胶带，防滑、</w:t>
      </w:r>
      <w:r>
        <w:rPr>
          <w:rFonts w:hint="eastAsia" w:ascii="仿宋" w:hAnsi="仿宋" w:eastAsia="仿宋" w:cs="仿宋_GB2312"/>
          <w:bCs/>
          <w:color w:val="000000" w:themeColor="text1"/>
          <w:sz w:val="24"/>
          <w14:textFill>
            <w14:solidFill>
              <w14:schemeClr w14:val="tx1"/>
            </w14:solidFill>
          </w14:textFill>
        </w:rPr>
        <w:t>撕裂、</w:t>
      </w:r>
      <w:r>
        <w:rPr>
          <w:rFonts w:ascii="仿宋" w:hAnsi="仿宋" w:eastAsia="仿宋" w:cs="仿宋_GB2312"/>
          <w:bCs/>
          <w:color w:val="000000" w:themeColor="text1"/>
          <w:sz w:val="24"/>
          <w14:textFill>
            <w14:solidFill>
              <w14:schemeClr w14:val="tx1"/>
            </w14:solidFill>
          </w14:textFill>
        </w:rPr>
        <w:t>堆煤、防跑偏、温度、烟雾保护、超温洒水保护装置</w:t>
      </w:r>
      <w:r>
        <w:rPr>
          <w:rFonts w:hint="eastAsia" w:ascii="仿宋" w:hAnsi="仿宋" w:eastAsia="仿宋" w:cs="仿宋_GB2312"/>
          <w:bCs/>
          <w:color w:val="000000" w:themeColor="text1"/>
          <w:sz w:val="24"/>
          <w14:textFill>
            <w14:solidFill>
              <w14:schemeClr w14:val="tx1"/>
            </w14:solidFill>
          </w14:textFill>
        </w:rPr>
        <w:t>等各种保护齐全、灵敏、可靠，并正常使用</w:t>
      </w:r>
      <w:r>
        <w:rPr>
          <w:rFonts w:ascii="仿宋" w:hAnsi="仿宋" w:eastAsia="仿宋" w:cs="仿宋_GB2312"/>
          <w:bCs/>
          <w:color w:val="000000" w:themeColor="text1"/>
          <w:sz w:val="24"/>
          <w14:textFill>
            <w14:solidFill>
              <w14:schemeClr w14:val="tx1"/>
            </w14:solidFill>
          </w14:textFill>
        </w:rPr>
        <w:t>，有自动洒水装置</w:t>
      </w:r>
      <w:r>
        <w:rPr>
          <w:rFonts w:hint="eastAsia" w:ascii="仿宋" w:hAnsi="仿宋" w:eastAsia="仿宋" w:cs="仿宋_GB2312"/>
          <w:bCs/>
          <w:color w:val="000000" w:themeColor="text1"/>
          <w:sz w:val="24"/>
          <w14:textFill>
            <w14:solidFill>
              <w14:schemeClr w14:val="tx1"/>
            </w14:solidFill>
          </w14:textFill>
        </w:rPr>
        <w:t>；在人行道一侧，沿线设置急停闭锁装置；</w:t>
      </w:r>
      <w:r>
        <w:rPr>
          <w:rFonts w:hint="eastAsia" w:ascii="仿宋" w:hAnsi="仿宋" w:eastAsia="仿宋" w:cs="仿宋_GB2312"/>
          <w:color w:val="000000" w:themeColor="text1"/>
          <w:kern w:val="0"/>
          <w:sz w:val="24"/>
          <w14:textFill>
            <w14:solidFill>
              <w14:schemeClr w14:val="tx1"/>
            </w14:solidFill>
          </w14:textFill>
        </w:rPr>
        <w:t>皮带机的通讯控制装置必须齐全可靠。</w:t>
      </w:r>
    </w:p>
    <w:p>
      <w:pPr>
        <w:keepNext w:val="0"/>
        <w:keepLines w:val="0"/>
        <w:pageBreakBefore w:val="0"/>
        <w:widowControl w:val="0"/>
        <w:kinsoku/>
        <w:wordWrap/>
        <w:overflowPunct/>
        <w:topLinePunct w:val="0"/>
        <w:autoSpaceDE w:val="0"/>
        <w:autoSpaceDN w:val="0"/>
        <w:bidi w:val="0"/>
        <w:adjustRightInd w:val="0"/>
        <w:snapToGrid w:val="0"/>
        <w:spacing w:line="430" w:lineRule="exact"/>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皮带机头、机尾、驱动滚筒和改向滚筒处，应当设防护栏及警示牌。护栏应牢固、可靠，护栏能够有效防止人体接触转动部位。带式输送机机尾护栏(包括皮带机中间设置的滚筒)应设闭锁保护（护栏打开，皮带机停止运行），闭锁装置应每天试验一次。</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4、H架、纵梁</w:t>
      </w:r>
      <w:r>
        <w:rPr>
          <w:rFonts w:ascii="仿宋" w:hAnsi="仿宋" w:eastAsia="仿宋" w:cs="仿宋_GB2312"/>
          <w:bCs/>
          <w:color w:val="000000" w:themeColor="text1"/>
          <w:sz w:val="24"/>
          <w14:textFill>
            <w14:solidFill>
              <w14:schemeClr w14:val="tx1"/>
            </w14:solidFill>
          </w14:textFill>
        </w:rPr>
        <w:t>铺设要平直</w:t>
      </w:r>
      <w:r>
        <w:rPr>
          <w:rFonts w:hint="eastAsia" w:ascii="仿宋" w:hAnsi="仿宋" w:eastAsia="仿宋" w:cs="仿宋_GB2312"/>
          <w:bCs/>
          <w:color w:val="000000" w:themeColor="text1"/>
          <w:sz w:val="24"/>
          <w14:textFill>
            <w14:solidFill>
              <w14:schemeClr w14:val="tx1"/>
            </w14:solidFill>
          </w14:textFill>
        </w:rPr>
        <w:t>上线</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并由里向外依次编号管理，</w:t>
      </w:r>
      <w:r>
        <w:rPr>
          <w:rFonts w:ascii="仿宋" w:hAnsi="仿宋" w:eastAsia="仿宋" w:cs="仿宋_GB2312"/>
          <w:bCs/>
          <w:color w:val="000000" w:themeColor="text1"/>
          <w:sz w:val="24"/>
          <w14:textFill>
            <w14:solidFill>
              <w14:schemeClr w14:val="tx1"/>
            </w14:solidFill>
          </w14:textFill>
        </w:rPr>
        <w:t>机架、托辊齐全完好，皮带不跑偏，皮带机机头机尾</w:t>
      </w:r>
      <w:r>
        <w:rPr>
          <w:rFonts w:hint="eastAsia" w:ascii="仿宋" w:hAnsi="仿宋" w:eastAsia="仿宋" w:cs="仿宋_GB2312"/>
          <w:bCs/>
          <w:color w:val="000000" w:themeColor="text1"/>
          <w:sz w:val="24"/>
          <w14:textFill>
            <w14:solidFill>
              <w14:schemeClr w14:val="tx1"/>
            </w14:solidFill>
          </w14:textFill>
        </w:rPr>
        <w:t>按规定安装清扫器，清扫器接触面积不小于80﹪，清扫后的胶带表面不得粘带煤泥，保证清扫效果。</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行人跨越皮带机处应设过桥，过桥应安装牢固、可靠，严禁过桥单独承接在带式输送机机架上，过桥应有护栏，桥面距皮带高度不得影响胶带机的运行，安装过桥处的巷道，支护应完好。上、下皮带之间严禁设过桥和人行通道。</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6、皮带机机头、机尾及搭接处，应当有照明。</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7、巷道倾角大于16°的地段，应设置防护网，防止物料下滑、滚落。</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w:t>
      </w:r>
      <w:r>
        <w:rPr>
          <w:rFonts w:ascii="仿宋" w:hAnsi="仿宋" w:eastAsia="仿宋" w:cs="仿宋_GB2312"/>
          <w:bCs/>
          <w:color w:val="000000" w:themeColor="text1"/>
          <w:sz w:val="24"/>
          <w14:textFill>
            <w14:solidFill>
              <w14:schemeClr w14:val="tx1"/>
            </w14:solidFill>
          </w14:textFill>
        </w:rPr>
        <w:t>、皮带机要有专人进行维护，各部位油质、油量符合要求，各传动部位传动灵活，正常使用，损坏部件及时更换</w:t>
      </w:r>
      <w:r>
        <w:rPr>
          <w:rFonts w:hint="eastAsia" w:ascii="仿宋" w:hAnsi="仿宋" w:eastAsia="仿宋" w:cs="仿宋_GB2312"/>
          <w:bCs/>
          <w:color w:val="000000" w:themeColor="text1"/>
          <w:sz w:val="24"/>
          <w14:textFill>
            <w14:solidFill>
              <w14:schemeClr w14:val="tx1"/>
            </w14:solidFill>
          </w14:textFill>
        </w:rPr>
        <w:t>；跑偏、堆煤保护应每天试验一次；防滑保护应每月试验一次；温度保护应每季度试验一次；烟雾保护应每季度升井试验一次，烟雾传感器试验后必须清理积尘，试验应留有记录。</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9</w:t>
      </w:r>
      <w:r>
        <w:rPr>
          <w:rFonts w:ascii="仿宋" w:hAnsi="仿宋" w:eastAsia="仿宋" w:cs="仿宋_GB2312"/>
          <w:bCs/>
          <w:color w:val="000000" w:themeColor="text1"/>
          <w:sz w:val="24"/>
          <w14:textFill>
            <w14:solidFill>
              <w14:schemeClr w14:val="tx1"/>
            </w14:solidFill>
          </w14:textFill>
        </w:rPr>
        <w:t>、检修或处理皮带机故障时</w:t>
      </w:r>
      <w:r>
        <w:rPr>
          <w:rFonts w:hint="eastAsia" w:ascii="仿宋" w:hAnsi="仿宋" w:eastAsia="仿宋" w:cs="仿宋_GB2312"/>
          <w:bCs/>
          <w:color w:val="000000" w:themeColor="text1"/>
          <w:sz w:val="24"/>
          <w14:textFill>
            <w14:solidFill>
              <w14:schemeClr w14:val="tx1"/>
            </w14:solidFill>
          </w14:textFill>
        </w:rPr>
        <w:t>以及在带机头、机尾等运转部位作业或在皮带机上作业时</w:t>
      </w:r>
      <w:r>
        <w:rPr>
          <w:rFonts w:ascii="仿宋" w:hAnsi="仿宋" w:eastAsia="仿宋" w:cs="仿宋_GB2312"/>
          <w:bCs/>
          <w:color w:val="000000" w:themeColor="text1"/>
          <w:sz w:val="24"/>
          <w14:textFill>
            <w14:solidFill>
              <w14:schemeClr w14:val="tx1"/>
            </w14:solidFill>
          </w14:textFill>
        </w:rPr>
        <w:t>必须执行</w:t>
      </w:r>
      <w:r>
        <w:rPr>
          <w:rFonts w:hint="eastAsia" w:ascii="仿宋" w:hAnsi="仿宋" w:eastAsia="仿宋" w:cs="仿宋_GB2312"/>
          <w:bCs/>
          <w:color w:val="000000" w:themeColor="text1"/>
          <w:sz w:val="24"/>
          <w14:textFill>
            <w14:solidFill>
              <w14:schemeClr w14:val="tx1"/>
            </w14:solidFill>
          </w14:textFill>
        </w:rPr>
        <w:t>停电</w:t>
      </w:r>
      <w:r>
        <w:rPr>
          <w:rFonts w:ascii="仿宋" w:hAnsi="仿宋" w:eastAsia="仿宋" w:cs="仿宋_GB2312"/>
          <w:bCs/>
          <w:color w:val="000000" w:themeColor="text1"/>
          <w:sz w:val="24"/>
          <w14:textFill>
            <w14:solidFill>
              <w14:schemeClr w14:val="tx1"/>
            </w14:solidFill>
          </w14:textFill>
        </w:rPr>
        <w:t>闭锁</w:t>
      </w:r>
      <w:r>
        <w:rPr>
          <w:rFonts w:hint="eastAsia" w:ascii="仿宋" w:hAnsi="仿宋" w:eastAsia="仿宋" w:cs="仿宋_GB2312"/>
          <w:bCs/>
          <w:color w:val="000000" w:themeColor="text1"/>
          <w:sz w:val="24"/>
          <w14:textFill>
            <w14:solidFill>
              <w14:schemeClr w14:val="tx1"/>
            </w14:solidFill>
          </w14:textFill>
        </w:rPr>
        <w:t>挂牌</w:t>
      </w:r>
      <w:r>
        <w:rPr>
          <w:rFonts w:ascii="仿宋" w:hAnsi="仿宋" w:eastAsia="仿宋" w:cs="仿宋_GB2312"/>
          <w:bCs/>
          <w:color w:val="000000" w:themeColor="text1"/>
          <w:sz w:val="24"/>
          <w14:textFill>
            <w14:solidFill>
              <w14:schemeClr w14:val="tx1"/>
            </w14:solidFill>
          </w14:textFill>
        </w:rPr>
        <w:t>制度。</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10、</w:t>
      </w:r>
      <w:r>
        <w:rPr>
          <w:rFonts w:ascii="仿宋" w:hAnsi="仿宋" w:eastAsia="仿宋" w:cs="仿宋_GB2312"/>
          <w:bCs/>
          <w:color w:val="000000" w:themeColor="text1"/>
          <w:sz w:val="24"/>
          <w14:textFill>
            <w14:solidFill>
              <w14:schemeClr w14:val="tx1"/>
            </w14:solidFill>
          </w14:textFill>
        </w:rPr>
        <w:t>皮带撕裂长度超过200mm时应重新砸卡处理。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11、</w:t>
      </w:r>
      <w:r>
        <w:rPr>
          <w:rFonts w:ascii="仿宋" w:hAnsi="仿宋" w:eastAsia="仿宋" w:cs="仿宋_GB2312"/>
          <w:bCs/>
          <w:color w:val="000000" w:themeColor="text1"/>
          <w:sz w:val="24"/>
          <w14:textFill>
            <w14:solidFill>
              <w14:schemeClr w14:val="tx1"/>
            </w14:solidFill>
          </w14:textFill>
        </w:rPr>
        <w:t>开机前必须认真检查输送带接头、传动装置、联接装置、托辊、减速</w:t>
      </w:r>
    </w:p>
    <w:p>
      <w:pPr>
        <w:keepNext w:val="0"/>
        <w:keepLines w:val="0"/>
        <w:pageBreakBefore w:val="0"/>
        <w:kinsoku/>
        <w:wordWrap/>
        <w:overflowPunct/>
        <w:topLinePunct w:val="0"/>
        <w:autoSpaceDE w:val="0"/>
        <w:autoSpaceDN w:val="0"/>
        <w:bidi w:val="0"/>
        <w:adjustRightInd w:val="0"/>
        <w:snapToGrid w:val="0"/>
        <w:spacing w:line="360" w:lineRule="auto"/>
        <w:ind w:firstLine="0" w:firstLineChars="0"/>
        <w:jc w:val="left"/>
        <w:rPr>
          <w:rFonts w:ascii="仿宋" w:hAnsi="仿宋" w:eastAsia="仿宋" w:cs="仿宋_GB2312"/>
          <w:bCs/>
          <w:color w:val="000000" w:themeColor="text1"/>
          <w:sz w:val="24"/>
          <w14:textFill>
            <w14:solidFill>
              <w14:schemeClr w14:val="tx1"/>
            </w14:solidFill>
          </w14:textFill>
        </w:rPr>
      </w:pPr>
      <w:r>
        <w:rPr>
          <w:rFonts w:ascii="仿宋" w:hAnsi="仿宋" w:eastAsia="仿宋" w:cs="仿宋_GB2312"/>
          <w:bCs/>
          <w:color w:val="000000" w:themeColor="text1"/>
          <w:sz w:val="24"/>
          <w14:textFill>
            <w14:solidFill>
              <w14:schemeClr w14:val="tx1"/>
            </w14:solidFill>
          </w14:textFill>
        </w:rPr>
        <w:t>箱、输送带前后搭接等情况，保证安全运行；开机前应发出起动信号，得到回应后方可起动，起动后司机应注意听运转声音，当出现声音异常时及时停车处理，否则严禁开车。</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12、皮</w:t>
      </w:r>
      <w:r>
        <w:rPr>
          <w:rFonts w:ascii="仿宋" w:hAnsi="仿宋" w:eastAsia="仿宋" w:cs="仿宋_GB2312"/>
          <w:bCs/>
          <w:color w:val="000000" w:themeColor="text1"/>
          <w:sz w:val="24"/>
          <w14:textFill>
            <w14:solidFill>
              <w14:schemeClr w14:val="tx1"/>
            </w14:solidFill>
          </w14:textFill>
        </w:rPr>
        <w:t>带运行时要做到不跑偏、不过载、无刮卡，各部位无浮煤矸，卸载合适，输送带松紧适宜，清扫装置齐全有效，严禁运送人员。</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13</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司机必须坚守岗位，确需离开</w:t>
      </w:r>
      <w:r>
        <w:rPr>
          <w:rFonts w:ascii="仿宋" w:hAnsi="仿宋" w:eastAsia="仿宋" w:cs="仿宋_GB2312"/>
          <w:bCs/>
          <w:color w:val="000000" w:themeColor="text1"/>
          <w:sz w:val="24"/>
          <w14:textFill>
            <w14:solidFill>
              <w14:schemeClr w14:val="tx1"/>
            </w14:solidFill>
          </w14:textFill>
        </w:rPr>
        <w:t>时必须</w:t>
      </w:r>
      <w:r>
        <w:rPr>
          <w:rFonts w:hint="eastAsia" w:ascii="仿宋" w:hAnsi="仿宋" w:eastAsia="仿宋" w:cs="仿宋_GB2312"/>
          <w:bCs/>
          <w:color w:val="000000" w:themeColor="text1"/>
          <w:sz w:val="24"/>
          <w14:textFill>
            <w14:solidFill>
              <w14:schemeClr w14:val="tx1"/>
            </w14:solidFill>
          </w14:textFill>
        </w:rPr>
        <w:t>停电闭锁。</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14、</w:t>
      </w:r>
      <w:r>
        <w:rPr>
          <w:rFonts w:ascii="仿宋" w:hAnsi="仿宋" w:eastAsia="仿宋" w:cs="仿宋_GB2312"/>
          <w:bCs/>
          <w:color w:val="000000" w:themeColor="text1"/>
          <w:sz w:val="24"/>
          <w14:textFill>
            <w14:solidFill>
              <w14:schemeClr w14:val="tx1"/>
            </w14:solidFill>
          </w14:textFill>
        </w:rPr>
        <w:t>除处理</w:t>
      </w:r>
      <w:r>
        <w:rPr>
          <w:rFonts w:hint="eastAsia" w:ascii="仿宋" w:hAnsi="仿宋" w:eastAsia="仿宋" w:cs="仿宋_GB2312"/>
          <w:bCs/>
          <w:color w:val="000000" w:themeColor="text1"/>
          <w:sz w:val="24"/>
          <w14:textFill>
            <w14:solidFill>
              <w14:schemeClr w14:val="tx1"/>
            </w14:solidFill>
          </w14:textFill>
        </w:rPr>
        <w:t>皮带机</w:t>
      </w:r>
      <w:r>
        <w:rPr>
          <w:rFonts w:ascii="仿宋" w:hAnsi="仿宋" w:eastAsia="仿宋" w:cs="仿宋_GB2312"/>
          <w:bCs/>
          <w:color w:val="000000" w:themeColor="text1"/>
          <w:sz w:val="24"/>
          <w14:textFill>
            <w14:solidFill>
              <w14:schemeClr w14:val="tx1"/>
            </w14:solidFill>
          </w14:textFill>
        </w:rPr>
        <w:t>故障</w:t>
      </w:r>
      <w:r>
        <w:rPr>
          <w:rFonts w:hint="eastAsia" w:ascii="仿宋" w:hAnsi="仿宋" w:eastAsia="仿宋" w:cs="仿宋_GB2312"/>
          <w:bCs/>
          <w:color w:val="000000" w:themeColor="text1"/>
          <w:sz w:val="24"/>
          <w14:textFill>
            <w14:solidFill>
              <w14:schemeClr w14:val="tx1"/>
            </w14:solidFill>
          </w14:textFill>
        </w:rPr>
        <w:t>等特殊情况外</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正常情况严禁</w:t>
      </w:r>
      <w:r>
        <w:rPr>
          <w:rFonts w:ascii="仿宋" w:hAnsi="仿宋" w:eastAsia="仿宋" w:cs="仿宋_GB2312"/>
          <w:bCs/>
          <w:color w:val="000000" w:themeColor="text1"/>
          <w:sz w:val="24"/>
          <w14:textFill>
            <w14:solidFill>
              <w14:schemeClr w14:val="tx1"/>
            </w14:solidFill>
          </w14:textFill>
        </w:rPr>
        <w:t>开倒车。</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15、</w:t>
      </w:r>
      <w:r>
        <w:rPr>
          <w:rFonts w:ascii="仿宋" w:hAnsi="仿宋" w:eastAsia="仿宋" w:cs="仿宋_GB2312"/>
          <w:bCs/>
          <w:color w:val="000000" w:themeColor="text1"/>
          <w:sz w:val="24"/>
          <w14:textFill>
            <w14:solidFill>
              <w14:schemeClr w14:val="tx1"/>
            </w14:solidFill>
          </w14:textFill>
        </w:rPr>
        <w:t>严禁</w:t>
      </w:r>
      <w:r>
        <w:rPr>
          <w:rFonts w:hint="eastAsia" w:ascii="仿宋" w:hAnsi="仿宋" w:eastAsia="仿宋" w:cs="仿宋_GB2312"/>
          <w:bCs/>
          <w:color w:val="000000" w:themeColor="text1"/>
          <w:sz w:val="24"/>
          <w14:textFill>
            <w14:solidFill>
              <w14:schemeClr w14:val="tx1"/>
            </w14:solidFill>
          </w14:textFill>
        </w:rPr>
        <w:t>身体任何部分或使用工具接触运行中的皮带及其它转动部件，严禁从运行的皮带上拿大块矸石或其它物品；皮带机</w:t>
      </w:r>
      <w:r>
        <w:rPr>
          <w:rFonts w:ascii="仿宋" w:hAnsi="仿宋" w:eastAsia="仿宋" w:cs="仿宋_GB2312"/>
          <w:bCs/>
          <w:color w:val="000000" w:themeColor="text1"/>
          <w:sz w:val="24"/>
          <w14:textFill>
            <w14:solidFill>
              <w14:schemeClr w14:val="tx1"/>
            </w14:solidFill>
          </w14:textFill>
        </w:rPr>
        <w:t>运转时，禁止清理机头、尾滚筒</w:t>
      </w:r>
      <w:r>
        <w:rPr>
          <w:rFonts w:hint="eastAsia" w:ascii="仿宋" w:hAnsi="仿宋" w:eastAsia="仿宋" w:cs="仿宋_GB2312"/>
          <w:bCs/>
          <w:color w:val="000000" w:themeColor="text1"/>
          <w:sz w:val="24"/>
          <w14:textFill>
            <w14:solidFill>
              <w14:schemeClr w14:val="tx1"/>
            </w14:solidFill>
          </w14:textFill>
        </w:rPr>
        <w:t>及其它转动部件</w:t>
      </w:r>
      <w:r>
        <w:rPr>
          <w:rFonts w:ascii="仿宋" w:hAnsi="仿宋" w:eastAsia="仿宋" w:cs="仿宋_GB2312"/>
          <w:bCs/>
          <w:color w:val="000000" w:themeColor="text1"/>
          <w:sz w:val="24"/>
          <w14:textFill>
            <w14:solidFill>
              <w14:schemeClr w14:val="tx1"/>
            </w14:solidFill>
          </w14:textFill>
        </w:rPr>
        <w:t>附近的浮煤</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16、严禁任何人员乘坐皮带机。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17、加强输送带的防跑偏管理：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（1）托轨安装位置、角度合适、输送带接头平直，确保安装质量</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避免由</w:t>
      </w:r>
      <w:r>
        <w:rPr>
          <w:rFonts w:ascii="仿宋" w:hAnsi="仿宋" w:eastAsia="仿宋" w:cs="仿宋_GB2312"/>
          <w:bCs/>
          <w:color w:val="000000" w:themeColor="text1"/>
          <w:sz w:val="24"/>
          <w14:textFill>
            <w14:solidFill>
              <w14:schemeClr w14:val="tx1"/>
            </w14:solidFill>
          </w14:textFill>
        </w:rPr>
        <w:t>安装误差引起跑偏</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（2）保持输送带松紧度合适，输送带两侧受力均匀。</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（3）保持卸料点位于输送带中心线，防止偏载。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（4）在合适位置安装限位托辊，防止跑偏。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（5）加强日常检修，保证防跑偏保护装置完好，发现问题及时妥善处理。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hint="default" w:ascii="仿宋" w:hAnsi="仿宋" w:eastAsia="仿宋" w:cs="仿宋_GB2312"/>
          <w:bCs/>
          <w:color w:val="000000" w:themeColor="text1"/>
          <w:sz w:val="24"/>
          <w:lang w:val="en-US" w:eastAsia="zh-CN"/>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18、</w:t>
      </w:r>
      <w:r>
        <w:rPr>
          <w:rFonts w:ascii="仿宋" w:hAnsi="仿宋" w:eastAsia="仿宋" w:cs="仿宋_GB2312"/>
          <w:bCs/>
          <w:color w:val="000000" w:themeColor="text1"/>
          <w:sz w:val="24"/>
          <w14:textFill>
            <w14:solidFill>
              <w14:schemeClr w14:val="tx1"/>
            </w14:solidFill>
          </w14:textFill>
        </w:rPr>
        <w:t>拉移皮带机尾</w:t>
      </w:r>
      <w:r>
        <w:rPr>
          <w:rFonts w:hint="eastAsia" w:ascii="仿宋" w:hAnsi="仿宋" w:eastAsia="仿宋" w:cs="仿宋_GB2312"/>
          <w:bCs/>
          <w:color w:val="000000" w:themeColor="text1"/>
          <w:sz w:val="24"/>
          <w:lang w:val="en-US" w:eastAsia="zh-CN"/>
          <w14:textFill>
            <w14:solidFill>
              <w14:schemeClr w14:val="tx1"/>
            </w14:solidFill>
          </w14:textFill>
        </w:rPr>
        <w:t>自移装置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w:t>
      </w:r>
      <w:r>
        <w:rPr>
          <w:rFonts w:ascii="仿宋" w:hAnsi="仿宋" w:eastAsia="仿宋" w:cs="仿宋_GB2312"/>
          <w:bCs/>
          <w:color w:val="000000" w:themeColor="text1"/>
          <w:sz w:val="24"/>
          <w14:textFill>
            <w14:solidFill>
              <w14:schemeClr w14:val="tx1"/>
            </w14:solidFill>
          </w14:textFill>
        </w:rPr>
        <w:t>拉移皮带机尾</w:t>
      </w:r>
      <w:r>
        <w:rPr>
          <w:rFonts w:hint="eastAsia" w:ascii="仿宋" w:hAnsi="仿宋" w:eastAsia="仿宋" w:cs="仿宋_GB2312"/>
          <w:bCs/>
          <w:color w:val="000000" w:themeColor="text1"/>
          <w:sz w:val="24"/>
          <w:lang w:val="en-US" w:eastAsia="zh-CN"/>
          <w14:textFill>
            <w14:solidFill>
              <w14:schemeClr w14:val="tx1"/>
            </w14:solidFill>
          </w14:textFill>
        </w:rPr>
        <w:t>自移装置</w:t>
      </w:r>
      <w:r>
        <w:rPr>
          <w:rFonts w:ascii="仿宋" w:hAnsi="仿宋" w:eastAsia="仿宋" w:cs="仿宋_GB2312"/>
          <w:bCs/>
          <w:color w:val="000000" w:themeColor="text1"/>
          <w:sz w:val="24"/>
          <w14:textFill>
            <w14:solidFill>
              <w14:schemeClr w14:val="tx1"/>
            </w14:solidFill>
          </w14:textFill>
        </w:rPr>
        <w:t>前，</w:t>
      </w:r>
      <w:r>
        <w:rPr>
          <w:rFonts w:hint="eastAsia" w:ascii="仿宋" w:hAnsi="仿宋" w:eastAsia="仿宋" w:cs="仿宋_GB2312"/>
          <w:bCs/>
          <w:color w:val="000000" w:themeColor="text1"/>
          <w:sz w:val="24"/>
          <w14:textFill>
            <w14:solidFill>
              <w14:schemeClr w14:val="tx1"/>
            </w14:solidFill>
          </w14:textFill>
        </w:rPr>
        <w:t>应</w:t>
      </w:r>
      <w:r>
        <w:rPr>
          <w:rFonts w:ascii="仿宋" w:hAnsi="仿宋" w:eastAsia="仿宋" w:cs="仿宋_GB2312"/>
          <w:bCs/>
          <w:color w:val="000000" w:themeColor="text1"/>
          <w:sz w:val="24"/>
          <w14:textFill>
            <w14:solidFill>
              <w14:schemeClr w14:val="tx1"/>
            </w14:solidFill>
          </w14:textFill>
        </w:rPr>
        <w:t>将</w:t>
      </w:r>
      <w:r>
        <w:rPr>
          <w:rFonts w:hint="eastAsia" w:ascii="仿宋" w:hAnsi="仿宋" w:eastAsia="仿宋" w:cs="仿宋_GB2312"/>
          <w:bCs/>
          <w:color w:val="000000" w:themeColor="text1"/>
          <w:sz w:val="24"/>
          <w14:textFill>
            <w14:solidFill>
              <w14:schemeClr w14:val="tx1"/>
            </w14:solidFill>
          </w14:textFill>
        </w:rPr>
        <w:t>皮带机上</w:t>
      </w:r>
      <w:r>
        <w:rPr>
          <w:rFonts w:ascii="仿宋" w:hAnsi="仿宋" w:eastAsia="仿宋" w:cs="仿宋_GB2312"/>
          <w:bCs/>
          <w:color w:val="000000" w:themeColor="text1"/>
          <w:sz w:val="24"/>
          <w14:textFill>
            <w14:solidFill>
              <w14:schemeClr w14:val="tx1"/>
            </w14:solidFill>
          </w14:textFill>
        </w:rPr>
        <w:t>煤运净，</w:t>
      </w:r>
      <w:r>
        <w:rPr>
          <w:rFonts w:hint="eastAsia" w:ascii="仿宋" w:hAnsi="仿宋" w:eastAsia="仿宋" w:cs="仿宋_GB2312"/>
          <w:bCs/>
          <w:color w:val="000000" w:themeColor="text1"/>
          <w:sz w:val="24"/>
          <w14:textFill>
            <w14:solidFill>
              <w14:schemeClr w14:val="tx1"/>
            </w14:solidFill>
          </w14:textFill>
        </w:rPr>
        <w:t>要与皮带机司机沟通好，将皮带机停电闭锁，并有专人看管</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w:t>
      </w:r>
      <w:r>
        <w:rPr>
          <w:rFonts w:ascii="仿宋" w:hAnsi="仿宋" w:eastAsia="仿宋" w:cs="仿宋_GB2312"/>
          <w:bCs/>
          <w:color w:val="000000" w:themeColor="text1"/>
          <w:sz w:val="24"/>
          <w14:textFill>
            <w14:solidFill>
              <w14:schemeClr w14:val="tx1"/>
            </w14:solidFill>
          </w14:textFill>
        </w:rPr>
        <w:t>拉移机尾</w:t>
      </w:r>
      <w:r>
        <w:rPr>
          <w:rFonts w:hint="eastAsia" w:ascii="仿宋" w:hAnsi="仿宋" w:eastAsia="仿宋" w:cs="仿宋_GB2312"/>
          <w:bCs/>
          <w:color w:val="000000" w:themeColor="text1"/>
          <w:sz w:val="24"/>
          <w:lang w:val="en-US" w:eastAsia="zh-CN"/>
          <w14:textFill>
            <w14:solidFill>
              <w14:schemeClr w14:val="tx1"/>
            </w14:solidFill>
          </w14:textFill>
        </w:rPr>
        <w:t>自移装置</w:t>
      </w:r>
      <w:r>
        <w:rPr>
          <w:rFonts w:ascii="仿宋" w:hAnsi="仿宋" w:eastAsia="仿宋" w:cs="仿宋_GB2312"/>
          <w:bCs/>
          <w:color w:val="000000" w:themeColor="text1"/>
          <w:sz w:val="24"/>
          <w14:textFill>
            <w14:solidFill>
              <w14:schemeClr w14:val="tx1"/>
            </w14:solidFill>
          </w14:textFill>
        </w:rPr>
        <w:t>前，必须检查</w:t>
      </w:r>
      <w:r>
        <w:rPr>
          <w:rFonts w:hint="eastAsia" w:ascii="仿宋" w:hAnsi="仿宋" w:eastAsia="仿宋" w:cs="仿宋_GB2312"/>
          <w:bCs/>
          <w:color w:val="000000" w:themeColor="text1"/>
          <w:sz w:val="24"/>
          <w14:textFill>
            <w14:solidFill>
              <w14:schemeClr w14:val="tx1"/>
            </w14:solidFill>
          </w14:textFill>
        </w:rPr>
        <w:t>自移</w:t>
      </w:r>
      <w:r>
        <w:rPr>
          <w:rFonts w:ascii="仿宋" w:hAnsi="仿宋" w:eastAsia="仿宋" w:cs="仿宋_GB2312"/>
          <w:bCs/>
          <w:color w:val="000000" w:themeColor="text1"/>
          <w:sz w:val="24"/>
          <w14:textFill>
            <w14:solidFill>
              <w14:schemeClr w14:val="tx1"/>
            </w14:solidFill>
          </w14:textFill>
        </w:rPr>
        <w:t>机尾装置及附近</w:t>
      </w:r>
      <w:r>
        <w:rPr>
          <w:rFonts w:hint="eastAsia" w:ascii="仿宋" w:hAnsi="仿宋" w:eastAsia="仿宋" w:cs="仿宋_GB2312"/>
          <w:bCs/>
          <w:color w:val="000000" w:themeColor="text1"/>
          <w:sz w:val="24"/>
          <w14:textFill>
            <w14:solidFill>
              <w14:schemeClr w14:val="tx1"/>
            </w14:solidFill>
          </w14:textFill>
        </w:rPr>
        <w:t>巷道顶帮支护及巷道宽度情况</w:t>
      </w:r>
      <w:r>
        <w:rPr>
          <w:rFonts w:ascii="仿宋" w:hAnsi="仿宋" w:eastAsia="仿宋" w:cs="仿宋_GB2312"/>
          <w:bCs/>
          <w:color w:val="000000" w:themeColor="text1"/>
          <w:sz w:val="24"/>
          <w14:textFill>
            <w14:solidFill>
              <w14:schemeClr w14:val="tx1"/>
            </w14:solidFill>
          </w14:textFill>
        </w:rPr>
        <w:t>，</w:t>
      </w:r>
      <w:r>
        <w:rPr>
          <w:rFonts w:hint="eastAsia" w:ascii="仿宋" w:hAnsi="仿宋" w:eastAsia="仿宋" w:cs="仿宋_GB2312"/>
          <w:bCs/>
          <w:color w:val="000000" w:themeColor="text1"/>
          <w:sz w:val="24"/>
          <w14:textFill>
            <w14:solidFill>
              <w14:schemeClr w14:val="tx1"/>
            </w14:solidFill>
          </w14:textFill>
        </w:rPr>
        <w:t>发现问题及时处理。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（3）提前将拉移段的皮带机纵梁、托辊、H架等拆除，将拉移段的浮煤清理干净，要保证拉移后皮带机尾</w:t>
      </w:r>
      <w:r>
        <w:rPr>
          <w:rFonts w:hint="eastAsia" w:ascii="仿宋" w:hAnsi="仿宋" w:eastAsia="仿宋" w:cs="仿宋_GB2312"/>
          <w:bCs/>
          <w:color w:val="000000" w:themeColor="text1"/>
          <w:sz w:val="24"/>
          <w:lang w:val="en-US" w:eastAsia="zh-CN"/>
          <w14:textFill>
            <w14:solidFill>
              <w14:schemeClr w14:val="tx1"/>
            </w14:solidFill>
          </w14:textFill>
        </w:rPr>
        <w:t>自移装置</w:t>
      </w:r>
      <w:r>
        <w:rPr>
          <w:rFonts w:hint="eastAsia" w:ascii="仿宋" w:hAnsi="仿宋" w:eastAsia="仿宋" w:cs="仿宋_GB2312"/>
          <w:bCs/>
          <w:color w:val="000000" w:themeColor="text1"/>
          <w:sz w:val="24"/>
          <w14:textFill>
            <w14:solidFill>
              <w14:schemeClr w14:val="tx1"/>
            </w14:solidFill>
          </w14:textFill>
        </w:rPr>
        <w:t>与最后一个H架的间距不超过1.5m，且H架上托辊齐全，防止重载时上下皮带相磨或皮带机尾跑偏。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（4）拉移时，转载机里侧严禁有人，除操作人员外，</w:t>
      </w:r>
      <w:r>
        <w:rPr>
          <w:rFonts w:ascii="仿宋" w:hAnsi="仿宋" w:eastAsia="仿宋" w:cs="仿宋_GB2312"/>
          <w:bCs/>
          <w:color w:val="000000" w:themeColor="text1"/>
          <w:sz w:val="24"/>
          <w14:textFill>
            <w14:solidFill>
              <w14:schemeClr w14:val="tx1"/>
            </w14:solidFill>
          </w14:textFill>
        </w:rPr>
        <w:t>机尾</w:t>
      </w:r>
      <w:r>
        <w:rPr>
          <w:rFonts w:hint="eastAsia" w:ascii="仿宋" w:hAnsi="仿宋" w:eastAsia="仿宋" w:cs="仿宋_GB2312"/>
          <w:bCs/>
          <w:color w:val="000000" w:themeColor="text1"/>
          <w:sz w:val="24"/>
          <w:lang w:val="en-US" w:eastAsia="zh-CN"/>
          <w14:textFill>
            <w14:solidFill>
              <w14:schemeClr w14:val="tx1"/>
            </w14:solidFill>
          </w14:textFill>
        </w:rPr>
        <w:t>自移装置</w:t>
      </w:r>
      <w:r>
        <w:rPr>
          <w:rFonts w:hint="eastAsia" w:ascii="仿宋" w:hAnsi="仿宋" w:eastAsia="仿宋" w:cs="仿宋_GB2312"/>
          <w:bCs/>
          <w:color w:val="000000" w:themeColor="text1"/>
          <w:sz w:val="24"/>
          <w14:textFill>
            <w14:solidFill>
              <w14:schemeClr w14:val="tx1"/>
            </w14:solidFill>
          </w14:textFill>
        </w:rPr>
        <w:t>前后10m范围内严禁其他人员通过或逗留。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（5）拉移过程中，要密切观察</w:t>
      </w:r>
      <w:r>
        <w:rPr>
          <w:rFonts w:ascii="仿宋" w:hAnsi="仿宋" w:eastAsia="仿宋" w:cs="仿宋_GB2312"/>
          <w:bCs/>
          <w:color w:val="000000" w:themeColor="text1"/>
          <w:sz w:val="24"/>
          <w14:textFill>
            <w14:solidFill>
              <w14:schemeClr w14:val="tx1"/>
            </w14:solidFill>
          </w14:textFill>
        </w:rPr>
        <w:t>机尾</w:t>
      </w:r>
      <w:r>
        <w:rPr>
          <w:rFonts w:hint="eastAsia" w:ascii="仿宋" w:hAnsi="仿宋" w:eastAsia="仿宋" w:cs="仿宋_GB2312"/>
          <w:bCs/>
          <w:color w:val="000000" w:themeColor="text1"/>
          <w:sz w:val="24"/>
          <w:lang w:val="en-US" w:eastAsia="zh-CN"/>
          <w14:textFill>
            <w14:solidFill>
              <w14:schemeClr w14:val="tx1"/>
            </w14:solidFill>
          </w14:textFill>
        </w:rPr>
        <w:t>自移装置</w:t>
      </w:r>
      <w:r>
        <w:rPr>
          <w:rFonts w:hint="eastAsia" w:ascii="仿宋" w:hAnsi="仿宋" w:eastAsia="仿宋" w:cs="仿宋_GB2312"/>
          <w:bCs/>
          <w:color w:val="000000" w:themeColor="text1"/>
          <w:sz w:val="24"/>
          <w14:textFill>
            <w14:solidFill>
              <w14:schemeClr w14:val="tx1"/>
            </w14:solidFill>
          </w14:textFill>
        </w:rPr>
        <w:t>运行情况及转载机头的稳固情况，要缓慢进行，防止拉过或失稳；一旦出现拉移困难时，要立即停止拉移，查清问题并妥善处理后方可继续拉移，严禁强拉硬拽。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w:t>
      </w:r>
      <w:r>
        <w:rPr>
          <w:rFonts w:ascii="仿宋" w:hAnsi="仿宋" w:eastAsia="仿宋" w:cs="仿宋_GB2312"/>
          <w:bCs/>
          <w:color w:val="000000" w:themeColor="text1"/>
          <w:sz w:val="24"/>
          <w14:textFill>
            <w14:solidFill>
              <w14:schemeClr w14:val="tx1"/>
            </w14:solidFill>
          </w14:textFill>
        </w:rPr>
        <w:t>机尾</w:t>
      </w:r>
      <w:r>
        <w:rPr>
          <w:rFonts w:hint="eastAsia" w:ascii="仿宋" w:hAnsi="仿宋" w:eastAsia="仿宋" w:cs="仿宋_GB2312"/>
          <w:bCs/>
          <w:color w:val="000000" w:themeColor="text1"/>
          <w:sz w:val="24"/>
          <w:lang w:val="en-US" w:eastAsia="zh-CN"/>
          <w14:textFill>
            <w14:solidFill>
              <w14:schemeClr w14:val="tx1"/>
            </w14:solidFill>
          </w14:textFill>
        </w:rPr>
        <w:t>自移装置</w:t>
      </w:r>
      <w:r>
        <w:rPr>
          <w:rFonts w:hint="eastAsia" w:ascii="仿宋" w:hAnsi="仿宋" w:eastAsia="仿宋" w:cs="仿宋_GB2312"/>
          <w:bCs/>
          <w:color w:val="000000" w:themeColor="text1"/>
          <w:sz w:val="24"/>
          <w14:textFill>
            <w14:solidFill>
              <w14:schemeClr w14:val="tx1"/>
            </w14:solidFill>
          </w14:textFill>
        </w:rPr>
        <w:t>拉移后要做到平、正、直、稳。</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（7）</w:t>
      </w:r>
      <w:r>
        <w:rPr>
          <w:rFonts w:ascii="仿宋" w:hAnsi="仿宋" w:eastAsia="仿宋" w:cs="仿宋_GB2312"/>
          <w:bCs/>
          <w:color w:val="000000" w:themeColor="text1"/>
          <w:sz w:val="24"/>
          <w14:textFill>
            <w14:solidFill>
              <w14:schemeClr w14:val="tx1"/>
            </w14:solidFill>
          </w14:textFill>
        </w:rPr>
        <w:t>机尾</w:t>
      </w:r>
      <w:r>
        <w:rPr>
          <w:rFonts w:hint="eastAsia" w:ascii="仿宋" w:hAnsi="仿宋" w:eastAsia="仿宋" w:cs="仿宋_GB2312"/>
          <w:bCs/>
          <w:color w:val="000000" w:themeColor="text1"/>
          <w:sz w:val="24"/>
          <w:lang w:val="en-US" w:eastAsia="zh-CN"/>
          <w14:textFill>
            <w14:solidFill>
              <w14:schemeClr w14:val="tx1"/>
            </w14:solidFill>
          </w14:textFill>
        </w:rPr>
        <w:t>自移装置</w:t>
      </w:r>
      <w:r>
        <w:rPr>
          <w:rFonts w:hint="eastAsia" w:ascii="仿宋" w:hAnsi="仿宋" w:eastAsia="仿宋" w:cs="仿宋_GB2312"/>
          <w:bCs/>
          <w:color w:val="000000" w:themeColor="text1"/>
          <w:sz w:val="24"/>
          <w14:textFill>
            <w14:solidFill>
              <w14:schemeClr w14:val="tx1"/>
            </w14:solidFill>
          </w14:textFill>
        </w:rPr>
        <w:t>拉移到位后，</w:t>
      </w:r>
      <w:r>
        <w:rPr>
          <w:rFonts w:ascii="仿宋" w:hAnsi="仿宋" w:eastAsia="仿宋" w:cs="仿宋_GB2312"/>
          <w:bCs/>
          <w:color w:val="000000" w:themeColor="text1"/>
          <w:sz w:val="24"/>
          <w14:textFill>
            <w14:solidFill>
              <w14:schemeClr w14:val="tx1"/>
            </w14:solidFill>
          </w14:textFill>
        </w:rPr>
        <w:t>必须</w:t>
      </w:r>
      <w:r>
        <w:rPr>
          <w:rFonts w:hint="eastAsia" w:ascii="仿宋" w:hAnsi="仿宋" w:eastAsia="仿宋" w:cs="仿宋_GB2312"/>
          <w:bCs/>
          <w:color w:val="000000" w:themeColor="text1"/>
          <w:sz w:val="24"/>
          <w14:textFill>
            <w14:solidFill>
              <w14:schemeClr w14:val="tx1"/>
            </w14:solidFill>
          </w14:textFill>
        </w:rPr>
        <w:t>等</w:t>
      </w:r>
      <w:r>
        <w:rPr>
          <w:rFonts w:ascii="仿宋" w:hAnsi="仿宋" w:eastAsia="仿宋" w:cs="仿宋_GB2312"/>
          <w:bCs/>
          <w:color w:val="000000" w:themeColor="text1"/>
          <w:sz w:val="24"/>
          <w14:textFill>
            <w14:solidFill>
              <w14:schemeClr w14:val="tx1"/>
            </w14:solidFill>
          </w14:textFill>
        </w:rPr>
        <w:t>机尾</w:t>
      </w:r>
      <w:r>
        <w:rPr>
          <w:rFonts w:hint="eastAsia" w:ascii="仿宋" w:hAnsi="仿宋" w:eastAsia="仿宋" w:cs="仿宋_GB2312"/>
          <w:bCs/>
          <w:color w:val="000000" w:themeColor="text1"/>
          <w:sz w:val="24"/>
          <w14:textFill>
            <w14:solidFill>
              <w14:schemeClr w14:val="tx1"/>
            </w14:solidFill>
          </w14:textFill>
        </w:rPr>
        <w:t>操作</w:t>
      </w:r>
      <w:r>
        <w:rPr>
          <w:rFonts w:ascii="仿宋" w:hAnsi="仿宋" w:eastAsia="仿宋" w:cs="仿宋_GB2312"/>
          <w:bCs/>
          <w:color w:val="000000" w:themeColor="text1"/>
          <w:sz w:val="24"/>
          <w14:textFill>
            <w14:solidFill>
              <w14:schemeClr w14:val="tx1"/>
            </w14:solidFill>
          </w14:textFill>
        </w:rPr>
        <w:t>人员发出开车信号，方可开动储带装置张紧绞车，将多余的</w:t>
      </w:r>
      <w:r>
        <w:rPr>
          <w:rFonts w:hint="eastAsia" w:ascii="仿宋" w:hAnsi="仿宋" w:eastAsia="仿宋" w:cs="仿宋_GB2312"/>
          <w:bCs/>
          <w:color w:val="000000" w:themeColor="text1"/>
          <w:sz w:val="24"/>
          <w14:textFill>
            <w14:solidFill>
              <w14:schemeClr w14:val="tx1"/>
            </w14:solidFill>
          </w14:textFill>
        </w:rPr>
        <w:t>皮</w:t>
      </w:r>
      <w:r>
        <w:rPr>
          <w:rFonts w:ascii="仿宋" w:hAnsi="仿宋" w:eastAsia="仿宋" w:cs="仿宋_GB2312"/>
          <w:bCs/>
          <w:color w:val="000000" w:themeColor="text1"/>
          <w:sz w:val="24"/>
          <w14:textFill>
            <w14:solidFill>
              <w14:schemeClr w14:val="tx1"/>
            </w14:solidFill>
          </w14:textFill>
        </w:rPr>
        <w:t>带卷入储带仓内并张紧</w:t>
      </w:r>
      <w:r>
        <w:rPr>
          <w:rFonts w:hint="eastAsia" w:ascii="仿宋" w:hAnsi="仿宋" w:eastAsia="仿宋" w:cs="仿宋_GB2312"/>
          <w:bCs/>
          <w:color w:val="000000" w:themeColor="text1"/>
          <w:sz w:val="24"/>
          <w14:textFill>
            <w14:solidFill>
              <w14:schemeClr w14:val="tx1"/>
            </w14:solidFill>
          </w14:textFill>
        </w:rPr>
        <w:t>皮带</w:t>
      </w:r>
      <w:r>
        <w:rPr>
          <w:rFonts w:ascii="仿宋" w:hAnsi="仿宋" w:eastAsia="仿宋" w:cs="仿宋_GB2312"/>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（8）张紧皮带时，信号联系要清楚，防止误操作；皮带张紧要适中，皮带跑偏要及时调整。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（9）皮</w:t>
      </w:r>
      <w:r>
        <w:rPr>
          <w:rFonts w:ascii="仿宋" w:hAnsi="仿宋" w:eastAsia="仿宋" w:cs="仿宋_GB2312"/>
          <w:bCs/>
          <w:color w:val="000000" w:themeColor="text1"/>
          <w:sz w:val="24"/>
          <w14:textFill>
            <w14:solidFill>
              <w14:schemeClr w14:val="tx1"/>
            </w14:solidFill>
          </w14:textFill>
        </w:rPr>
        <w:t>带张紧后，将储带装置的张紧绞车开关停</w:t>
      </w:r>
      <w:r>
        <w:rPr>
          <w:rFonts w:hint="eastAsia" w:ascii="仿宋" w:hAnsi="仿宋" w:eastAsia="仿宋" w:cs="仿宋_GB2312"/>
          <w:bCs/>
          <w:color w:val="000000" w:themeColor="text1"/>
          <w:sz w:val="24"/>
          <w14:textFill>
            <w14:solidFill>
              <w14:schemeClr w14:val="tx1"/>
            </w14:solidFill>
          </w14:textFill>
        </w:rPr>
        <w:t>止</w:t>
      </w:r>
      <w:r>
        <w:rPr>
          <w:rFonts w:ascii="仿宋" w:hAnsi="仿宋" w:eastAsia="仿宋" w:cs="仿宋_GB2312"/>
          <w:bCs/>
          <w:color w:val="000000" w:themeColor="text1"/>
          <w:sz w:val="24"/>
          <w14:textFill>
            <w14:solidFill>
              <w14:schemeClr w14:val="tx1"/>
            </w14:solidFill>
          </w14:textFill>
        </w:rPr>
        <w:t>闭锁。</w:t>
      </w:r>
    </w:p>
    <w:p>
      <w:pPr>
        <w:pStyle w:val="60"/>
        <w:keepNext w:val="0"/>
        <w:keepLines w:val="0"/>
        <w:pageBreakBefore w:val="0"/>
        <w:widowControl w:val="0"/>
        <w:kinsoku/>
        <w:wordWrap/>
        <w:overflowPunct/>
        <w:topLinePunct w:val="0"/>
        <w:bidi w:val="0"/>
        <w:snapToGrid w:val="0"/>
        <w:spacing w:line="360" w:lineRule="auto"/>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十、电缆拖挂单轨吊的使用与管理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1、本工作面使用DGY-60型电缆拖挂单轨吊，要加强单轨吊的日常检修维护工作，确保生根锚杆（锚索）牢固、单轨吊连接装置、吊挂装置、小跑车、防跑链齐全完好，液压系统完好，发现问题要及时处理。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2、严禁利用单轨吊进行起吊工作。</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3、检修及使用、拆除、更换单轨吊时，人员严禁站在单轨吊正下方，人员严禁在单轨吊下方行走。</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4、单轨吊确保轨道平滑，严禁出现陡茬；小跑车在轨道上须运行平稳自如，不得有卡阻现象。电缆吊挂必须整齐有序、牢靠安全，各小跑车之间电缆的吊挂弧度保持一致。</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5、减压阀的压力不得大于</w:t>
      </w:r>
      <w:r>
        <w:rPr>
          <w:rFonts w:ascii="仿宋" w:hAnsi="仿宋" w:eastAsia="仿宋" w:cs="仿宋_GB2312"/>
          <w:bCs/>
          <w:color w:val="000000" w:themeColor="text1"/>
          <w:sz w:val="24"/>
          <w14:textFill>
            <w14:solidFill>
              <w14:schemeClr w14:val="tx1"/>
            </w14:solidFill>
          </w14:textFill>
        </w:rPr>
        <w:t>20Mpa</w:t>
      </w:r>
      <w:r>
        <w:rPr>
          <w:rFonts w:hint="eastAsia" w:ascii="仿宋" w:hAnsi="仿宋" w:eastAsia="仿宋" w:cs="仿宋_GB2312"/>
          <w:bCs/>
          <w:color w:val="000000" w:themeColor="text1"/>
          <w:sz w:val="24"/>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6、拉移电缆</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（1）拉移电缆时必须有班队长现场指挥，操作前从首端至尾端仔细检查单轨吊生根点及各吊挂装置、连接装置是否安全可靠，单轨吊两侧的电缆有无刮帮、擦顶、挤压现象，每节轨道是否平、直。</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（2）拉移前，必须确保单轨吊下方无人后方可操作，沿途观察人员要站在安全地点，并安排专人在单轨吊尾端观察，防止拉移过多使电缆受力。</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（3）拉移时要缓慢进行，密切观察电缆移动情况和单轨吊的完好情况，出现异常情况时必须立即停止、检查原因并妥善处理后方可继续操作，严禁一边拉移一边处理，严禁强拉硬拽。</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6、拆除及安装单轨吊</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随着工作面的推进，要逐节拆除单轨吊、并在单轨吊外端进行安装。</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（1）拆除前首先检查施工地点附近支护情况，清理净杂物，保持退路畅通。</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（2）首先将拆除段的小跑车、防跑链移到下一节轨道上。</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（3）使用2部额定起重量不小于2t的手拉葫芦将需拆除的跑道吊起至合适高度，拉葫生根在专用起吊锚杆上，然后将手拉葫芦锁死，施工人员严禁站在起吊物件下方或物件掉落可能窜出涉及的方向。</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（4）卸掉轨道的连接装置及吊挂装置，缓慢松掉手拉葫芦，将轨道落下至巷道底板并放置稳固；在落下轨道的过程中，人员严禁将身体伸在轨道下方，防止掉落伤人。</w:t>
      </w:r>
    </w:p>
    <w:p>
      <w:pPr>
        <w:keepNext w:val="0"/>
        <w:keepLines w:val="0"/>
        <w:pageBreakBefore w:val="0"/>
        <w:kinsoku/>
        <w:wordWrap/>
        <w:overflowPunct/>
        <w:topLinePunct w:val="0"/>
        <w:autoSpaceDE w:val="0"/>
        <w:autoSpaceDN w:val="0"/>
        <w:bidi w:val="0"/>
        <w:adjustRightInd w:val="0"/>
        <w:snapToGrid w:val="0"/>
        <w:spacing w:line="360" w:lineRule="auto"/>
        <w:ind w:firstLine="480"/>
        <w:jc w:val="left"/>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（5）安装单轨吊程序按照拆除程序反向进行即可。</w:t>
      </w:r>
    </w:p>
    <w:p>
      <w:pPr>
        <w:pStyle w:val="2"/>
        <w:keepNext w:val="0"/>
        <w:keepLines w:val="0"/>
        <w:pageBreakBefore w:val="0"/>
        <w:kinsoku/>
        <w:wordWrap/>
        <w:overflowPunct/>
        <w:topLinePunct w:val="0"/>
        <w:bidi w:val="0"/>
        <w:snapToGrid w:val="0"/>
        <w:spacing w:line="360" w:lineRule="auto"/>
        <w:ind w:firstLine="480"/>
        <w:rPr>
          <w:rFonts w:ascii="仿宋" w:hAnsi="仿宋" w:eastAsia="仿宋" w:cs="仿宋_GB2312"/>
        </w:rPr>
      </w:pPr>
      <w:r>
        <w:rPr>
          <w:rFonts w:hint="eastAsia" w:ascii="仿宋" w:hAnsi="仿宋" w:eastAsia="仿宋" w:cs="仿宋_GB2312"/>
        </w:rPr>
        <w:t>7、电缆单轨吊在距上帮1000mm处打锚杆吊挂，选用φ22×2400mm高强左旋无纵筋螺纹钢锚杆，每个单轨吊锚杆采用1支Z2370和1支K2335树脂药卷，拉拔力不小于127kN（对于顶板破碎区域可采用φ21.8mm、 L=6200mm钢绞线代替吊挂锚杆），锚杆外露长度100-150mm。</w:t>
      </w:r>
    </w:p>
    <w:p>
      <w:pPr>
        <w:pStyle w:val="2"/>
        <w:keepNext w:val="0"/>
        <w:keepLines w:val="0"/>
        <w:pageBreakBefore w:val="0"/>
        <w:kinsoku/>
        <w:wordWrap/>
        <w:overflowPunct/>
        <w:topLinePunct w:val="0"/>
        <w:bidi w:val="0"/>
        <w:snapToGrid w:val="0"/>
        <w:spacing w:line="360" w:lineRule="auto"/>
        <w:ind w:firstLine="480"/>
        <w:rPr>
          <w:rFonts w:ascii="仿宋" w:hAnsi="仿宋" w:eastAsia="仿宋" w:cs="仿宋_GB2312"/>
        </w:rPr>
      </w:pPr>
      <w:r>
        <w:rPr>
          <w:rFonts w:hint="eastAsia" w:ascii="仿宋" w:hAnsi="仿宋" w:eastAsia="仿宋" w:cs="仿宋_GB2312"/>
        </w:rPr>
        <w:t>8、单轨吊的各挂点间距每隔3m施工一组，偏差不得大于20mm，10组吊挂点间距的累计偏差不得大于50mm。</w:t>
      </w:r>
    </w:p>
    <w:p>
      <w:pPr>
        <w:pStyle w:val="2"/>
        <w:keepNext w:val="0"/>
        <w:keepLines w:val="0"/>
        <w:pageBreakBefore w:val="0"/>
        <w:kinsoku/>
        <w:wordWrap/>
        <w:overflowPunct/>
        <w:topLinePunct w:val="0"/>
        <w:bidi w:val="0"/>
        <w:snapToGrid w:val="0"/>
        <w:spacing w:line="360" w:lineRule="auto"/>
        <w:ind w:firstLine="480"/>
        <w:rPr>
          <w:rFonts w:ascii="仿宋" w:hAnsi="仿宋" w:eastAsia="仿宋" w:cs="仿宋_GB2312"/>
        </w:rPr>
      </w:pPr>
      <w:r>
        <w:rPr>
          <w:rFonts w:hint="eastAsia" w:ascii="仿宋" w:hAnsi="仿宋" w:eastAsia="仿宋" w:cs="仿宋_GB2312"/>
        </w:rPr>
        <w:t>9、吊挂紧固件应使用高强度M20螺栓和螺母；吊环连选用GB/T12718-91标准的φ18×64规格的高强度圆环链。</w:t>
      </w:r>
    </w:p>
    <w:p>
      <w:pPr>
        <w:pStyle w:val="2"/>
        <w:keepNext w:val="0"/>
        <w:keepLines w:val="0"/>
        <w:pageBreakBefore w:val="0"/>
        <w:kinsoku/>
        <w:wordWrap/>
        <w:overflowPunct/>
        <w:topLinePunct w:val="0"/>
        <w:bidi w:val="0"/>
        <w:snapToGrid w:val="0"/>
        <w:spacing w:line="360" w:lineRule="auto"/>
        <w:ind w:firstLine="480"/>
        <w:rPr>
          <w:rFonts w:ascii="仿宋" w:hAnsi="仿宋" w:eastAsia="仿宋" w:cs="仿宋_GB2312"/>
        </w:rPr>
      </w:pPr>
      <w:r>
        <w:rPr>
          <w:rFonts w:hint="eastAsia" w:ascii="仿宋" w:hAnsi="仿宋" w:eastAsia="仿宋" w:cs="仿宋_GB2312"/>
        </w:rPr>
        <w:t>10、电缆单轨吊梁安装必须保证轨道安装成一条线，无明显错岔；各滑轮小车、拉杆、电缆托架连接的定位销、螺栓、卸扣连接紧固。</w:t>
      </w:r>
    </w:p>
    <w:p>
      <w:pPr>
        <w:keepNext w:val="0"/>
        <w:keepLines w:val="0"/>
        <w:pageBreakBefore w:val="0"/>
        <w:kinsoku/>
        <w:wordWrap/>
        <w:overflowPunct/>
        <w:topLinePunct w:val="0"/>
        <w:bidi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十一、净化水、配比装置使用管理规定</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为保障综放工作面净化水及配比装置的正常运行，满足工作面乳化液泵站用水需求，特制定本规定。</w:t>
      </w:r>
    </w:p>
    <w:p>
      <w:pPr>
        <w:keepNext w:val="0"/>
        <w:keepLines w:val="0"/>
        <w:pageBreakBefore w:val="0"/>
        <w:kinsoku/>
        <w:wordWrap/>
        <w:overflowPunct/>
        <w:topLinePunct w:val="0"/>
        <w:bidi w:val="0"/>
        <w:snapToGrid w:val="0"/>
        <w:spacing w:line="360" w:lineRule="auto"/>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（一）设备名称及型号：</w:t>
      </w:r>
      <w:r>
        <w:rPr>
          <w:rFonts w:hint="eastAsia" w:ascii="仿宋" w:hAnsi="仿宋" w:eastAsia="仿宋" w:cs="仿宋"/>
          <w:color w:val="000000" w:themeColor="text1"/>
          <w:sz w:val="24"/>
          <w14:textFill>
            <w14:solidFill>
              <w14:schemeClr w14:val="tx1"/>
            </w14:solidFill>
          </w14:textFill>
        </w:rPr>
        <w:t>MK-RF-12T型矿用净化水装置。</w:t>
      </w:r>
    </w:p>
    <w:p>
      <w:pPr>
        <w:keepNext w:val="0"/>
        <w:keepLines w:val="0"/>
        <w:pageBreakBefore w:val="0"/>
        <w:kinsoku/>
        <w:wordWrap/>
        <w:overflowPunct/>
        <w:topLinePunct w:val="0"/>
        <w:bidi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（二）系统组成及作用：</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1、GLZ500/12.5 型进液过滤站部分：GLZ500/12.5 型进水过滤器主要用于乳化液自动配液装置的进水过滤，为乳化液自动配液装置提供清洁用水，保证其正常运行，延长使用寿命，提高生产效率。</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2、MK-RF-12T综采工作面净水处理站：针对井下用水的实际需要，通过使用过滤介质过滤水中存在的各种杂质生产出满足需要的洁净用水。</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3、PZR-12乳化液浓度配比装置：用于煤矿综采工作面乳化液泵站的乳化油与水的自动配制与充分混合</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GLZ1000/315/25JH进回液过滤站：进、回液过滤站的进液部分主要用于煤矿井下液压支架，作为泵站出口第一级过滤，来保护支架用阀，过滤精度25μm；回液部分主要用于煤矿井下液压支架，对工作面回液进行过滤，来保护整个液压系统，过滤精度25μm，适用于矿用乳化液介质。</w:t>
      </w:r>
    </w:p>
    <w:p>
      <w:pPr>
        <w:keepNext w:val="0"/>
        <w:keepLines w:val="0"/>
        <w:pageBreakBefore w:val="0"/>
        <w:kinsoku/>
        <w:wordWrap/>
        <w:overflowPunct/>
        <w:topLinePunct w:val="0"/>
        <w:bidi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（三）使用及维护：</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1、GLZ500/12.5 型进液过滤站部分</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（1）在日常使用过程中，由于环境和水质的不同，会造成进水过滤器滤网被污物堵塞而影响供水，因此必须经常清洗过滤网。</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（2）各种阀类如需进行清洗时，清洗后内腔表面均涂润滑脂后进行装配。</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（3）过滤器各部件发现锈点应清理干净。</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（4）过滤网损坏时应及时更换滤芯。</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（5）各种密封圈如发现有切断或损坏应调换新件。</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（6）各阀面如发现有损坏应修复或更换新件。</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2、MK-RF-12T综采工作面净水处理站</w:t>
      </w:r>
    </w:p>
    <w:p>
      <w:pPr>
        <w:keepNext w:val="0"/>
        <w:keepLines w:val="0"/>
        <w:pageBreakBefore w:val="0"/>
        <w:kinsoku/>
        <w:wordWrap/>
        <w:overflowPunct/>
        <w:topLinePunct w:val="0"/>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（1）当压差达到表24规定时，应及时更换对应的过滤介质。</w:t>
      </w:r>
    </w:p>
    <w:p>
      <w:pPr>
        <w:snapToGrid w:val="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表24：</w:t>
      </w:r>
    </w:p>
    <w:tbl>
      <w:tblPr>
        <w:tblStyle w:val="3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307"/>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Pr>
          <w:p>
            <w:pPr>
              <w:snapToGrid w:val="0"/>
              <w:spacing w:line="240" w:lineRule="auto"/>
              <w:ind w:firstLine="212" w:firstLineChars="10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序号</w:t>
            </w:r>
          </w:p>
        </w:tc>
        <w:tc>
          <w:tcPr>
            <w:tcW w:w="2307" w:type="dxa"/>
          </w:tcPr>
          <w:p>
            <w:pPr>
              <w:snapToGrid w:val="0"/>
              <w:spacing w:line="240" w:lineRule="auto"/>
              <w:ind w:firstLine="424"/>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压差计算方法</w:t>
            </w:r>
          </w:p>
        </w:tc>
        <w:tc>
          <w:tcPr>
            <w:tcW w:w="1704" w:type="dxa"/>
          </w:tcPr>
          <w:p>
            <w:pPr>
              <w:snapToGrid w:val="0"/>
              <w:spacing w:line="240" w:lineRule="auto"/>
              <w:ind w:firstLine="424"/>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一般限值</w:t>
            </w:r>
          </w:p>
        </w:tc>
        <w:tc>
          <w:tcPr>
            <w:tcW w:w="1705" w:type="dxa"/>
          </w:tcPr>
          <w:p>
            <w:pPr>
              <w:snapToGrid w:val="0"/>
              <w:spacing w:line="240" w:lineRule="auto"/>
              <w:ind w:firstLine="424"/>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最高限值</w:t>
            </w:r>
          </w:p>
        </w:tc>
        <w:tc>
          <w:tcPr>
            <w:tcW w:w="1705" w:type="dxa"/>
          </w:tcPr>
          <w:p>
            <w:pPr>
              <w:snapToGrid w:val="0"/>
              <w:spacing w:line="240" w:lineRule="auto"/>
              <w:ind w:firstLine="0" w:firstLineChars="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更换过滤介质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Pr>
          <w:p>
            <w:pPr>
              <w:snapToGrid w:val="0"/>
              <w:spacing w:line="240" w:lineRule="auto"/>
              <w:ind w:firstLine="424"/>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1</w:t>
            </w:r>
          </w:p>
        </w:tc>
        <w:tc>
          <w:tcPr>
            <w:tcW w:w="2307" w:type="dxa"/>
          </w:tcPr>
          <w:p>
            <w:pPr>
              <w:snapToGrid w:val="0"/>
              <w:spacing w:line="240" w:lineRule="auto"/>
              <w:ind w:firstLine="0" w:firstLineChars="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压力甲一减压力甲二</w:t>
            </w:r>
          </w:p>
        </w:tc>
        <w:tc>
          <w:tcPr>
            <w:tcW w:w="1704"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FB-62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Pr>
          <w:p>
            <w:pPr>
              <w:snapToGrid w:val="0"/>
              <w:spacing w:line="240" w:lineRule="auto"/>
              <w:ind w:firstLine="424"/>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2</w:t>
            </w:r>
          </w:p>
        </w:tc>
        <w:tc>
          <w:tcPr>
            <w:tcW w:w="2307" w:type="dxa"/>
          </w:tcPr>
          <w:p>
            <w:pPr>
              <w:snapToGrid w:val="0"/>
              <w:spacing w:line="240" w:lineRule="auto"/>
              <w:ind w:firstLine="0" w:firstLineChars="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压力甲二减压力甲三</w:t>
            </w:r>
          </w:p>
        </w:tc>
        <w:tc>
          <w:tcPr>
            <w:tcW w:w="1704"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FB-</w:t>
            </w:r>
            <w:r>
              <w:rPr>
                <w:rFonts w:hint="eastAsia" w:ascii="仿宋" w:hAnsi="仿宋" w:eastAsia="仿宋" w:cs="仿宋"/>
                <w:color w:val="000000" w:themeColor="text1"/>
                <w:szCs w:val="21"/>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Pr>
          <w:p>
            <w:pPr>
              <w:snapToGrid w:val="0"/>
              <w:spacing w:line="240" w:lineRule="auto"/>
              <w:ind w:firstLine="424"/>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3</w:t>
            </w:r>
          </w:p>
        </w:tc>
        <w:tc>
          <w:tcPr>
            <w:tcW w:w="2307" w:type="dxa"/>
          </w:tcPr>
          <w:p>
            <w:pPr>
              <w:snapToGrid w:val="0"/>
              <w:spacing w:line="240" w:lineRule="auto"/>
              <w:ind w:firstLine="0" w:firstLineChars="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压力甲三减压力甲四</w:t>
            </w:r>
          </w:p>
        </w:tc>
        <w:tc>
          <w:tcPr>
            <w:tcW w:w="1704"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FB-</w:t>
            </w:r>
            <w:r>
              <w:rPr>
                <w:rFonts w:hint="eastAsia" w:ascii="仿宋" w:hAnsi="仿宋" w:eastAsia="仿宋" w:cs="仿宋"/>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Pr>
          <w:p>
            <w:pPr>
              <w:snapToGrid w:val="0"/>
              <w:spacing w:line="240" w:lineRule="auto"/>
              <w:ind w:firstLine="424"/>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4</w:t>
            </w:r>
          </w:p>
        </w:tc>
        <w:tc>
          <w:tcPr>
            <w:tcW w:w="2307" w:type="dxa"/>
          </w:tcPr>
          <w:p>
            <w:pPr>
              <w:snapToGrid w:val="0"/>
              <w:spacing w:line="240" w:lineRule="auto"/>
              <w:ind w:firstLine="0" w:firstLineChars="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压力乙一减压力乙二</w:t>
            </w:r>
          </w:p>
        </w:tc>
        <w:tc>
          <w:tcPr>
            <w:tcW w:w="1704"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FB-62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Pr>
          <w:p>
            <w:pPr>
              <w:snapToGrid w:val="0"/>
              <w:spacing w:line="240" w:lineRule="auto"/>
              <w:ind w:firstLine="424"/>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5</w:t>
            </w:r>
          </w:p>
        </w:tc>
        <w:tc>
          <w:tcPr>
            <w:tcW w:w="2307" w:type="dxa"/>
          </w:tcPr>
          <w:p>
            <w:pPr>
              <w:snapToGrid w:val="0"/>
              <w:spacing w:line="240" w:lineRule="auto"/>
              <w:ind w:firstLine="0" w:firstLineChars="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压力乙二减压力乙三</w:t>
            </w:r>
          </w:p>
        </w:tc>
        <w:tc>
          <w:tcPr>
            <w:tcW w:w="1704"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FB-</w:t>
            </w:r>
            <w:r>
              <w:rPr>
                <w:rFonts w:hint="eastAsia" w:ascii="仿宋" w:hAnsi="仿宋" w:eastAsia="仿宋" w:cs="仿宋"/>
                <w:color w:val="000000" w:themeColor="text1"/>
                <w:szCs w:val="21"/>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Pr>
          <w:p>
            <w:pPr>
              <w:snapToGrid w:val="0"/>
              <w:spacing w:line="240" w:lineRule="auto"/>
              <w:ind w:firstLine="424"/>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pacing w:val="1"/>
                <w:szCs w:val="21"/>
                <w14:textFill>
                  <w14:solidFill>
                    <w14:schemeClr w14:val="tx1"/>
                  </w14:solidFill>
                </w14:textFill>
              </w:rPr>
              <w:t>6</w:t>
            </w:r>
          </w:p>
        </w:tc>
        <w:tc>
          <w:tcPr>
            <w:tcW w:w="2307" w:type="dxa"/>
          </w:tcPr>
          <w:p>
            <w:pPr>
              <w:snapToGrid w:val="0"/>
              <w:spacing w:line="240" w:lineRule="auto"/>
              <w:ind w:firstLine="0" w:firstLineChars="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压力乙三减压力乙四</w:t>
            </w:r>
          </w:p>
        </w:tc>
        <w:tc>
          <w:tcPr>
            <w:tcW w:w="1704"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≤0.05MPa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≤0.10MPa</w:t>
            </w:r>
          </w:p>
        </w:tc>
        <w:tc>
          <w:tcPr>
            <w:tcW w:w="1705" w:type="dxa"/>
          </w:tcPr>
          <w:p>
            <w:pPr>
              <w:snapToGrid w:val="0"/>
              <w:spacing w:line="240" w:lineRule="auto"/>
              <w:ind w:firstLine="420"/>
              <w:jc w:val="left"/>
              <w:rPr>
                <w:rFonts w:ascii="仿宋" w:hAnsi="仿宋" w:eastAsia="仿宋" w:cs="仿宋"/>
                <w:color w:val="000000" w:themeColor="text1"/>
                <w:spacing w:val="1"/>
                <w:szCs w:val="21"/>
                <w14:textFill>
                  <w14:solidFill>
                    <w14:schemeClr w14:val="tx1"/>
                  </w14:solidFill>
                </w14:textFill>
              </w:rPr>
            </w:pPr>
            <w:r>
              <w:rPr>
                <w:rFonts w:hint="eastAsia" w:ascii="仿宋" w:hAnsi="仿宋" w:eastAsia="仿宋" w:cs="仿宋"/>
                <w:color w:val="000000" w:themeColor="text1"/>
                <w:szCs w:val="21"/>
                <w:lang w:eastAsia="en-US"/>
                <w14:textFill>
                  <w14:solidFill>
                    <w14:schemeClr w14:val="tx1"/>
                  </w14:solidFill>
                </w14:textFill>
              </w:rPr>
              <w:t>FB-</w:t>
            </w:r>
            <w:r>
              <w:rPr>
                <w:rFonts w:hint="eastAsia" w:ascii="仿宋" w:hAnsi="仿宋" w:eastAsia="仿宋" w:cs="仿宋"/>
                <w:color w:val="000000" w:themeColor="text1"/>
                <w:szCs w:val="21"/>
                <w14:textFill>
                  <w14:solidFill>
                    <w14:schemeClr w14:val="tx1"/>
                  </w14:solidFill>
                </w14:textFill>
              </w:rPr>
              <w:t>12</w:t>
            </w:r>
          </w:p>
        </w:tc>
      </w:tr>
    </w:tbl>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遇到检修或更换工作面等情况，需要停止运行5天以上，1-2个月以下，必须对MK-RF型综采乳化液配水处理成套设备进行长期停运保存。长期停运保存操作需要经培训合格的人员现场指导，不得自行操作。保存期间成套设备应该至于阴凉通风处，保证系统温度在5-35℃之间，每月更换一次保存液。</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（3）由于离子截留介质的特殊性，间歇性的运行、保存会对膜性能产生不良的影响，因此上述保存方法在1-2个月内甚至3个月内是安全有效的。</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3、PZR-12乳化液浓度配比装置</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（1）自动配比装置与乳化液液箱之间的距离在3米以内，并且登高。</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（2）使用胶管将配比装置出液口与乳化液液箱连接。管路布置时应避免弯曲，管路走向高度保持与乳化液液箱登高，且管路长度不要超过3米。</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设备安装完毕试车前，必须先先增压泵内灌引水，否则不能开泵运转，否则泵内空气未排出极易造成泵的磨损或损坏。灌引水前，先打开进水管路总阀和配液手动阀，然后拧开管路增压泵的放气螺塞，若进水口有压力或进水口液位比泵高，则无需通过注水接头向泵内灌引水，否则必须通过注水接头向泵内灌引水，待引水灌满后，拧紧放气螺塞。</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（4）在初次使用阶段，应注意检查各连接部位有无漏液，流量表是否完好等。确认无异常情况，方可投入使用。</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（5）液位传感器安装使用时应保护好检测传感器，不能用力碰撞传感器前端的探头部分。</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（6）乳化油箱吸油口装有自封式吸油过滤器，使用一段时间后（时间间隔视乳化油的清洁程度而定）吸油过滤器履行必须拆下来清洗，否则过滤器堵塞会影响乳化液配比浓度。</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4、GLZ1000/315/25JH进回液过滤站</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（1）严禁将两种乳化液混合使用，发生化学反应造成粘结，容易造成过滤站滤芯堵塞，如确实需要更换乳化液，应采取相关措施，避免不同液体相混。</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（2）进液部分：当进、出液压力差大于1MPa时，分别逆时针旋转反冲洗手轮即可实现反冲，反冲结束后顺时针旋转手轮，反冲结束。</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（3）过滤网的堵塞程度取决于过滤液的污染情况。由于各个系统的污染情况不同，反流冲洗的时间间隔要根据具体情况而定，建议每班冲洗一次。</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（4）第一次使用及场均不使用后，当要开启使用时，应首先打开绿通上面的排污阀，从出液口供液，堵住其它所有扣。以此彻底反冲洗排污方式，排除长时间不用产生的赃物，去报内部干净后再投入使用。</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（5）回液部分：经常观察注意滤芯堵塞情况，当堵塞指示针处于红色位置时说明滤芯堵塞严重，比例立即更换堵塞的滤芯。更换下来的滤芯经清洗、检验合格后，方可作为备件继续使用。</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（6）定期将滤通底部的污染物排除，有利于提高滤芯的使用寿命。</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大修时，拆卸的零件首先进行清洗，通过目测检查零件是否损坏，剔除损坏零件；密封件要求全部更换。维修后的阀必须重新进行密封和性能实验，合格后方可下井使用。通液26万立方米或6个月后，必须更换滤芯。滤筒、进出液接口组件等结构件应定期检查，出现锈蚀应及时更换或做防锈处理。</w:t>
      </w:r>
    </w:p>
    <w:p>
      <w:pPr>
        <w:keepNext w:val="0"/>
        <w:keepLines w:val="0"/>
        <w:pageBreakBefore w:val="0"/>
        <w:widowControl w:val="0"/>
        <w:kinsoku/>
        <w:wordWrap/>
        <w:overflowPunct/>
        <w:topLinePunct w:val="0"/>
        <w:autoSpaceDE/>
        <w:autoSpaceDN/>
        <w:bidi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（四）高压供液安全事项</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1、工作面使用的高压液管必须全部符合质量标准，定期检查高压液管和接头，发现隐患，及时处理。</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2、工作面支架工在拉完支架后，必须检查支架间高低压液管的接头销子，发现有松动不紧的，及时处理。</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3、泵站压力必须严格控制在31.5MPa,不准任意加大泵站压力。</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4、乳化液泵的安全阀、压力表，泵头安全阀必须处于完好状态，否则不得开泵。</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5、支架上的高压液管接头必须用与之相适应的U形卡，不得用铁丝代替;U形卡必须双腿都插在接头上，不得单腿使用。</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6、拆卸高压管和液压元件时，必须先关闭截止阀，然后释放残压，最后才能拆卸，严禁带压拆卸。</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7、正确使用支架上各类安全阀，对失效的安全阀要及时更换。</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8、检修支架管路时，必须将检修支架的截止阀关闭。</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9、不得用高压管冲洗设备、物品、浮煤。</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10、工作面人员不准坐或站在使用的高压管上，远距离供液的液压枪在使用时要通知高压液管附近的人员躲开，防止供液时管子弹跳伤人。</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11、要对高压液管进行捆绑，避免由于管头脱落甩出伤人，并对捆绑情况进行定期检查和修复。</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12、当工作面人员要求停泵更换密封或更换液管时，乳化液泵要求谁停谁开，防止由于误开泵伤人。</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13、拉机头、机尾支架时必须采取先拉端头支架，再拉过渡支架，最后拉工作面支架的方法，防止拉断高压液管。</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（五）水处理装置使用管理规定</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健全抽检机制，采煤副矿长、采煤副总、水处理装置使用单位应对水处理装备使用情况、乳化油（浓缩液）浓度等进行抽查，明确各级管技岗位人员抽检频率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其中采煤副矿长、采煤副总每月不少于</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次。</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 xml:space="preserve">液压支架井下安装、使用、拆除过程中，必须配备水处理装置，并服务于液压支架全生命周期。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3、水</w:t>
      </w:r>
      <w:r>
        <w:rPr>
          <w:rFonts w:hint="eastAsia" w:ascii="仿宋" w:hAnsi="仿宋" w:eastAsia="仿宋" w:cs="仿宋"/>
          <w:color w:val="000000" w:themeColor="text1"/>
          <w:sz w:val="24"/>
          <w:szCs w:val="24"/>
          <w14:textFill>
            <w14:solidFill>
              <w14:schemeClr w14:val="tx1"/>
            </w14:solidFill>
          </w14:textFill>
        </w:rPr>
        <w:t>处理</w:t>
      </w:r>
      <w:r>
        <w:rPr>
          <w:rFonts w:hint="eastAsia" w:ascii="仿宋" w:hAnsi="仿宋" w:eastAsia="仿宋" w:cs="仿宋"/>
          <w:color w:val="000000" w:themeColor="text1"/>
          <w:sz w:val="24"/>
          <w:szCs w:val="24"/>
          <w:lang w:val="en-US" w:eastAsia="zh-CN"/>
          <w14:textFill>
            <w14:solidFill>
              <w14:schemeClr w14:val="tx1"/>
            </w14:solidFill>
          </w14:textFill>
        </w:rPr>
        <w:t>装置</w:t>
      </w:r>
      <w:r>
        <w:rPr>
          <w:rFonts w:hint="eastAsia" w:ascii="仿宋" w:hAnsi="仿宋" w:eastAsia="仿宋" w:cs="仿宋"/>
          <w:color w:val="000000" w:themeColor="text1"/>
          <w:sz w:val="24"/>
          <w:szCs w:val="24"/>
          <w14:textFill>
            <w14:solidFill>
              <w14:schemeClr w14:val="tx1"/>
            </w14:solidFill>
          </w14:textFill>
        </w:rPr>
        <w:t xml:space="preserve">包括进液过滤站、净水处理站、 高压反冲洗过滤站、回液过滤站及喷雾泵站配备进液过滤站。所有装备必须正规使用，严禁私自拆除或停用。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4、水</w:t>
      </w:r>
      <w:r>
        <w:rPr>
          <w:rFonts w:hint="eastAsia" w:ascii="仿宋" w:hAnsi="仿宋" w:eastAsia="仿宋" w:cs="仿宋"/>
          <w:color w:val="000000" w:themeColor="text1"/>
          <w:sz w:val="24"/>
          <w:szCs w:val="24"/>
          <w14:textFill>
            <w14:solidFill>
              <w14:schemeClr w14:val="tx1"/>
            </w14:solidFill>
          </w14:textFill>
        </w:rPr>
        <w:t>处理</w:t>
      </w:r>
      <w:r>
        <w:rPr>
          <w:rFonts w:hint="eastAsia" w:ascii="仿宋" w:hAnsi="仿宋" w:eastAsia="仿宋" w:cs="仿宋"/>
          <w:color w:val="000000" w:themeColor="text1"/>
          <w:sz w:val="24"/>
          <w:szCs w:val="24"/>
          <w:lang w:val="en-US" w:eastAsia="zh-CN"/>
          <w14:textFill>
            <w14:solidFill>
              <w14:schemeClr w14:val="tx1"/>
            </w14:solidFill>
          </w14:textFill>
        </w:rPr>
        <w:t>装置</w:t>
      </w:r>
      <w:r>
        <w:rPr>
          <w:rFonts w:hint="eastAsia" w:ascii="仿宋" w:hAnsi="仿宋" w:eastAsia="仿宋" w:cs="仿宋"/>
          <w:color w:val="000000" w:themeColor="text1"/>
          <w:sz w:val="24"/>
          <w:szCs w:val="24"/>
          <w14:textFill>
            <w14:solidFill>
              <w14:schemeClr w14:val="tx1"/>
            </w14:solidFill>
          </w14:textFill>
        </w:rPr>
        <w:t xml:space="preserve">进水过滤器、回液过滤器应每周打开冲洗一次，根据水质情况可延长或缩短清洗周期。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乳化泵泵箱、水处理装置清水箱应密闭管理，</w:t>
      </w:r>
      <w:r>
        <w:rPr>
          <w:rFonts w:hint="eastAsia" w:ascii="仿宋" w:hAnsi="仿宋" w:eastAsia="仿宋" w:cs="仿宋"/>
          <w:color w:val="000000" w:themeColor="text1"/>
          <w:sz w:val="24"/>
          <w:szCs w:val="24"/>
          <w:lang w:val="en-US" w:eastAsia="zh-CN"/>
          <w14:textFill>
            <w14:solidFill>
              <w14:schemeClr w14:val="tx1"/>
            </w14:solidFill>
          </w14:textFill>
        </w:rPr>
        <w:t>每周</w:t>
      </w:r>
      <w:r>
        <w:rPr>
          <w:rFonts w:hint="eastAsia" w:ascii="仿宋" w:hAnsi="仿宋" w:eastAsia="仿宋" w:cs="仿宋"/>
          <w:color w:val="000000" w:themeColor="text1"/>
          <w:sz w:val="24"/>
          <w:szCs w:val="24"/>
          <w14:textFill>
            <w14:solidFill>
              <w14:schemeClr w14:val="tx1"/>
            </w14:solidFill>
          </w14:textFill>
        </w:rPr>
        <w:t>清洗</w:t>
      </w:r>
      <w:r>
        <w:rPr>
          <w:rFonts w:hint="eastAsia" w:ascii="仿宋" w:hAnsi="仿宋" w:eastAsia="仿宋" w:cs="仿宋"/>
          <w:color w:val="000000" w:themeColor="text1"/>
          <w:sz w:val="24"/>
          <w:szCs w:val="24"/>
          <w:lang w:val="en-US" w:eastAsia="zh-CN"/>
          <w14:textFill>
            <w14:solidFill>
              <w14:schemeClr w14:val="tx1"/>
            </w14:solidFill>
          </w14:textFill>
        </w:rPr>
        <w:t>一次</w:t>
      </w:r>
      <w:r>
        <w:rPr>
          <w:rFonts w:hint="eastAsia" w:ascii="仿宋" w:hAnsi="仿宋" w:eastAsia="仿宋" w:cs="仿宋"/>
          <w:color w:val="000000" w:themeColor="text1"/>
          <w:sz w:val="24"/>
          <w:szCs w:val="24"/>
          <w14:textFill>
            <w14:solidFill>
              <w14:schemeClr w14:val="tx1"/>
            </w14:solidFill>
          </w14:textFill>
        </w:rPr>
        <w:t xml:space="preserve">，保证箱壁无污垢，水体无漂浮异物或沉淀物。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水处理装置处理后的污水可收集再利用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但不得用于供液水、喷雾水等对水质要求较高的用途。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应严控源水质量，加强采煤工作面供液系统源水水质管理，源水应无色、无异味、无悬浮物和机械杂质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井下取水时需在水处理装备前端增设粗过滤装置；地表取水时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水源需在地面沉淀池处理后方可入井。进液过滤器前端加装放液三通，泵站司机应确认水质清澈后再向水处理装置供水。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应保证水软化效果，经软化处理后的水质技术指标符合 MT76-2011《液压支架（柱）用乳化油、浓缩液及高含水液压液》标准及乳化油（浓缩液）供应厂家所提供技术要求（净化水参考指标为 PH 值=6.0～9，钙镁离子≦98mg/L，硫酸根≦400mg/L，氯离子≦200mg/L，溶解性总固体≦800mg/L</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浊度≦5NTU，总硬度≦200ppm，电导率≦100μS/cm；进液水及回液水参考指标为PH值=6.0～9.0，钙镁离子≦98mg/L，硫酸根≦400mg/L，氯离子≦200mg/L，总硬度≦500ppm）。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应严格水处理耗材投入</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根据源水水质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结合实际使用需求，确定各项耗材吨煤参考指标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建立水处理装备配件及耗材使用考核办法，建立耗材更换台账，实行领新交旧</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确保更换到位</w:t>
      </w:r>
      <w:r>
        <w:rPr>
          <w:rFonts w:hint="eastAsia" w:ascii="仿宋" w:hAnsi="仿宋" w:eastAsia="仿宋" w:cs="仿宋"/>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水质取样应符合下列规定：</w:t>
      </w:r>
      <w:r>
        <w:rPr>
          <w:rFonts w:hint="eastAsia" w:ascii="仿宋" w:hAnsi="仿宋" w:eastAsia="仿宋" w:cs="仿宋"/>
          <w:color w:val="000000" w:themeColor="text1"/>
          <w:sz w:val="24"/>
          <w:szCs w:val="24"/>
          <w:lang w:val="en-US" w:eastAsia="zh-CN"/>
          <w14:textFill>
            <w14:solidFill>
              <w14:schemeClr w14:val="tx1"/>
            </w14:solidFill>
          </w14:textFill>
        </w:rPr>
        <w:t>①</w:t>
      </w:r>
      <w:r>
        <w:rPr>
          <w:rFonts w:hint="eastAsia" w:ascii="仿宋" w:hAnsi="仿宋" w:eastAsia="仿宋" w:cs="仿宋"/>
          <w:color w:val="000000" w:themeColor="text1"/>
          <w:sz w:val="24"/>
          <w:szCs w:val="24"/>
          <w14:textFill>
            <w14:solidFill>
              <w14:schemeClr w14:val="tx1"/>
            </w14:solidFill>
          </w14:textFill>
        </w:rPr>
        <w:t>每旬对“四项”水（源水、净化水、进液水、回液水） 分别进行取样化验，矿井不具备化验能力的，可委托第三方化验。</w:t>
      </w:r>
      <w:r>
        <w:rPr>
          <w:rFonts w:hint="eastAsia" w:ascii="仿宋" w:hAnsi="仿宋" w:eastAsia="仿宋" w:cs="仿宋"/>
          <w:color w:val="000000" w:themeColor="text1"/>
          <w:sz w:val="24"/>
          <w:szCs w:val="24"/>
          <w:lang w:val="en-US" w:eastAsia="zh-CN"/>
          <w14:textFill>
            <w14:solidFill>
              <w14:schemeClr w14:val="tx1"/>
            </w14:solidFill>
          </w14:textFill>
        </w:rPr>
        <w:t>②</w:t>
      </w:r>
      <w:r>
        <w:rPr>
          <w:rFonts w:hint="eastAsia" w:ascii="仿宋" w:hAnsi="仿宋" w:eastAsia="仿宋" w:cs="仿宋"/>
          <w:color w:val="000000" w:themeColor="text1"/>
          <w:sz w:val="24"/>
          <w:szCs w:val="24"/>
          <w14:textFill>
            <w14:solidFill>
              <w14:schemeClr w14:val="tx1"/>
            </w14:solidFill>
          </w14:textFill>
        </w:rPr>
        <w:t>水质取样使用专用水样桶，每次取样不少于2L，取样前将水样桶清洗干净，取样后立即封闭，并填贴标签，标签填写取样时间、取样地点、取样人、取样单位、取样类别等信息。</w:t>
      </w:r>
      <w:r>
        <w:rPr>
          <w:rFonts w:hint="eastAsia" w:ascii="仿宋" w:hAnsi="仿宋" w:eastAsia="仿宋" w:cs="仿宋"/>
          <w:color w:val="000000" w:themeColor="text1"/>
          <w:sz w:val="24"/>
          <w:szCs w:val="24"/>
          <w:lang w:val="en-US" w:eastAsia="zh-CN"/>
          <w14:textFill>
            <w14:solidFill>
              <w14:schemeClr w14:val="tx1"/>
            </w14:solidFill>
          </w14:textFill>
        </w:rPr>
        <w:t>③</w:t>
      </w:r>
      <w:r>
        <w:rPr>
          <w:rFonts w:hint="eastAsia" w:ascii="仿宋" w:hAnsi="仿宋" w:eastAsia="仿宋" w:cs="仿宋"/>
          <w:color w:val="000000" w:themeColor="text1"/>
          <w:sz w:val="24"/>
          <w:szCs w:val="24"/>
          <w14:textFill>
            <w14:solidFill>
              <w14:schemeClr w14:val="tx1"/>
            </w14:solidFill>
          </w14:textFill>
        </w:rPr>
        <w:t>源水取自水处理装备进液过滤站前端，净化水取自净化水箱，进液水取自自动配比装置出液口，回液水取自回液过滤站前端。</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11、</w:t>
      </w:r>
      <w:r>
        <w:rPr>
          <w:rFonts w:hint="eastAsia" w:ascii="仿宋" w:hAnsi="仿宋" w:eastAsia="仿宋" w:cs="仿宋"/>
          <w:color w:val="000000" w:themeColor="text1"/>
          <w:sz w:val="24"/>
          <w:szCs w:val="24"/>
          <w14:textFill>
            <w14:solidFill>
              <w14:schemeClr w14:val="tx1"/>
            </w14:solidFill>
          </w14:textFill>
        </w:rPr>
        <w:t>应对水质化验结果及水处理耗材使用情况及时分析</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①</w:t>
      </w:r>
      <w:r>
        <w:rPr>
          <w:rFonts w:hint="eastAsia" w:ascii="仿宋" w:hAnsi="仿宋" w:eastAsia="仿宋" w:cs="仿宋"/>
          <w:color w:val="000000" w:themeColor="text1"/>
          <w:sz w:val="24"/>
          <w:szCs w:val="24"/>
          <w14:textFill>
            <w14:solidFill>
              <w14:schemeClr w14:val="tx1"/>
            </w14:solidFill>
          </w14:textFill>
        </w:rPr>
        <w:t>根据“四项”水质化验结果，掌握水质变化动态，分析水质变化原因。对于水质化验结果不达标、进液水与回液水指标差值明显异常等情况，应增加化验频率，每</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天化验</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次，并对异常原因进行深入分析，采取可行性措施，直至水质恢复正常。</w:t>
      </w:r>
      <w:r>
        <w:rPr>
          <w:rFonts w:hint="eastAsia" w:ascii="仿宋" w:hAnsi="仿宋" w:eastAsia="仿宋" w:cs="仿宋"/>
          <w:color w:val="000000" w:themeColor="text1"/>
          <w:sz w:val="24"/>
          <w:szCs w:val="24"/>
          <w:lang w:val="en-US" w:eastAsia="zh-CN"/>
          <w14:textFill>
            <w14:solidFill>
              <w14:schemeClr w14:val="tx1"/>
            </w14:solidFill>
          </w14:textFill>
        </w:rPr>
        <w:t>②</w:t>
      </w:r>
      <w:r>
        <w:rPr>
          <w:rFonts w:hint="eastAsia" w:ascii="仿宋" w:hAnsi="仿宋" w:eastAsia="仿宋" w:cs="仿宋"/>
          <w:color w:val="000000" w:themeColor="text1"/>
          <w:sz w:val="24"/>
          <w:szCs w:val="24"/>
          <w14:textFill>
            <w14:solidFill>
              <w14:schemeClr w14:val="tx1"/>
            </w14:solidFill>
          </w14:textFill>
        </w:rPr>
        <w:t>根据月度各项水处理耗材使用量，掌握水处理耗材吨耗情况，分析当月耗材用量是否在合理范围。</w:t>
      </w:r>
      <w:r>
        <w:rPr>
          <w:rFonts w:hint="eastAsia" w:ascii="仿宋" w:hAnsi="仿宋" w:eastAsia="仿宋" w:cs="仿宋"/>
          <w:color w:val="000000" w:themeColor="text1"/>
          <w:sz w:val="24"/>
          <w:szCs w:val="24"/>
          <w:lang w:val="en-US" w:eastAsia="zh-CN"/>
          <w14:textFill>
            <w14:solidFill>
              <w14:schemeClr w14:val="tx1"/>
            </w14:solidFill>
          </w14:textFill>
        </w:rPr>
        <w:t>③</w:t>
      </w:r>
      <w:r>
        <w:rPr>
          <w:rFonts w:hint="eastAsia" w:ascii="仿宋" w:hAnsi="仿宋" w:eastAsia="仿宋" w:cs="仿宋"/>
          <w:color w:val="000000" w:themeColor="text1"/>
          <w:sz w:val="24"/>
          <w:szCs w:val="24"/>
          <w14:textFill>
            <w14:solidFill>
              <w14:schemeClr w14:val="tx1"/>
            </w14:solidFill>
          </w14:textFill>
        </w:rPr>
        <w:t>每月形成水质化验报表及分析报告、水处理耗材更换台账及分析报告，经采煤副矿长签字后报集团公司生产技术部。</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12、水处理装置耗材更换周期规定：①滤袋1，型号MK-FB-62，标准4件，更换周期15天；②滤袋2，型号MK-FB-24，标准2件，更换周期15天；③滤棒，型号MK-FB-12，标准30只，更换周期60天；④离子膜芯，型号MK-BW-30365，标准3件，更换周期90天；⑤滤芯组件（一级过滤），型号QYGL-120/60DX，标准7各，更换周期180天；⑥滤芯，型号QYGL-40/10，标准7件，更换周期90天</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仿宋" w:hAnsi="仿宋" w:eastAsia="仿宋" w:cs="仿宋"/>
          <w:b/>
          <w:color w:val="000000" w:themeColor="text1"/>
          <w:sz w:val="24"/>
          <w14:textFill>
            <w14:solidFill>
              <w14:schemeClr w14:val="tx1"/>
            </w14:solidFill>
          </w14:textFill>
        </w:rPr>
      </w:pPr>
      <w:bookmarkStart w:id="360" w:name="_Toc5667_WPSOffice_Level2"/>
      <w:bookmarkStart w:id="361" w:name="_Toc521530636"/>
      <w:bookmarkStart w:id="362" w:name="_Toc8105"/>
      <w:bookmarkStart w:id="363" w:name="_Toc30816_WPSOffice_Level2"/>
      <w:bookmarkStart w:id="364" w:name="_Toc521530695"/>
      <w:bookmarkStart w:id="365" w:name="_Toc521530986"/>
      <w:bookmarkStart w:id="366" w:name="_Toc521531555"/>
      <w:r>
        <w:rPr>
          <w:rFonts w:hint="eastAsia" w:ascii="仿宋" w:hAnsi="仿宋" w:eastAsia="仿宋" w:cs="仿宋"/>
          <w:b/>
          <w:color w:val="000000" w:themeColor="text1"/>
          <w:sz w:val="24"/>
          <w14:textFill>
            <w14:solidFill>
              <w14:schemeClr w14:val="tx1"/>
            </w14:solidFill>
          </w14:textFill>
        </w:rPr>
        <w:t>十二、单元支架移架操作安全技术措施</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（一）单元支架移架操作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单元支架移架方式：循环式移架</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循环式移架流程为：降架→末架直接由队尾移至排头→升架。</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采用由里向外循环移架的方式进行移架，将最后一架单元支架直接移至巷道单元支架最外端进行支护，主要工作流程为：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作业前安全确认→降架→支架横向出位→支架走向牵引至指定位置→支架横向就位→通液并升架支护</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降架</w:t>
      </w:r>
    </w:p>
    <w:p>
      <w:pPr>
        <w:pStyle w:val="12"/>
        <w:keepNext w:val="0"/>
        <w:keepLines w:val="0"/>
        <w:pageBreakBefore w:val="0"/>
        <w:widowControl w:val="0"/>
        <w:kinsoku/>
        <w:wordWrap/>
        <w:overflowPunct/>
        <w:topLinePunct w:val="0"/>
        <w:autoSpaceDE/>
        <w:autoSpaceDN/>
        <w:bidi w:val="0"/>
        <w:snapToGrid w:val="0"/>
        <w:spacing w:after="0" w:line="360" w:lineRule="auto"/>
        <w:ind w:firstLine="480"/>
        <w:rPr>
          <w:rFonts w:ascii="仿宋_GB2312" w:hAnsi="仿宋_GB2312" w:cs="仿宋_GB2312"/>
          <w:color w:val="000000" w:themeColor="text1"/>
          <w:sz w:val="24"/>
          <w14:textFill>
            <w14:solidFill>
              <w14:schemeClr w14:val="tx1"/>
            </w14:solidFill>
          </w14:textFill>
        </w:rPr>
      </w:pPr>
      <w:r>
        <w:rPr>
          <w:rFonts w:hint="eastAsia" w:ascii="仿宋_GB2312" w:hAnsi="仿宋_GB2312" w:cs="仿宋_GB2312"/>
          <w:color w:val="000000" w:themeColor="text1"/>
          <w:sz w:val="24"/>
          <w14:textFill>
            <w14:solidFill>
              <w14:schemeClr w14:val="tx1"/>
            </w14:solidFill>
          </w14:textFill>
        </w:rPr>
        <w:t>自降架开始至支架就位结束全过程中，在操作的支架前后各3m外安排专人设置警戒，防止人员进入影响区域。</w:t>
      </w:r>
    </w:p>
    <w:p>
      <w:pPr>
        <w:pStyle w:val="12"/>
        <w:keepNext w:val="0"/>
        <w:keepLines w:val="0"/>
        <w:pageBreakBefore w:val="0"/>
        <w:widowControl w:val="0"/>
        <w:kinsoku/>
        <w:wordWrap/>
        <w:overflowPunct/>
        <w:topLinePunct w:val="0"/>
        <w:autoSpaceDE/>
        <w:autoSpaceDN/>
        <w:bidi w:val="0"/>
        <w:snapToGrid w:val="0"/>
        <w:spacing w:after="0"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降架前，先拆除单元式支架的主进回液管路。然后单独待给降架的单元式支架供液，操作待移单元支架的立柱手把，将支架底防倒侧板打开支撑两侧底板，并于支架就近帮（顶）部锚杆（索）使用5T拉葫链条或Φ14×85mm链条一端固定，另一端链条固定在单元支架顶梁的起吊环上，</w:t>
      </w:r>
      <w:r>
        <w:rPr>
          <w:rFonts w:hint="eastAsia" w:ascii="仿宋_GB2312" w:hAnsi="仿宋_GB2312" w:cs="仿宋_GB2312"/>
          <w:color w:val="000000" w:themeColor="text1"/>
          <w:sz w:val="24"/>
          <w14:textFill>
            <w14:solidFill>
              <w14:schemeClr w14:val="tx1"/>
            </w14:solidFill>
          </w14:textFill>
        </w:rPr>
        <w:t>带紧拉葫链条。随着降架及时松拉葫链条，确保链条松紧合适。</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缓慢供液将单元支架的立柱活柱行程缩小，使单元支架的顶梁与顶板分离，直至将单元支架降至最低高度，然后在确认防倒措施固定合格后将支架底防倒侧板收回，操作手把回至零位，降架前要确认顶板情况，在顶板无异常后方可继续降架。</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2、支架出位</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（1）出位方式：采用气动单轨吊上的风动葫芦，实行远距离操作，将支架牵移至巷道中心，期间支架防倒措施与降架时采取方式相同。</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（2）连接方式：拉移支架前，单轨吊上的风动葫芦的钩头与单元支架顶梁上起吊环连接,连接生根点牢固可靠。</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（3）设置警戒：在待移支架前后各3m外安排专人设置警戒，防止人员进入支架出位影响区域。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横移出位：拉移支架时，首先使用风动葫芦钩头固定好单元支架并带上劲，人工使用一个5吨手动拉葫在3m以外的安全地方操作将支架向巷中拉移，移动出位过程中，风动葫芦始终保持带紧状态防止支架歪倒。</w:t>
      </w:r>
      <w:r>
        <w:rPr>
          <w:rFonts w:hint="eastAsia" w:ascii="仿宋" w:hAnsi="仿宋" w:eastAsia="仿宋" w:cs="仿宋"/>
          <w:b/>
          <w:bCs/>
          <w:color w:val="000000" w:themeColor="text1"/>
          <w:kern w:val="0"/>
          <w:sz w:val="24"/>
          <w:lang w:val="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3、支架牵引</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（1）牵引方式：采用气动单轨吊将单元支架吊起并沿巷道向外挪移支架。</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连接方式：采用风动葫芦上的挂钩通过链条与单元支架底座连接，风动葫芦必须使用起吊重量不低于单元支架重量的卸扣固定在单轨吊上，为防止移动过程中歪倒，使用链条捆绑支架顶梁后固定在单轨吊跑车上，必须保证连接安全可靠。</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（3）设置警戒：在单元支架需要就位的地点10m以外安排专人设置警戒，防止人员进入支架挪移区域。</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B0F0"/>
          <w:sz w:val="24"/>
        </w:rPr>
      </w:pPr>
      <w:r>
        <w:rPr>
          <w:rFonts w:hint="eastAsia" w:ascii="仿宋" w:hAnsi="仿宋" w:eastAsia="仿宋" w:cs="仿宋"/>
          <w:color w:val="000000" w:themeColor="text1"/>
          <w:sz w:val="24"/>
          <w14:textFill>
            <w14:solidFill>
              <w14:schemeClr w14:val="tx1"/>
            </w14:solidFill>
          </w14:textFill>
        </w:rPr>
        <w:t>（4）走向移架：采用远距离操作气动单轨吊缓慢匀速沿巷道向外挪移单元支架。先将单元支架降至最低高度，降低支架的重心高度，然后将单轨吊起吊钩头与单元支架的起吊链相连接，之后将支架吊起以脱离底板为准，且最小吊起高度不得大于0.2m。若遇到巷道高度不足等特殊情况时，为保证安全运输单元支架，采取单元支架拖地移动方式运输，缓慢操作单轨吊，做到缓慢拉移单元支架，运输单元支架期间严禁强拉硬拽，施工人员要提前清理巷道内的杂物并整平巷道底板确保安全移动单元支架。移架过程中，操作人员和观察人员应站在远距离操作和观察，避开支架歪倒、链条崩出、单轨吊梁掉落可能泼及的区域。</w:t>
      </w:r>
    </w:p>
    <w:p>
      <w:pPr>
        <w:pStyle w:val="12"/>
        <w:keepNext w:val="0"/>
        <w:keepLines w:val="0"/>
        <w:pageBreakBefore w:val="0"/>
        <w:widowControl w:val="0"/>
        <w:kinsoku/>
        <w:wordWrap/>
        <w:overflowPunct/>
        <w:topLinePunct w:val="0"/>
        <w:autoSpaceDE/>
        <w:autoSpaceDN/>
        <w:bidi w:val="0"/>
        <w:snapToGrid w:val="0"/>
        <w:spacing w:after="0" w:line="360" w:lineRule="auto"/>
        <w:ind w:firstLine="480"/>
        <w:rPr>
          <w:rFonts w:ascii="仿宋_GB2312" w:hAnsi="仿宋_GB2312" w:cs="仿宋_GB2312"/>
          <w:color w:val="000000" w:themeColor="text1"/>
          <w:sz w:val="24"/>
          <w14:textFill>
            <w14:solidFill>
              <w14:schemeClr w14:val="tx1"/>
            </w14:solidFill>
          </w14:textFill>
        </w:rPr>
      </w:pPr>
      <w:r>
        <w:rPr>
          <w:rFonts w:hint="eastAsia" w:ascii="仿宋_GB2312" w:hAnsi="仿宋_GB2312" w:cs="仿宋_GB2312"/>
          <w:color w:val="000000" w:themeColor="text1"/>
          <w:sz w:val="24"/>
          <w14:textFill>
            <w14:solidFill>
              <w14:schemeClr w14:val="tx1"/>
            </w14:solidFill>
          </w14:textFill>
        </w:rPr>
        <w:t>（5）支架防倒：单元支架顶梁吊环与单轨吊承载小车之间</w:t>
      </w:r>
      <w:r>
        <w:rPr>
          <w:rFonts w:hint="eastAsia" w:ascii="仿宋" w:hAnsi="仿宋" w:eastAsia="仿宋" w:cs="仿宋"/>
          <w:color w:val="000000" w:themeColor="text1"/>
          <w:sz w:val="24"/>
          <w14:textFill>
            <w14:solidFill>
              <w14:schemeClr w14:val="tx1"/>
            </w14:solidFill>
          </w14:textFill>
        </w:rPr>
        <w:t>使用5T拉葫链条或Φ14×85mm链条进行栓系固定以起到支架挪移过程中的防倒。</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4、支架就位</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就位方式：采用拉葫牵引移架，拉葫通过链条生根在帮部打设的专用锚杆上，与单轨吊风动葫芦配合将将待就位单元支架移到位。帮部的拉葫紧链条，单轨吊风动葫芦松链条，二者相互协调配合进行支架防倒。随着支架移动及时松拉葫链条，确保链条处于带紧状态防止支架防倒。施工人员必须站在距离单元式支架不小于5m的斜上方的安全地点进行操作。支架到位后及时将支架升起支护顶板。</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连接方式：提前在帮部打设牵引生根点，帮部拉葫一端通过链条与牵引生根点连接牢固，拉葫另一端通过钩头连接在支架底座上。单轨吊上的风动葫芦的钩头与单元支架顶梁上起吊环连接,连接生根点牢固可靠。</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（3）设置警戒：在就位支架前后各3m外安排专人设置警戒，防止人员进入支架就位影响区域。</w:t>
      </w:r>
    </w:p>
    <w:p>
      <w:pPr>
        <w:pStyle w:val="12"/>
        <w:keepNext w:val="0"/>
        <w:keepLines w:val="0"/>
        <w:pageBreakBefore w:val="0"/>
        <w:widowControl w:val="0"/>
        <w:kinsoku/>
        <w:wordWrap/>
        <w:overflowPunct/>
        <w:topLinePunct w:val="0"/>
        <w:autoSpaceDE/>
        <w:autoSpaceDN/>
        <w:bidi w:val="0"/>
        <w:snapToGrid w:val="0"/>
        <w:spacing w:after="0" w:line="360" w:lineRule="auto"/>
        <w:ind w:firstLine="480"/>
        <w:rPr>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（4）支架防倒：位于待就位支架就近帮（顶）部锚杆（索）使用5T拉葫链条或Φ14×85mm链条一端固定，另一端链条固定在单元支架顶梁的起吊环上，</w:t>
      </w:r>
      <w:r>
        <w:rPr>
          <w:rFonts w:hint="eastAsia" w:ascii="仿宋_GB2312" w:hAnsi="仿宋_GB2312" w:cs="仿宋_GB2312"/>
          <w:color w:val="000000" w:themeColor="text1"/>
          <w:sz w:val="24"/>
          <w14:textFill>
            <w14:solidFill>
              <w14:schemeClr w14:val="tx1"/>
            </w14:solidFill>
          </w14:textFill>
        </w:rPr>
        <w:t>带紧拉葫链条。随着支架就位及升架及时松拉葫链条，确保链条松紧合适。</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5、支架完好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支架防倒：帮部拉葫一端通过使用5T拉葫链条或Φ14×85mm链条与牵引生根点连接牢固，拉葫另一端通过钩头连接在支架腰部的起吊环上。单轨吊上的两个拉葫的钩头分别与单元支架顶梁上起吊环连接，用于支架防倒。随着升架，要及时缩紧拉葫链条进行防倒。</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（2）设置警戒：在待升支架前后各3m外安排专人设置警戒，防止人员进入升架影响区域。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（3）升架：将操纵阀组的立柱操纵手柄推到升架位置，顶梁接顶后延长一段时间后，再将立柱操纵阀手柄放回中间位置，保证支架达到预定的初撑力。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（4）拴防倒链：每架单元支架顶梁吊环处采用4根Φ14×85mm链条四角固定或2根对角固定于就近锚杆或锚索上，链条张紧。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（二）单元支架操作注意事项</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采用单元支架支护顶板时，应保证支架顶梁或底座3/4面积以上有效接顶或接地，使支架处于一个较好的受力状态，避免结构件或立柱的损坏。在支架初撑力接顶前，应观察巷道顶板、底板的平整度是否满足要求，若不满足，需修复顶板或底板，避免支架避免结构件或立柱的损坏。巷道顶板、底板的平整度若不满足要求，支架易倾倒或歪斜。</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单元支架顶梁纵向最大偏摆角度±15°、横向最大偏摆角度±5°。在支架接顶之前，应观察巷道顶板走向方向和宽度方向是否满足设计要求，若不满足，需进行调整，修复巷道或者在顶梁一侧加枕木，避免支架顶梁纵向或横向偏摆过大，从而造成支架顶梁与立柱固定销、部件的损坏或支架的倾倒。</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3、单元支架通过立柱柱头销轴与立柱柱头销孔的间隙来控制支架横向摆角幅度，在使用过程中观察销轴的损坏情况，损坏严重的要及时更换，避免伤人。</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保持支架升降平稳，升降立柱时要保证两根立柱的同步，避免顶梁倾斜角度超过15°造成顶梁体或立柱活柱损坏。支架接顶后，顶梁的横向斜角度控制到5°以内，过大影响支架的受力状态，支架易于倾倒与歪斜。</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5、移架前支架降至最低高度，降低支架的重心高度、提高支架的稳定性。</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6、拆卸或更换各种液压件及液压管路附件时，应在相关液压缸卸载后操作，防止高压液伤人。</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7、当巷道高度大于支架的最大支撑高度时，可在顶部架设木垛，使支架能正常接顶。</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sz w:val="24"/>
        </w:rPr>
      </w:pPr>
      <w:r>
        <w:rPr>
          <w:rFonts w:hint="eastAsia" w:ascii="仿宋" w:hAnsi="仿宋" w:eastAsia="仿宋"/>
          <w:sz w:val="24"/>
        </w:rPr>
        <w:t>8、单元支架挪移期间，应避免出现金属部件脱落引起的撞击或人工操作引发的金属碰撞，以防止出现机械摩擦产生火花，并且对单元支架支护段定期进行洒水除尘。</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（三）单元支架的检修维护</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1、在检修工作时，在该液压支架的操纵阀组上挂出警示标志。</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2、出现已损坏的液压胶管及液压元件，应由专职人员立即更换。更换工作之前必须将液压系统和更换元件内的压力卸压。</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3、维修更换控制阀与立柱及一些承受压力的液压缸之间的液压管路及其元件时，必须先卸压，并将与其连接有可能发生转动的部件，用机械方法牢牢固定。</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4、安全阀调定压力必须与设计调定压力保持一致，任何人不得随意调整。</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5、在维修支架液压系统时，新换的胶管在连接前要彻底冲洗，保证新换液压胶管中没有铁屑等脏物，确保液压系统的清洁度。</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6、严格检查确保液压系统的胶管接口处无漏液、胶管外部无损伤、暴皮、起泡等现象存在。</w:t>
      </w:r>
    </w:p>
    <w:p>
      <w:pPr>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7、液压系统管路要捆绑，管接头处要采取防脱装置。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8、设备检查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（1）检查各部位的润滑情况，各承载轮及轴承有无损坏。否则必须更换。</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（2）检查各部位机械连接销是否完好。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（3）各操作按钮、阀等必须齐全、灵敏、可靠。  </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（4）设备零部件和指示仪表完好，部件磨损不超限；各连接螺栓、销轴齐全紧固，转动部件、急停手柄等灵活可靠。  </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（5）风动马达完好，制动器及安全保护装置齐全有效。 </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（6）减速箱油位、油雾器油量符合规定，保证润滑效果；空气过滤装置完好，并按规定及时清理。  </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（7）气动葫芦链条不得有打结、掉槽、跳链现象，严禁拖地。 </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（8）供气管路连接牢固，无损伤、变形、折弯和漏气现象，悬挂整齐完好，长度满足使用要求。</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（四）起吊链条破断力校验</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工作面使用的单元支架型号为ZQ4000/20.6/45，重量4.8吨。</w:t>
      </w:r>
    </w:p>
    <w:p>
      <w:pPr>
        <w:pStyle w:val="12"/>
        <w:keepNext w:val="0"/>
        <w:keepLines w:val="0"/>
        <w:pageBreakBefore w:val="0"/>
        <w:widowControl w:val="0"/>
        <w:numPr>
          <w:ilvl w:val="0"/>
          <w:numId w:val="2"/>
        </w:numPr>
        <w:kinsoku/>
        <w:wordWrap/>
        <w:overflowPunct/>
        <w:topLinePunct w:val="0"/>
        <w:autoSpaceDE/>
        <w:autoSpaceDN/>
        <w:bidi w:val="0"/>
        <w:snapToGrid w:val="0"/>
        <w:spacing w:after="0"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Φ14×85mm链条校验：</w:t>
      </w:r>
    </w:p>
    <w:p>
      <w:pPr>
        <w:pStyle w:val="12"/>
        <w:keepNext w:val="0"/>
        <w:keepLines w:val="0"/>
        <w:pageBreakBefore w:val="0"/>
        <w:widowControl w:val="0"/>
        <w:kinsoku/>
        <w:wordWrap/>
        <w:overflowPunct/>
        <w:topLinePunct w:val="0"/>
        <w:autoSpaceDE/>
        <w:autoSpaceDN/>
        <w:bidi w:val="0"/>
        <w:snapToGrid w:val="0"/>
        <w:spacing w:after="0"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Φ14×85mm链条材质为20Mn2合金结构钢，最小破断力：Qp＞100KN（10.2吨），故采用4根链条破断力大于400KN。</w:t>
      </w:r>
    </w:p>
    <w:p>
      <w:pPr>
        <w:pStyle w:val="13"/>
        <w:keepNext w:val="0"/>
        <w:keepLines w:val="0"/>
        <w:pageBreakBefore w:val="0"/>
        <w:widowControl w:val="0"/>
        <w:kinsoku/>
        <w:wordWrap/>
        <w:overflowPunct/>
        <w:topLinePunct w:val="0"/>
        <w:autoSpaceDE/>
        <w:autoSpaceDN/>
        <w:bidi w:val="0"/>
        <w:snapToGrid w:val="0"/>
        <w:spacing w:line="360" w:lineRule="auto"/>
        <w:ind w:firstLine="480"/>
        <w:rPr>
          <w:color w:val="000000" w:themeColor="text1"/>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A =Qp/Fmax =400/6.0=66.6KN（6.6吨）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安全系数为6.0，该链条最大起吊能力满足6.6吨，大于单元支架的重量为4.8T，故Φ14×85mm链条符合起吊及防倒要求。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2、40T链条（Φ18×64C级性能）校验：</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（1）Φ18×64C级性能链条最小破断力：Qp=410kN；</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（2）A =Qp/Fmax =410/6.0=68.3KN（6.8吨）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安全系数为6.0，该链条（单股）最大起吊能力满足6.8吨，现在需要起吊单元支架的最大重量为4.8T，故Φ18×64mm链条符合起吊要求。</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根据说明书得知：一根起吊锚杆破断拉力为80KN，即起吊重物的最大重量为8T，工作面起吊物件重量小于8吨的即可使用起吊锚杆进行起吊，为保证绝对安全可采取一组2根锚杆作为起吊点。</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（五）安全技术措施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1、人员进行作业前必须进行安全确认，严格执行敲帮问顶制度。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2、使用单轨吊风动拉葫作业前，必须检查供风管、风压是否符合规定；风动拉葫是否完好；连接是否牢固，发现问题及时处理，未处理前严禁使用风动拉葫。</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3、使用拉葫作业时，严禁超负荷能力使用拉葫。</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4、操作单元支架时，确保单元支架移动区域内无安全隐患，否则严禁操作单元支架。</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5、操作单元支架时，操作人员站在单元支架斜上方的安全地点操作，其他人员站在被操作支架3m以外的安全地点，防止顶板掉矸伤人。严禁站在单元支架下方或两侧。</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6、操作单元支架时，严禁将身体的任何部位伸入到顶梁与顶板之间或底座与底板之间，正在移动或升降支架可能倾倒的范围内，严禁有人。</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7、单元支架移动前，在拉移单元支架的10m范围安全地点设置警戒线，严禁无关人员进入。</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8、支架牵引时如出现支架歪斜、拉不动等异常现象，应及时停止牵引支架；支架歪斜时采用单体5m以外远距离供液将支架调正，支架拉不动时及时排除底座被卡物料。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9、升单元支架时，单元支架的顶梁和底座要保持平行，如果因地质条件和操作需要使顶梁上下摆动时，顶梁上下摆动角度不能超过设计摆动的最大允许值。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当顶板存在安全隐患时，需要对待落支架支护的顶板采取临时支护措施。临时支护采用单体配合工字钢或木料，沿待落支架顶梁处走向支设一梁三柱，防倒绳拴齐。临时支护单体生根时，先用铲子挖出柱窝，将单体放在柱窝内，由一人扶住、两人托起长钢梁放在单体柱爪内，然后由一人观察顶板并注液，使长钢梁结实顶板，最后补齐单体支柱。</w:t>
      </w:r>
      <w:bookmarkEnd w:id="360"/>
      <w:bookmarkEnd w:id="361"/>
      <w:bookmarkEnd w:id="362"/>
      <w:bookmarkEnd w:id="363"/>
      <w:bookmarkEnd w:id="364"/>
      <w:bookmarkEnd w:id="365"/>
      <w:bookmarkEnd w:id="366"/>
      <w:bookmarkStart w:id="367" w:name="_Toc496212778"/>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11、单轨吊吊运作业由多人配合进行完成，其中一人操作，一人协助并履行监护职责。  </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12、对单轨吊运行区间内的障碍物，清理干净，避免影响单轨吊安全运行。  </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13、每次作业前对悬挂轨道的生根点（锚杆）和吊挂装置进行全面检查，确保牢固可靠。同时检查轨道及连接点是否完好。 </w:t>
      </w:r>
    </w:p>
    <w:p>
      <w:pPr>
        <w:keepNext w:val="0"/>
        <w:keepLines w:val="0"/>
        <w:pageBreakBefore w:val="0"/>
        <w:widowControl w:val="0"/>
        <w:kinsoku/>
        <w:wordWrap/>
        <w:overflowPunct/>
        <w:topLinePunct w:val="0"/>
        <w:autoSpaceDE/>
        <w:autoSpaceDN/>
        <w:bidi w:val="0"/>
        <w:adjustRightInd w:val="0"/>
        <w:snapToGrid w:val="0"/>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14、检查单轨吊轨道两端的限位和阻车装置，必须可靠有效。 </w:t>
      </w:r>
    </w:p>
    <w:p>
      <w:pPr>
        <w:pStyle w:val="2"/>
        <w:snapToGrid w:val="0"/>
        <w:spacing w:line="430" w:lineRule="exact"/>
        <w:ind w:firstLine="480"/>
        <w:rPr>
          <w:rFonts w:ascii="仿宋" w:hAnsi="仿宋" w:eastAsia="仿宋" w:cs="仿宋"/>
          <w:color w:val="000000" w:themeColor="text1"/>
          <w14:textFill>
            <w14:solidFill>
              <w14:schemeClr w14:val="tx1"/>
            </w14:solidFill>
          </w14:textFill>
        </w:rPr>
      </w:pPr>
    </w:p>
    <w:p>
      <w:pPr>
        <w:pStyle w:val="4"/>
        <w:keepNext w:val="0"/>
        <w:keepLines w:val="0"/>
        <w:snapToGrid w:val="0"/>
        <w:spacing w:before="0" w:after="0"/>
        <w:ind w:firstLine="0" w:firstLineChars="0"/>
        <w:rPr>
          <w:rFonts w:ascii="仿宋" w:hAnsi="仿宋" w:eastAsia="仿宋" w:cs="仿宋_GB2312"/>
          <w:bCs/>
          <w:color w:val="000000" w:themeColor="text1"/>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第七节  防治冲击地压管理</w:t>
      </w:r>
      <w:bookmarkEnd w:id="367"/>
    </w:p>
    <w:p>
      <w:pPr>
        <w:snapToGrid w:val="0"/>
        <w:ind w:firstLine="0" w:firstLineChars="0"/>
        <w:rPr>
          <w:rFonts w:ascii="仿宋" w:hAnsi="仿宋" w:eastAsia="仿宋" w:cs="仿宋"/>
          <w:b/>
          <w:bCs/>
          <w:color w:val="000000" w:themeColor="text1"/>
          <w:sz w:val="24"/>
          <w14:textFill>
            <w14:solidFill>
              <w14:schemeClr w14:val="tx1"/>
            </w14:solidFill>
          </w14:textFill>
        </w:rPr>
      </w:pPr>
      <w:r>
        <w:rPr>
          <w:rFonts w:hint="eastAsia" w:ascii="仿宋" w:hAnsi="仿宋" w:eastAsia="仿宋"/>
          <w:kern w:val="0"/>
          <w:sz w:val="24"/>
        </w:rPr>
        <w:t>本章节根据《招贤煤矿1303工作面回采期间冲击危险性评价和防冲设计》编制。</w:t>
      </w:r>
      <w:r>
        <w:rPr>
          <w:rFonts w:hint="eastAsia" w:ascii="仿宋" w:hAnsi="仿宋" w:eastAsia="仿宋" w:cs="仿宋"/>
          <w:b/>
          <w:bCs/>
          <w:color w:val="000000" w:themeColor="text1"/>
          <w:sz w:val="24"/>
          <w14:textFill>
            <w14:solidFill>
              <w14:schemeClr w14:val="tx1"/>
            </w14:solidFill>
          </w14:textFill>
        </w:rPr>
        <w:t>一、冲击危险性评价结论</w:t>
      </w:r>
    </w:p>
    <w:p>
      <w:pPr>
        <w:snapToGrid w:val="0"/>
        <w:ind w:firstLine="480"/>
        <w:rPr>
          <w:rFonts w:ascii="仿宋" w:hAnsi="仿宋" w:eastAsia="仿宋" w:cs="仿宋"/>
          <w:color w:val="FF0000"/>
          <w:sz w:val="24"/>
        </w:rPr>
      </w:pPr>
      <w:r>
        <w:rPr>
          <w:rFonts w:hint="eastAsia" w:ascii="仿宋" w:hAnsi="仿宋" w:eastAsia="仿宋"/>
          <w:kern w:val="0"/>
          <w:sz w:val="24"/>
        </w:rPr>
        <w:t>采用综合指数法评定了1303工作面的冲击危险指数，130</w:t>
      </w:r>
      <w:r>
        <w:rPr>
          <w:rFonts w:ascii="仿宋" w:hAnsi="仿宋" w:eastAsia="仿宋"/>
          <w:kern w:val="0"/>
          <w:sz w:val="24"/>
        </w:rPr>
        <w:t>3</w:t>
      </w:r>
      <w:r>
        <w:rPr>
          <w:rFonts w:hint="eastAsia" w:ascii="仿宋" w:hAnsi="仿宋" w:eastAsia="仿宋"/>
          <w:kern w:val="0"/>
          <w:sz w:val="24"/>
        </w:rPr>
        <w:t>工作面地质条件确定的评价指数为</w:t>
      </w:r>
      <w:r>
        <w:rPr>
          <w:rFonts w:ascii="仿宋" w:hAnsi="仿宋" w:eastAsia="仿宋"/>
          <w:kern w:val="0"/>
          <w:sz w:val="24"/>
        </w:rPr>
        <w:t>0.52</w:t>
      </w:r>
      <w:r>
        <w:rPr>
          <w:rFonts w:hint="eastAsia" w:ascii="仿宋" w:hAnsi="仿宋" w:eastAsia="仿宋"/>
          <w:kern w:val="0"/>
          <w:sz w:val="24"/>
        </w:rPr>
        <w:t>，开采技术因素确定的评价指数为</w:t>
      </w:r>
      <w:r>
        <w:rPr>
          <w:rFonts w:ascii="仿宋" w:hAnsi="仿宋" w:eastAsia="仿宋"/>
          <w:kern w:val="0"/>
          <w:sz w:val="24"/>
        </w:rPr>
        <w:t>0.52</w:t>
      </w:r>
      <w:r>
        <w:rPr>
          <w:rFonts w:hint="eastAsia" w:ascii="仿宋" w:hAnsi="仿宋" w:eastAsia="仿宋"/>
          <w:kern w:val="0"/>
          <w:sz w:val="24"/>
        </w:rPr>
        <w:t>，综合指数确定为0.</w:t>
      </w:r>
      <w:r>
        <w:rPr>
          <w:rFonts w:ascii="仿宋" w:hAnsi="仿宋" w:eastAsia="仿宋"/>
          <w:kern w:val="0"/>
          <w:sz w:val="24"/>
        </w:rPr>
        <w:t>52</w:t>
      </w:r>
      <w:r>
        <w:rPr>
          <w:rFonts w:hint="eastAsia" w:ascii="仿宋" w:hAnsi="仿宋" w:eastAsia="仿宋"/>
          <w:kern w:val="0"/>
          <w:sz w:val="24"/>
        </w:rPr>
        <w:t>，冲击危险等级为中等冲击危险</w:t>
      </w:r>
      <w:r>
        <w:rPr>
          <w:rFonts w:hint="eastAsia" w:ascii="仿宋" w:hAnsi="仿宋" w:eastAsia="仿宋"/>
          <w:color w:val="000000" w:themeColor="text1"/>
          <w:kern w:val="0"/>
          <w:sz w:val="24"/>
          <w14:textFill>
            <w14:solidFill>
              <w14:schemeClr w14:val="tx1"/>
            </w14:solidFill>
          </w14:textFill>
        </w:rPr>
        <w:t>。130</w:t>
      </w:r>
      <w:r>
        <w:rPr>
          <w:rFonts w:ascii="仿宋" w:hAnsi="仿宋" w:eastAsia="仿宋"/>
          <w:color w:val="000000" w:themeColor="text1"/>
          <w:kern w:val="0"/>
          <w:sz w:val="24"/>
          <w14:textFill>
            <w14:solidFill>
              <w14:schemeClr w14:val="tx1"/>
            </w14:solidFill>
          </w14:textFill>
        </w:rPr>
        <w:t>3</w:t>
      </w:r>
      <w:r>
        <w:rPr>
          <w:rFonts w:hint="eastAsia" w:ascii="仿宋" w:hAnsi="仿宋" w:eastAsia="仿宋"/>
          <w:color w:val="000000" w:themeColor="text1"/>
          <w:kern w:val="0"/>
          <w:sz w:val="24"/>
          <w14:textFill>
            <w14:solidFill>
              <w14:schemeClr w14:val="tx1"/>
            </w14:solidFill>
          </w14:textFill>
        </w:rPr>
        <w:t>工作面回采期间冲击危险区域划分结果为：强冲击危险区域</w:t>
      </w:r>
      <w:r>
        <w:rPr>
          <w:rFonts w:ascii="仿宋" w:hAnsi="仿宋" w:eastAsia="仿宋"/>
          <w:color w:val="000000" w:themeColor="text1"/>
          <w:kern w:val="0"/>
          <w:sz w:val="24"/>
          <w14:textFill>
            <w14:solidFill>
              <w14:schemeClr w14:val="tx1"/>
            </w14:solidFill>
          </w14:textFill>
        </w:rPr>
        <w:t>3</w:t>
      </w:r>
      <w:r>
        <w:rPr>
          <w:rFonts w:hint="eastAsia" w:ascii="仿宋" w:hAnsi="仿宋" w:eastAsia="仿宋"/>
          <w:color w:val="000000" w:themeColor="text1"/>
          <w:kern w:val="0"/>
          <w:sz w:val="24"/>
          <w14:textFill>
            <w14:solidFill>
              <w14:schemeClr w14:val="tx1"/>
            </w14:solidFill>
          </w14:textFill>
        </w:rPr>
        <w:t>处，中等冲击危险区域</w:t>
      </w:r>
      <w:r>
        <w:rPr>
          <w:rFonts w:ascii="仿宋" w:hAnsi="仿宋" w:eastAsia="仿宋"/>
          <w:color w:val="000000" w:themeColor="text1"/>
          <w:kern w:val="0"/>
          <w:sz w:val="24"/>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处，其余为弱冲击危险区域。</w:t>
      </w:r>
      <w:r>
        <w:rPr>
          <w:rFonts w:hint="eastAsia" w:ascii="仿宋" w:hAnsi="仿宋" w:eastAsia="仿宋"/>
          <w:color w:val="000000" w:themeColor="text1"/>
          <w:sz w:val="24"/>
          <w14:textFill>
            <w14:solidFill>
              <w14:schemeClr w14:val="tx1"/>
            </w14:solidFill>
          </w14:textFill>
        </w:rPr>
        <w:t>工作面回采阶段冲击危险区域等级划分结果如下图9：</w:t>
      </w:r>
    </w:p>
    <w:p>
      <w:pPr>
        <w:snapToGrid w:val="0"/>
        <w:ind w:firstLine="0" w:firstLineChars="0"/>
        <w:jc w:val="center"/>
        <w:rPr>
          <w:rFonts w:eastAsiaTheme="minorEastAsia"/>
          <w:b/>
          <w:color w:val="000000" w:themeColor="text1"/>
          <w:szCs w:val="21"/>
          <w14:textFill>
            <w14:solidFill>
              <w14:schemeClr w14:val="tx1"/>
            </w14:solidFill>
          </w14:textFill>
        </w:rPr>
      </w:pPr>
      <w:r>
        <w:rPr>
          <w:color w:val="000000" w:themeColor="text1"/>
          <w:bdr w:val="single" w:color="auto" w:sz="4" w:space="0"/>
          <w14:textFill>
            <w14:solidFill>
              <w14:schemeClr w14:val="tx1"/>
            </w14:solidFill>
          </w14:textFill>
        </w:rPr>
        <w:drawing>
          <wp:inline distT="0" distB="0" distL="0" distR="0">
            <wp:extent cx="5229225" cy="1960245"/>
            <wp:effectExtent l="0" t="0" r="0"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9225" cy="1960774"/>
                    </a:xfrm>
                    <a:prstGeom prst="rect">
                      <a:avLst/>
                    </a:prstGeom>
                  </pic:spPr>
                </pic:pic>
              </a:graphicData>
            </a:graphic>
          </wp:inline>
        </w:drawing>
      </w:r>
    </w:p>
    <w:p>
      <w:pPr>
        <w:snapToGrid w:val="0"/>
        <w:ind w:firstLine="0" w:firstLineChars="0"/>
        <w:jc w:val="center"/>
        <w:rPr>
          <w:rFonts w:ascii="仿宋" w:hAnsi="仿宋" w:eastAsia="仿宋" w:cs="仿宋"/>
          <w:color w:val="000000" w:themeColor="text1"/>
          <w:szCs w:val="22"/>
          <w14:textFill>
            <w14:solidFill>
              <w14:schemeClr w14:val="tx1"/>
            </w14:solidFill>
          </w14:textFill>
        </w:rPr>
      </w:pPr>
      <w:r>
        <w:rPr>
          <w:b/>
          <w:color w:val="000000" w:themeColor="text1"/>
          <w:szCs w:val="21"/>
          <w14:textFill>
            <w14:solidFill>
              <w14:schemeClr w14:val="tx1"/>
            </w14:solidFill>
          </w14:textFill>
        </w:rPr>
        <w:t xml:space="preserve"> 图</w:t>
      </w:r>
      <w:r>
        <w:rPr>
          <w:rFonts w:hint="eastAsia"/>
          <w:b/>
          <w:color w:val="000000" w:themeColor="text1"/>
          <w:szCs w:val="21"/>
          <w14:textFill>
            <w14:solidFill>
              <w14:schemeClr w14:val="tx1"/>
            </w14:solidFill>
          </w14:textFill>
        </w:rPr>
        <w:t xml:space="preserve">9  </w:t>
      </w:r>
      <w:r>
        <w:rPr>
          <w:rFonts w:hint="eastAsia" w:ascii="仿宋" w:hAnsi="仿宋" w:eastAsia="仿宋" w:cs="仿宋"/>
          <w:color w:val="000000" w:themeColor="text1"/>
          <w:szCs w:val="22"/>
          <w14:textFill>
            <w14:solidFill>
              <w14:schemeClr w14:val="tx1"/>
            </w14:solidFill>
          </w14:textFill>
        </w:rPr>
        <w:t>1303工作面回采期间冲击危险区域划分</w:t>
      </w:r>
    </w:p>
    <w:p>
      <w:pPr>
        <w:snapToGrid w:val="0"/>
        <w:ind w:firstLine="0" w:firstLineChars="0"/>
        <w:rPr>
          <w:rFonts w:ascii="仿宋" w:hAnsi="仿宋" w:eastAsia="仿宋" w:cs="仿宋"/>
          <w:b/>
          <w:bCs/>
          <w:color w:val="000000" w:themeColor="text1"/>
          <w:sz w:val="24"/>
          <w14:textFill>
            <w14:solidFill>
              <w14:schemeClr w14:val="tx1"/>
            </w14:solidFill>
          </w14:textFill>
        </w:rPr>
      </w:pPr>
      <w:bookmarkStart w:id="368" w:name="_Toc16044"/>
      <w:r>
        <w:rPr>
          <w:rFonts w:hint="eastAsia" w:ascii="仿宋" w:hAnsi="仿宋" w:eastAsia="仿宋" w:cs="仿宋"/>
          <w:b/>
          <w:bCs/>
          <w:color w:val="000000" w:themeColor="text1"/>
          <w:sz w:val="24"/>
          <w14:textFill>
            <w14:solidFill>
              <w14:schemeClr w14:val="tx1"/>
            </w14:solidFill>
          </w14:textFill>
        </w:rPr>
        <w:t>二、</w:t>
      </w:r>
      <w:r>
        <w:rPr>
          <w:rFonts w:ascii="仿宋" w:hAnsi="仿宋" w:eastAsia="仿宋" w:cs="仿宋"/>
          <w:b/>
          <w:bCs/>
          <w:color w:val="000000" w:themeColor="text1"/>
          <w:sz w:val="24"/>
          <w14:textFill>
            <w14:solidFill>
              <w14:schemeClr w14:val="tx1"/>
            </w14:solidFill>
          </w14:textFill>
        </w:rPr>
        <w:t>工作面冲击地压监测预警方案</w:t>
      </w:r>
      <w:bookmarkEnd w:id="368"/>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1303工作面回采期间针对冲击地压危险区域采取综合性的监测措施，区域监测措施采用微震监测法，局部监测采用应力在线监测、</w:t>
      </w:r>
      <w:r>
        <w:rPr>
          <w:rFonts w:hint="eastAsia" w:ascii="仿宋" w:hAnsi="仿宋" w:eastAsia="仿宋"/>
          <w:color w:val="000000" w:themeColor="text1"/>
          <w:sz w:val="24"/>
          <w14:textFill>
            <w14:solidFill>
              <w14:schemeClr w14:val="tx1"/>
            </w14:solidFill>
          </w14:textFill>
        </w:rPr>
        <w:t>地音监测、</w:t>
      </w:r>
      <w:r>
        <w:rPr>
          <w:rFonts w:ascii="仿宋" w:hAnsi="仿宋" w:eastAsia="仿宋"/>
          <w:color w:val="000000" w:themeColor="text1"/>
          <w:sz w:val="24"/>
          <w14:textFill>
            <w14:solidFill>
              <w14:schemeClr w14:val="tx1"/>
            </w14:solidFill>
          </w14:textFill>
        </w:rPr>
        <w:t>工作面支架工作阻力监测等，并采用常规矿压监测法进行局部补充性监测</w:t>
      </w:r>
      <w:r>
        <w:rPr>
          <w:rFonts w:hint="eastAsia" w:ascii="仿宋" w:hAnsi="仿宋" w:eastAsia="仿宋"/>
          <w:color w:val="000000" w:themeColor="text1"/>
          <w:sz w:val="24"/>
          <w14:textFill>
            <w14:solidFill>
              <w14:schemeClr w14:val="tx1"/>
            </w14:solidFill>
          </w14:textFill>
        </w:rPr>
        <w:t>。</w:t>
      </w:r>
    </w:p>
    <w:p>
      <w:pPr>
        <w:snapToGrid w:val="0"/>
        <w:ind w:firstLine="480"/>
        <w:rPr>
          <w:rFonts w:ascii="仿宋" w:hAnsi="仿宋" w:eastAsia="仿宋"/>
          <w:color w:val="000000" w:themeColor="text1"/>
          <w:sz w:val="24"/>
          <w14:textFill>
            <w14:solidFill>
              <w14:schemeClr w14:val="tx1"/>
            </w14:solidFill>
          </w14:textFill>
        </w:rPr>
      </w:pPr>
      <w:bookmarkStart w:id="369" w:name="_Toc18848"/>
      <w:bookmarkStart w:id="370" w:name="_Toc26648"/>
      <w:bookmarkStart w:id="371" w:name="_Toc527720659"/>
      <w:r>
        <w:rPr>
          <w:rFonts w:ascii="仿宋" w:hAnsi="仿宋" w:eastAsia="仿宋"/>
          <w:color w:val="000000" w:themeColor="text1"/>
          <w:sz w:val="24"/>
          <w14:textFill>
            <w14:solidFill>
              <w14:schemeClr w14:val="tx1"/>
            </w14:solidFill>
          </w14:textFill>
        </w:rPr>
        <w:t>由于冲击地压的发生是动载和静载共同作用的结果，因此招贤煤矿1303工作面在回采期间冲击危险性监测需采取区域、局部监测相结合的方法，主要为微震监测、</w:t>
      </w:r>
      <w:r>
        <w:rPr>
          <w:rFonts w:hint="eastAsia" w:ascii="仿宋" w:hAnsi="仿宋" w:eastAsia="仿宋"/>
          <w:color w:val="000000" w:themeColor="text1"/>
          <w:sz w:val="24"/>
          <w14:textFill>
            <w14:solidFill>
              <w14:schemeClr w14:val="tx1"/>
            </w14:solidFill>
          </w14:textFill>
        </w:rPr>
        <w:t>地音监测、</w:t>
      </w:r>
      <w:r>
        <w:rPr>
          <w:rFonts w:ascii="仿宋" w:hAnsi="仿宋" w:eastAsia="仿宋"/>
          <w:color w:val="000000" w:themeColor="text1"/>
          <w:sz w:val="24"/>
          <w14:textFill>
            <w14:solidFill>
              <w14:schemeClr w14:val="tx1"/>
            </w14:solidFill>
          </w14:textFill>
        </w:rPr>
        <w:t>应力在线监测、常规矿压监测和工作面支架阻力监测等方法。</w:t>
      </w:r>
    </w:p>
    <w:p>
      <w:pPr>
        <w:pStyle w:val="4"/>
        <w:keepNext w:val="0"/>
        <w:keepLines w:val="0"/>
        <w:snapToGrid w:val="0"/>
        <w:spacing w:before="0" w:after="0"/>
        <w:ind w:firstLine="0" w:firstLineChars="0"/>
        <w:jc w:val="both"/>
        <w:rPr>
          <w:rFonts w:ascii="仿宋" w:hAnsi="仿宋" w:eastAsia="仿宋"/>
          <w:color w:val="000000" w:themeColor="text1"/>
          <w:szCs w:val="24"/>
          <w14:textFill>
            <w14:solidFill>
              <w14:schemeClr w14:val="tx1"/>
            </w14:solidFill>
          </w14:textFill>
        </w:rPr>
      </w:pPr>
      <w:r>
        <w:rPr>
          <w:rFonts w:hint="eastAsia" w:ascii="仿宋" w:hAnsi="仿宋" w:eastAsia="仿宋" w:cs="仿宋"/>
          <w:bCs/>
          <w:color w:val="000000" w:themeColor="text1"/>
          <w:kern w:val="2"/>
          <w:szCs w:val="24"/>
          <w14:textFill>
            <w14:solidFill>
              <w14:schemeClr w14:val="tx1"/>
            </w14:solidFill>
          </w14:textFill>
        </w:rPr>
        <w:t>（一）</w:t>
      </w:r>
      <w:bookmarkEnd w:id="369"/>
      <w:bookmarkEnd w:id="370"/>
      <w:bookmarkEnd w:id="371"/>
      <w:r>
        <w:rPr>
          <w:rFonts w:hint="eastAsia" w:ascii="仿宋" w:hAnsi="仿宋" w:eastAsia="仿宋"/>
          <w:color w:val="000000" w:themeColor="text1"/>
          <w:szCs w:val="24"/>
          <w14:textFill>
            <w14:solidFill>
              <w14:schemeClr w14:val="tx1"/>
            </w14:solidFill>
          </w14:textFill>
        </w:rPr>
        <w:t>区域监测方案</w:t>
      </w:r>
    </w:p>
    <w:p>
      <w:pPr>
        <w:snapToGrid w:val="0"/>
        <w:ind w:firstLine="48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微震监测技术作为一种区域监测措施，是通过记录采矿震动的能量，确定和分析震动的方向，对震中定位来评价和预测矿山动力现象。其主要功能是对全矿范围进行微震监测，自动记录微震活动，实时进行震源定位和微震能量计算，为评价全矿范围内的冲击地压危险提供依据。矿井区域监测采用SOS微震系统。</w:t>
      </w:r>
    </w:p>
    <w:p>
      <w:pPr>
        <w:pStyle w:val="4"/>
        <w:keepNext w:val="0"/>
        <w:keepLines w:val="0"/>
        <w:numPr>
          <w:ilvl w:val="1"/>
          <w:numId w:val="0"/>
        </w:numPr>
        <w:snapToGrid w:val="0"/>
        <w:spacing w:before="0" w:after="0"/>
        <w:ind w:left="578" w:hanging="578"/>
        <w:jc w:val="both"/>
        <w:rPr>
          <w:rFonts w:ascii="仿宋" w:hAnsi="仿宋" w:eastAsia="仿宋" w:cs="仿宋"/>
          <w:bCs/>
          <w:color w:val="000000" w:themeColor="text1"/>
          <w:kern w:val="2"/>
          <w:szCs w:val="24"/>
          <w14:textFill>
            <w14:solidFill>
              <w14:schemeClr w14:val="tx1"/>
            </w14:solidFill>
          </w14:textFill>
        </w:rPr>
      </w:pPr>
      <w:bookmarkStart w:id="372" w:name="_Toc19041"/>
      <w:bookmarkStart w:id="373" w:name="_Toc527720661"/>
      <w:bookmarkStart w:id="374" w:name="_Toc11857"/>
      <w:bookmarkStart w:id="375" w:name="_Toc28288"/>
      <w:bookmarkStart w:id="376" w:name="_Toc523150479"/>
      <w:bookmarkStart w:id="377" w:name="_Toc522716640"/>
      <w:bookmarkStart w:id="378" w:name="_Toc24729"/>
      <w:bookmarkStart w:id="379" w:name="_Toc522717686"/>
      <w:bookmarkStart w:id="380" w:name="_Toc455428730"/>
      <w:r>
        <w:rPr>
          <w:rFonts w:hint="eastAsia" w:ascii="仿宋" w:hAnsi="仿宋" w:eastAsia="仿宋" w:cs="仿宋"/>
          <w:bCs/>
          <w:color w:val="000000" w:themeColor="text1"/>
          <w:kern w:val="2"/>
          <w:szCs w:val="24"/>
          <w14:textFill>
            <w14:solidFill>
              <w14:schemeClr w14:val="tx1"/>
            </w14:solidFill>
          </w14:textFill>
        </w:rPr>
        <w:t>1、</w:t>
      </w:r>
      <w:bookmarkEnd w:id="372"/>
      <w:bookmarkEnd w:id="373"/>
      <w:bookmarkEnd w:id="374"/>
      <w:r>
        <w:rPr>
          <w:rFonts w:ascii="仿宋" w:hAnsi="仿宋" w:eastAsia="仿宋"/>
          <w:bCs/>
          <w:color w:val="000000" w:themeColor="text1"/>
          <w:szCs w:val="24"/>
          <w14:textFill>
            <w14:solidFill>
              <w14:schemeClr w14:val="tx1"/>
            </w14:solidFill>
          </w14:textFill>
        </w:rPr>
        <w:t>测区测点布置方案</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回采初期在1303工作面机、风巷分别布置3个拾震传感器，从切眼位置开始每隔100～500m布置一个传感器。后期邻近收作线时，拾震传感器数量和布设位置根据现场情况确定。</w:t>
      </w:r>
      <w:r>
        <w:rPr>
          <w:rFonts w:hint="eastAsia" w:ascii="仿宋" w:hAnsi="仿宋" w:eastAsia="仿宋"/>
          <w:color w:val="000000" w:themeColor="text1"/>
          <w:sz w:val="24"/>
          <w14:textFill>
            <w14:solidFill>
              <w14:schemeClr w14:val="tx1"/>
            </w14:solidFill>
          </w14:textFill>
        </w:rPr>
        <w:t>布置方案如图10所示。</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由于传感器和电缆能够循环利用，工作面开采至距离传感器60～100m时将传感器和电缆移组。</w:t>
      </w:r>
    </w:p>
    <w:p>
      <w:pPr>
        <w:pStyle w:val="12"/>
        <w:snapToGrid w:val="0"/>
        <w:spacing w:after="0" w:line="240" w:lineRule="atLeast"/>
        <w:ind w:firstLine="420"/>
        <w:rPr>
          <w:color w:val="000000" w:themeColor="text1"/>
          <w14:textFill>
            <w14:solidFill>
              <w14:schemeClr w14:val="tx1"/>
            </w14:solidFill>
          </w14:textFill>
        </w:rPr>
      </w:pPr>
      <w:r>
        <w:rPr>
          <w:rFonts w:hint="eastAsia"/>
          <w:color w:val="000000" w:themeColor="text1"/>
          <w:bdr w:val="single" w:color="auto" w:sz="4" w:space="0"/>
          <w14:textFill>
            <w14:solidFill>
              <w14:schemeClr w14:val="tx1"/>
            </w14:solidFill>
          </w14:textFill>
        </w:rPr>
        <w:drawing>
          <wp:inline distT="0" distB="0" distL="0" distR="0">
            <wp:extent cx="4759325" cy="1695450"/>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59813" cy="1695794"/>
                    </a:xfrm>
                    <a:prstGeom prst="rect">
                      <a:avLst/>
                    </a:prstGeom>
                  </pic:spPr>
                </pic:pic>
              </a:graphicData>
            </a:graphic>
          </wp:inline>
        </w:drawing>
      </w:r>
    </w:p>
    <w:p>
      <w:pPr>
        <w:pStyle w:val="13"/>
        <w:snapToGrid w:val="0"/>
        <w:spacing w:line="240" w:lineRule="atLeast"/>
        <w:ind w:firstLine="0" w:firstLineChars="0"/>
        <w:jc w:val="center"/>
        <w:rPr>
          <w:rFonts w:ascii="仿宋" w:hAnsi="仿宋" w:eastAsia="仿宋"/>
          <w:color w:val="000000" w:themeColor="text1"/>
          <w:sz w:val="21"/>
          <w:szCs w:val="21"/>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图</w:t>
      </w:r>
      <w:r>
        <w:rPr>
          <w:rFonts w:hint="eastAsia" w:ascii="仿宋" w:hAnsi="仿宋" w:eastAsia="仿宋"/>
          <w:color w:val="000000" w:themeColor="text1"/>
          <w:sz w:val="21"/>
          <w:szCs w:val="21"/>
          <w14:textFill>
            <w14:solidFill>
              <w14:schemeClr w14:val="tx1"/>
            </w14:solidFill>
          </w14:textFill>
        </w:rPr>
        <w:t>10</w:t>
      </w:r>
      <w:r>
        <w:rPr>
          <w:rFonts w:ascii="仿宋" w:hAnsi="仿宋" w:eastAsia="仿宋"/>
          <w:color w:val="000000" w:themeColor="text1"/>
          <w:sz w:val="21"/>
          <w:szCs w:val="21"/>
          <w14:textFill>
            <w14:solidFill>
              <w14:schemeClr w14:val="tx1"/>
            </w14:solidFill>
          </w14:textFill>
        </w:rPr>
        <w:t xml:space="preserve">  </w:t>
      </w:r>
      <w:r>
        <w:rPr>
          <w:rFonts w:ascii="仿宋" w:hAnsi="仿宋" w:eastAsia="仿宋"/>
          <w:color w:val="000000" w:themeColor="text1"/>
          <w:sz w:val="21"/>
          <w:szCs w:val="21"/>
          <w:lang w:val="zh-CN"/>
          <w14:textFill>
            <w14:solidFill>
              <w14:schemeClr w14:val="tx1"/>
            </w14:solidFill>
          </w14:textFill>
        </w:rPr>
        <w:t>微震</w:t>
      </w:r>
      <w:r>
        <w:rPr>
          <w:rFonts w:hint="eastAsia" w:ascii="仿宋" w:hAnsi="仿宋" w:eastAsia="仿宋"/>
          <w:color w:val="000000" w:themeColor="text1"/>
          <w:sz w:val="21"/>
          <w:szCs w:val="21"/>
          <w:lang w:val="zh-CN"/>
          <w14:textFill>
            <w14:solidFill>
              <w14:schemeClr w14:val="tx1"/>
            </w14:solidFill>
          </w14:textFill>
        </w:rPr>
        <w:t>测区测点布置方案</w:t>
      </w:r>
    </w:p>
    <w:p>
      <w:pPr>
        <w:snapToGrid w:val="0"/>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ascii="仿宋" w:hAnsi="仿宋" w:eastAsia="仿宋"/>
          <w:b/>
          <w:bCs/>
          <w:color w:val="000000" w:themeColor="text1"/>
          <w:sz w:val="24"/>
          <w14:textFill>
            <w14:solidFill>
              <w14:schemeClr w14:val="tx1"/>
            </w14:solidFill>
          </w14:textFill>
        </w:rPr>
        <w:t>信号传输系统</w:t>
      </w:r>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1303工作面两条顺槽内各布置通信电缆连接到地面监控主机。</w:t>
      </w:r>
    </w:p>
    <w:p>
      <w:pPr>
        <w:pStyle w:val="12"/>
        <w:snapToGrid w:val="0"/>
        <w:spacing w:after="0"/>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（二）局部监测方案</w:t>
      </w:r>
    </w:p>
    <w:bookmarkEnd w:id="375"/>
    <w:bookmarkEnd w:id="376"/>
    <w:bookmarkEnd w:id="377"/>
    <w:bookmarkEnd w:id="378"/>
    <w:bookmarkEnd w:id="379"/>
    <w:bookmarkEnd w:id="380"/>
    <w:p>
      <w:pPr>
        <w:snapToGrid w:val="0"/>
        <w:ind w:firstLine="0" w:firstLineChars="0"/>
        <w:rPr>
          <w:rFonts w:ascii="仿宋" w:hAnsi="仿宋" w:eastAsia="仿宋"/>
          <w:b/>
          <w:color w:val="000000" w:themeColor="text1"/>
          <w:sz w:val="24"/>
          <w14:textFill>
            <w14:solidFill>
              <w14:schemeClr w14:val="tx1"/>
            </w14:solidFill>
          </w14:textFill>
        </w:rPr>
      </w:pPr>
      <w:bookmarkStart w:id="381" w:name="_Toc527720662"/>
      <w:bookmarkStart w:id="382" w:name="_Toc23233"/>
      <w:bookmarkStart w:id="383" w:name="_Toc527643159"/>
      <w:r>
        <w:rPr>
          <w:rFonts w:hint="eastAsia" w:ascii="仿宋" w:hAnsi="仿宋" w:eastAsia="仿宋" w:cs="仿宋"/>
          <w:b/>
          <w:color w:val="000000" w:themeColor="text1"/>
          <w:sz w:val="24"/>
          <w14:textFill>
            <w14:solidFill>
              <w14:schemeClr w14:val="tx1"/>
            </w14:solidFill>
          </w14:textFill>
        </w:rPr>
        <w:t>1、</w:t>
      </w:r>
      <w:r>
        <w:rPr>
          <w:rFonts w:hint="eastAsia" w:ascii="仿宋" w:hAnsi="仿宋" w:eastAsia="仿宋"/>
          <w:b/>
          <w:color w:val="000000" w:themeColor="text1"/>
          <w:sz w:val="24"/>
          <w14:textFill>
            <w14:solidFill>
              <w14:schemeClr w14:val="tx1"/>
            </w14:solidFill>
          </w14:textFill>
        </w:rPr>
        <w:t>地音监测</w:t>
      </w:r>
    </w:p>
    <w:p>
      <w:pPr>
        <w:pStyle w:val="95"/>
        <w:spacing w:line="360" w:lineRule="auto"/>
        <w:ind w:firstLine="48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2022年3月招贤煤矿引进了16通道的ARES-5/E地音监测系统。ARES-5/E地音监测系统可分为井下和地面两部分。ARES-5/E地音监测系统是采用地音监测法进行矿井冲击危险性评估的专用设备，能够对监测区域范围内的地音事件进行实时监测。煤岩体产生地音信号后，地音探头将监测到地音信号转化为电压信号，然后经过井下发射器处理后，由通讯电缆传输至地面中心站和分析计算机，系统分析软件根据实时监测数据对监测区域的冲击危险性进行综合评价，并给出相应统计图表。</w:t>
      </w:r>
    </w:p>
    <w:p>
      <w:pPr>
        <w:snapToGrid w:val="0"/>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（1）安装要求</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①地音传感器应安装在专用锚杆上，锚杆长度2.4m，垂直煤壁，锚固方式为加长锚固。</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②回采巷道超前工作面30m～200m安装。</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③回采工作面两巷回采帮各安装两个地音传感器，距离回采工作面最近的传感器距离不得小于30m，两个地音传感器间距为40～60m。</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④地音传感器通过连接器固定在锚杆上，固定牢固、不松动。安装完成后挂牌管理，且管理牌板与传感器同步挪移。</w:t>
      </w:r>
    </w:p>
    <w:p>
      <w:pPr>
        <w:snapToGrid w:val="0"/>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（2）地音监测系统布置方案</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在采煤工作面前方</w:t>
      </w: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0m</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200m</w:t>
      </w:r>
      <w:r>
        <w:rPr>
          <w:rFonts w:hint="eastAsia" w:ascii="仿宋" w:hAnsi="仿宋" w:eastAsia="仿宋"/>
          <w:color w:val="000000" w:themeColor="text1"/>
          <w:sz w:val="24"/>
          <w14:textFill>
            <w14:solidFill>
              <w14:schemeClr w14:val="tx1"/>
            </w14:solidFill>
          </w14:textFill>
        </w:rPr>
        <w:t>范围机风两巷</w:t>
      </w:r>
      <w:r>
        <w:rPr>
          <w:rFonts w:ascii="仿宋" w:hAnsi="仿宋" w:eastAsia="仿宋"/>
          <w:color w:val="000000" w:themeColor="text1"/>
          <w:sz w:val="24"/>
          <w14:textFill>
            <w14:solidFill>
              <w14:schemeClr w14:val="tx1"/>
            </w14:solidFill>
          </w14:textFill>
        </w:rPr>
        <w:t>内各安装2个传感器；第一个地音传感器布置在工作面前方大于30m处，第二个地音传感器与第一个地音传感器间距</w:t>
      </w:r>
      <w:r>
        <w:rPr>
          <w:rFonts w:hint="eastAsia" w:ascii="仿宋" w:hAnsi="仿宋" w:eastAsia="仿宋"/>
          <w:color w:val="000000" w:themeColor="text1"/>
          <w:sz w:val="24"/>
          <w14:textFill>
            <w14:solidFill>
              <w14:schemeClr w14:val="tx1"/>
            </w14:solidFill>
          </w14:textFill>
        </w:rPr>
        <w:t>40～60m</w:t>
      </w:r>
      <w:r>
        <w:rPr>
          <w:rFonts w:ascii="仿宋" w:hAnsi="仿宋" w:eastAsia="仿宋"/>
          <w:color w:val="000000" w:themeColor="text1"/>
          <w:sz w:val="24"/>
          <w14:textFill>
            <w14:solidFill>
              <w14:schemeClr w14:val="tx1"/>
            </w14:solidFill>
          </w14:textFill>
        </w:rPr>
        <w:t>布置。地音传感器距离回采工作面小于30m时，将该地音传感器移到另一个地音传感器前方60m处，</w:t>
      </w:r>
      <w:r>
        <w:rPr>
          <w:rFonts w:hint="eastAsia" w:ascii="仿宋" w:hAnsi="仿宋" w:eastAsia="仿宋"/>
          <w:color w:val="000000" w:themeColor="text1"/>
          <w:sz w:val="24"/>
          <w14:textFill>
            <w14:solidFill>
              <w14:schemeClr w14:val="tx1"/>
            </w14:solidFill>
          </w14:textFill>
        </w:rPr>
        <w:t>两巷</w:t>
      </w:r>
      <w:r>
        <w:rPr>
          <w:rFonts w:ascii="仿宋" w:hAnsi="仿宋" w:eastAsia="仿宋"/>
          <w:color w:val="000000" w:themeColor="text1"/>
          <w:sz w:val="24"/>
          <w14:textFill>
            <w14:solidFill>
              <w14:schemeClr w14:val="tx1"/>
            </w14:solidFill>
          </w14:textFill>
        </w:rPr>
        <w:t>地音传感器随工作面回采交替向前移动</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布置方案如图</w:t>
      </w:r>
      <w:r>
        <w:rPr>
          <w:rFonts w:hint="eastAsia" w:ascii="仿宋" w:hAnsi="仿宋" w:eastAsia="仿宋"/>
          <w:color w:val="000000" w:themeColor="text1"/>
          <w:sz w:val="24"/>
          <w14:textFill>
            <w14:solidFill>
              <w14:schemeClr w14:val="tx1"/>
            </w14:solidFill>
          </w14:textFill>
        </w:rPr>
        <w:t>11</w:t>
      </w:r>
      <w:r>
        <w:rPr>
          <w:rFonts w:ascii="仿宋" w:hAnsi="仿宋" w:eastAsia="仿宋"/>
          <w:color w:val="000000" w:themeColor="text1"/>
          <w:sz w:val="24"/>
          <w14:textFill>
            <w14:solidFill>
              <w14:schemeClr w14:val="tx1"/>
            </w14:solidFill>
          </w14:textFill>
        </w:rPr>
        <w:t>所示。</w:t>
      </w:r>
    </w:p>
    <w:p>
      <w:pPr>
        <w:pStyle w:val="35"/>
        <w:snapToGrid w:val="0"/>
        <w:spacing w:after="0" w:line="240" w:lineRule="atLeast"/>
        <w:ind w:left="0" w:leftChars="0" w:firstLine="1274" w:firstLineChars="607"/>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943350" cy="1601470"/>
            <wp:effectExtent l="19050" t="19050" r="19050" b="17780"/>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47498" cy="1603081"/>
                    </a:xfrm>
                    <a:prstGeom prst="rect">
                      <a:avLst/>
                    </a:prstGeom>
                    <a:noFill/>
                    <a:ln>
                      <a:solidFill>
                        <a:schemeClr val="tx1"/>
                      </a:solidFill>
                    </a:ln>
                  </pic:spPr>
                </pic:pic>
              </a:graphicData>
            </a:graphic>
          </wp:inline>
        </w:drawing>
      </w:r>
    </w:p>
    <w:p>
      <w:pPr>
        <w:snapToGrid w:val="0"/>
        <w:spacing w:line="240" w:lineRule="atLeast"/>
        <w:ind w:firstLine="420"/>
        <w:jc w:val="center"/>
        <w:rPr>
          <w:rFonts w:ascii="仿宋" w:hAnsi="仿宋" w:eastAsia="仿宋"/>
          <w:bCs/>
          <w:color w:val="000000" w:themeColor="text1"/>
          <w:kern w:val="0"/>
          <w:szCs w:val="21"/>
          <w14:textFill>
            <w14:solidFill>
              <w14:schemeClr w14:val="tx1"/>
            </w14:solidFill>
          </w14:textFill>
        </w:rPr>
      </w:pPr>
      <w:r>
        <w:rPr>
          <w:rFonts w:ascii="仿宋" w:hAnsi="仿宋" w:eastAsia="仿宋"/>
          <w:bCs/>
          <w:color w:val="000000" w:themeColor="text1"/>
          <w14:textFill>
            <w14:solidFill>
              <w14:schemeClr w14:val="tx1"/>
            </w14:solidFill>
          </w14:textFill>
        </w:rPr>
        <w:t>图</w:t>
      </w:r>
      <w:r>
        <w:rPr>
          <w:rFonts w:hint="eastAsia" w:ascii="仿宋" w:hAnsi="仿宋" w:eastAsia="仿宋"/>
          <w:bCs/>
          <w:color w:val="000000" w:themeColor="text1"/>
          <w:kern w:val="0"/>
          <w:szCs w:val="21"/>
          <w14:textFill>
            <w14:solidFill>
              <w14:schemeClr w14:val="tx1"/>
            </w14:solidFill>
          </w14:textFill>
        </w:rPr>
        <w:t>11</w:t>
      </w:r>
      <w:r>
        <w:rPr>
          <w:rFonts w:ascii="仿宋" w:hAnsi="仿宋" w:eastAsia="仿宋"/>
          <w:bCs/>
          <w:color w:val="000000" w:themeColor="text1"/>
          <w:kern w:val="0"/>
          <w:szCs w:val="21"/>
          <w14:textFill>
            <w14:solidFill>
              <w14:schemeClr w14:val="tx1"/>
            </w14:solidFill>
          </w14:textFill>
        </w:rPr>
        <w:t xml:space="preserve">  </w:t>
      </w:r>
      <w:r>
        <w:rPr>
          <w:rFonts w:hint="eastAsia" w:ascii="仿宋" w:hAnsi="仿宋" w:eastAsia="仿宋"/>
          <w:bCs/>
          <w:color w:val="000000" w:themeColor="text1"/>
          <w14:textFill>
            <w14:solidFill>
              <w14:schemeClr w14:val="tx1"/>
            </w14:solidFill>
          </w14:textFill>
        </w:rPr>
        <w:t>地音监</w:t>
      </w:r>
      <w:r>
        <w:rPr>
          <w:rFonts w:ascii="仿宋" w:hAnsi="仿宋" w:eastAsia="仿宋"/>
          <w:bCs/>
          <w:color w:val="000000" w:themeColor="text1"/>
          <w14:textFill>
            <w14:solidFill>
              <w14:schemeClr w14:val="tx1"/>
            </w14:solidFill>
          </w14:textFill>
        </w:rPr>
        <w:t>测点布置方案</w:t>
      </w:r>
    </w:p>
    <w:p>
      <w:pPr>
        <w:snapToGrid w:val="0"/>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（3）预警规则</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通过分析地音事件的发生规律，可以对相应监测区域在下一时间段内的危险等级进行评价，根据地音事件的事件数及能量偏差值设定以下评定标准： </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 xml:space="preserve">监测区域无冲击危险； </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 xml:space="preserve">监测区域有一定的矿压显现，但是不影响正常生产； </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监测区域双通道同时达到C级后持续4小时及以上（每小时能量达到</w:t>
      </w: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.0E+0</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 xml:space="preserve">J以上），需要采取钻屑校检、减少掘进强度和冲击危险区作业人员等防治措施； </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“D”——</w:t>
      </w:r>
      <w:r>
        <w:rPr>
          <w:rFonts w:hint="eastAsia" w:ascii="仿宋" w:hAnsi="仿宋" w:eastAsia="仿宋"/>
          <w:color w:val="000000" w:themeColor="text1"/>
          <w:sz w:val="24"/>
          <w14:textFill>
            <w14:solidFill>
              <w14:schemeClr w14:val="tx1"/>
            </w14:solidFill>
          </w14:textFill>
        </w:rPr>
        <w:t>监测区域矿压现象强烈，双通道同时持续3小时及以上达到D级（每小时能量达到</w:t>
      </w:r>
      <w:r>
        <w:rPr>
          <w:rFonts w:hint="eastAsia" w:ascii="仿宋" w:hAnsi="仿宋" w:eastAsia="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 xml:space="preserve">.0E+05J以上），需要进行钻屑、应力、微震结合现场矿压显现等进行综合分析研判，判定具有冲击危险时，停止施工，撤离人员。 </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①同一顺槽相邻两个通道出现双参数（频次偏差值、能量偏差值）达到</w:t>
      </w:r>
      <w:r>
        <w:rPr>
          <w:rFonts w:ascii="仿宋" w:hAnsi="仿宋" w:eastAsia="仿宋"/>
          <w:color w:val="000000" w:themeColor="text1"/>
          <w:sz w:val="24"/>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级及以上，并且两个通道在达到</w:t>
      </w:r>
      <w:r>
        <w:rPr>
          <w:rFonts w:ascii="仿宋" w:hAnsi="仿宋" w:eastAsia="仿宋"/>
          <w:color w:val="000000" w:themeColor="text1"/>
          <w:sz w:val="24"/>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 xml:space="preserve">级以上后连续4个小时频次偏差值和能量偏差值均为正值，需进行钻屑校检； </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②如果仅单一通道在最近一个班次达到</w:t>
      </w:r>
      <w:r>
        <w:rPr>
          <w:rFonts w:ascii="仿宋" w:hAnsi="仿宋" w:eastAsia="仿宋"/>
          <w:color w:val="000000" w:themeColor="text1"/>
          <w:sz w:val="24"/>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或</w:t>
      </w:r>
      <w:r>
        <w:rPr>
          <w:rFonts w:ascii="仿宋" w:hAnsi="仿宋" w:eastAsia="仿宋"/>
          <w:color w:val="000000" w:themeColor="text1"/>
          <w:sz w:val="24"/>
          <w14:textFill>
            <w14:solidFill>
              <w14:schemeClr w14:val="tx1"/>
            </w14:solidFill>
          </w14:textFill>
        </w:rPr>
        <w:t>D</w:t>
      </w:r>
      <w:r>
        <w:rPr>
          <w:rFonts w:hint="eastAsia" w:ascii="仿宋" w:hAnsi="仿宋" w:eastAsia="仿宋"/>
          <w:color w:val="000000" w:themeColor="text1"/>
          <w:sz w:val="24"/>
          <w14:textFill>
            <w14:solidFill>
              <w14:schemeClr w14:val="tx1"/>
            </w14:solidFill>
          </w14:textFill>
        </w:rPr>
        <w:t>，应密切关注该通道下一个工作班每小时危险等级变化趋势，如果在下一个班的前</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个小时危险等级继续上升或维持在</w:t>
      </w:r>
      <w:r>
        <w:rPr>
          <w:rFonts w:ascii="仿宋" w:hAnsi="仿宋" w:eastAsia="仿宋"/>
          <w:color w:val="000000" w:themeColor="text1"/>
          <w:sz w:val="24"/>
          <w14:textFill>
            <w14:solidFill>
              <w14:schemeClr w14:val="tx1"/>
            </w14:solidFill>
          </w14:textFill>
        </w:rPr>
        <w:t>D</w:t>
      </w:r>
      <w:r>
        <w:rPr>
          <w:rFonts w:hint="eastAsia" w:ascii="仿宋" w:hAnsi="仿宋" w:eastAsia="仿宋"/>
          <w:color w:val="000000" w:themeColor="text1"/>
          <w:sz w:val="24"/>
          <w14:textFill>
            <w14:solidFill>
              <w14:schemeClr w14:val="tx1"/>
            </w14:solidFill>
          </w14:textFill>
        </w:rPr>
        <w:t xml:space="preserve">，可判定存在冲击危险，需进行钻屑校检； </w:t>
      </w:r>
    </w:p>
    <w:p>
      <w:pPr>
        <w:pStyle w:val="35"/>
        <w:snapToGrid w:val="0"/>
        <w:spacing w:after="0"/>
        <w:ind w:left="0" w:leftChars="0"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③当冲击（小时）危险等级连续4小时降低到</w:t>
      </w:r>
      <w:r>
        <w:rPr>
          <w:rFonts w:ascii="仿宋" w:hAnsi="仿宋" w:eastAsia="仿宋"/>
          <w:color w:val="000000" w:themeColor="text1"/>
          <w:sz w:val="24"/>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或</w:t>
      </w:r>
      <w:r>
        <w:rPr>
          <w:rFonts w:ascii="仿宋" w:hAnsi="仿宋" w:eastAsia="仿宋"/>
          <w:color w:val="000000" w:themeColor="text1"/>
          <w:sz w:val="24"/>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时，冲击危险预警方可解除。</w:t>
      </w:r>
    </w:p>
    <w:p>
      <w:pPr>
        <w:pStyle w:val="12"/>
        <w:snapToGrid w:val="0"/>
        <w:spacing w:after="0" w:line="240" w:lineRule="atLeast"/>
        <w:ind w:firstLine="0" w:firstLineChars="0"/>
        <w:rPr>
          <w:color w:val="000000" w:themeColor="text1"/>
          <w:sz w:val="24"/>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25</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地音</w:t>
      </w:r>
      <w:r>
        <w:rPr>
          <w:b/>
          <w:color w:val="000000" w:themeColor="text1"/>
          <w14:textFill>
            <w14:solidFill>
              <w14:schemeClr w14:val="tx1"/>
            </w14:solidFill>
          </w14:textFill>
        </w:rPr>
        <w:t>监测预警</w:t>
      </w:r>
      <w:r>
        <w:rPr>
          <w:rFonts w:hint="eastAsia"/>
          <w:b/>
          <w:color w:val="000000" w:themeColor="text1"/>
          <w14:textFill>
            <w14:solidFill>
              <w14:schemeClr w14:val="tx1"/>
            </w14:solidFill>
          </w14:textFill>
        </w:rPr>
        <w:t>等级</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7"/>
        <w:gridCol w:w="5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pct"/>
            <w:tcBorders>
              <w:top w:val="single" w:color="auto" w:sz="12" w:space="0"/>
              <w:left w:val="nil"/>
              <w:bottom w:val="single" w:color="auto" w:sz="6" w:space="0"/>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预警级别</w:t>
            </w:r>
          </w:p>
        </w:tc>
        <w:tc>
          <w:tcPr>
            <w:tcW w:w="3025" w:type="pct"/>
            <w:tcBorders>
              <w:top w:val="single" w:color="auto" w:sz="12" w:space="0"/>
              <w:left w:val="nil"/>
              <w:bottom w:val="single" w:color="auto" w:sz="6" w:space="0"/>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偏差值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pct"/>
            <w:tcBorders>
              <w:top w:val="single" w:color="auto" w:sz="6" w:space="0"/>
              <w:left w:val="nil"/>
              <w:bottom w:val="nil"/>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A</w:t>
            </w:r>
          </w:p>
        </w:tc>
        <w:tc>
          <w:tcPr>
            <w:tcW w:w="3025" w:type="pct"/>
            <w:tcBorders>
              <w:top w:val="single" w:color="auto" w:sz="6" w:space="0"/>
              <w:left w:val="nil"/>
              <w:bottom w:val="nil"/>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pct"/>
            <w:tcBorders>
              <w:top w:val="nil"/>
              <w:left w:val="nil"/>
              <w:bottom w:val="nil"/>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B</w:t>
            </w:r>
          </w:p>
        </w:tc>
        <w:tc>
          <w:tcPr>
            <w:tcW w:w="3025" w:type="pct"/>
            <w:tcBorders>
              <w:top w:val="nil"/>
              <w:left w:val="nil"/>
              <w:bottom w:val="nil"/>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25%～＜100%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pct"/>
            <w:tcBorders>
              <w:top w:val="nil"/>
              <w:left w:val="nil"/>
              <w:bottom w:val="nil"/>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C</w:t>
            </w:r>
          </w:p>
        </w:tc>
        <w:tc>
          <w:tcPr>
            <w:tcW w:w="3025" w:type="pct"/>
            <w:tcBorders>
              <w:top w:val="nil"/>
              <w:left w:val="nil"/>
              <w:bottom w:val="nil"/>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100%～＜200%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pct"/>
            <w:tcBorders>
              <w:top w:val="nil"/>
              <w:left w:val="nil"/>
              <w:bottom w:val="single" w:color="auto" w:sz="12" w:space="0"/>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D</w:t>
            </w:r>
          </w:p>
        </w:tc>
        <w:tc>
          <w:tcPr>
            <w:tcW w:w="3025" w:type="pct"/>
            <w:tcBorders>
              <w:top w:val="nil"/>
              <w:left w:val="nil"/>
              <w:bottom w:val="single" w:color="auto" w:sz="12" w:space="0"/>
              <w:right w:val="nil"/>
            </w:tcBorders>
            <w:vAlign w:val="center"/>
          </w:tcPr>
          <w:p>
            <w:pPr>
              <w:pStyle w:val="35"/>
              <w:snapToGrid w:val="0"/>
              <w:spacing w:after="0" w:line="240" w:lineRule="atLeast"/>
              <w:ind w:left="0" w:left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＞200%</w:t>
            </w:r>
          </w:p>
        </w:tc>
      </w:tr>
    </w:tbl>
    <w:p>
      <w:pPr>
        <w:snapToGrid w:val="0"/>
        <w:ind w:firstLine="480"/>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由于地音监测系统为新投入使用的监测预警设备，预警参数将在实际使用过程中不断优化调整。</w:t>
      </w:r>
    </w:p>
    <w:p>
      <w:pPr>
        <w:pStyle w:val="12"/>
        <w:snapToGrid w:val="0"/>
        <w:spacing w:after="0"/>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w:t>
      </w:r>
      <w:r>
        <w:rPr>
          <w:rFonts w:ascii="仿宋" w:hAnsi="仿宋" w:eastAsia="仿宋"/>
          <w:b/>
          <w:color w:val="000000" w:themeColor="text1"/>
          <w:sz w:val="24"/>
          <w14:textFill>
            <w14:solidFill>
              <w14:schemeClr w14:val="tx1"/>
            </w14:solidFill>
          </w14:textFill>
        </w:rPr>
        <w:t>应力在线监测法</w:t>
      </w:r>
    </w:p>
    <w:p>
      <w:pPr>
        <w:pStyle w:val="13"/>
        <w:snapToGrid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应力在线监测法时一种冲击地压局部监测预警措施。通过应力在线监测预警系统，可实时在线监测工作面前方采动应力场及特定区域应力场的变化规律，记录监测数据并绘制应力变化曲线，实时准确反映采煤工作面煤体应力，及时发现应力超限预警区域，并采用钻屑法对预警区域进行检验，为冲击地压灾害的监测预警、矿</w:t>
      </w:r>
      <w:bookmarkStart w:id="507" w:name="_GoBack"/>
      <w:bookmarkEnd w:id="507"/>
      <w:r>
        <w:rPr>
          <w:rFonts w:ascii="Times New Roman" w:hAnsi="Times New Roman"/>
          <w:color w:val="000000" w:themeColor="text1"/>
          <w:sz w:val="24"/>
          <w:szCs w:val="24"/>
          <w14:textFill>
            <w14:solidFill>
              <w14:schemeClr w14:val="tx1"/>
            </w14:solidFill>
          </w14:textFill>
        </w:rPr>
        <w:t>山压力的预测预报、巷道布置、工作面支护设计等提供设计和决策依据。</w:t>
      </w:r>
    </w:p>
    <w:p>
      <w:pPr>
        <w:snapToGrid w:val="0"/>
        <w:ind w:firstLine="0" w:firstLineChars="0"/>
        <w:rPr>
          <w:b/>
          <w:color w:val="000000" w:themeColor="text1"/>
          <w:sz w:val="24"/>
          <w14:textFill>
            <w14:solidFill>
              <w14:schemeClr w14:val="tx1"/>
            </w14:solidFill>
          </w14:textFill>
        </w:rPr>
      </w:pPr>
      <w:bookmarkStart w:id="384" w:name="_Toc10057"/>
      <w:bookmarkStart w:id="385" w:name="_Toc9851"/>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应力测点布置方案</w:t>
      </w:r>
      <w:bookmarkEnd w:id="384"/>
      <w:bookmarkEnd w:id="385"/>
    </w:p>
    <w:p>
      <w:pPr>
        <w:snapToGrid w:val="0"/>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将1303工作面应力在线监测预警系统的应力计分别布置在工作面机巷与风巷回采帮，井下数据传输采用无线传输，对于强冲击危险区域，测点组间距不大于20m，对于弱及中等冲击危险区域，</w:t>
      </w:r>
      <w:r>
        <w:rPr>
          <w:rFonts w:hint="eastAsia" w:ascii="仿宋" w:hAnsi="仿宋" w:eastAsia="仿宋"/>
          <w:color w:val="000000" w:themeColor="text1"/>
          <w:sz w:val="24"/>
          <w14:textFill>
            <w14:solidFill>
              <w14:schemeClr w14:val="tx1"/>
            </w14:solidFill>
          </w14:textFill>
        </w:rPr>
        <w:t>组</w:t>
      </w:r>
      <w:r>
        <w:rPr>
          <w:rFonts w:ascii="仿宋" w:hAnsi="仿宋" w:eastAsia="仿宋"/>
          <w:color w:val="000000" w:themeColor="text1"/>
          <w:sz w:val="24"/>
          <w14:textFill>
            <w14:solidFill>
              <w14:schemeClr w14:val="tx1"/>
            </w14:solidFill>
          </w14:textFill>
        </w:rPr>
        <w:t>间距不大于30m。组内</w:t>
      </w:r>
      <w:r>
        <w:rPr>
          <w:rFonts w:hint="eastAsia" w:ascii="仿宋" w:hAnsi="仿宋" w:eastAsia="仿宋"/>
          <w:color w:val="000000" w:themeColor="text1"/>
          <w:sz w:val="24"/>
          <w14:textFill>
            <w14:solidFill>
              <w14:schemeClr w14:val="tx1"/>
            </w14:solidFill>
          </w14:textFill>
        </w:rPr>
        <w:t>两测点</w:t>
      </w:r>
      <w:r>
        <w:rPr>
          <w:rFonts w:ascii="仿宋" w:hAnsi="仿宋" w:eastAsia="仿宋"/>
          <w:color w:val="000000" w:themeColor="text1"/>
          <w:sz w:val="24"/>
          <w14:textFill>
            <w14:solidFill>
              <w14:schemeClr w14:val="tx1"/>
            </w14:solidFill>
          </w14:textFill>
        </w:rPr>
        <w:t>间距</w:t>
      </w:r>
      <w:r>
        <w:rPr>
          <w:rFonts w:hint="eastAsia" w:ascii="仿宋" w:hAnsi="仿宋" w:eastAsia="仿宋"/>
          <w:color w:val="000000" w:themeColor="text1"/>
          <w:sz w:val="24"/>
          <w14:textFill>
            <w14:solidFill>
              <w14:schemeClr w14:val="tx1"/>
            </w14:solidFill>
          </w14:textFill>
        </w:rPr>
        <w:t>不大于2</w:t>
      </w:r>
      <w:r>
        <w:rPr>
          <w:rFonts w:ascii="仿宋" w:hAnsi="仿宋" w:eastAsia="仿宋"/>
          <w:color w:val="000000" w:themeColor="text1"/>
          <w:sz w:val="24"/>
          <w14:textFill>
            <w14:solidFill>
              <w14:schemeClr w14:val="tx1"/>
            </w14:solidFill>
          </w14:textFill>
        </w:rPr>
        <w:t>m</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安装初始值不小于4MPa。</w:t>
      </w:r>
      <w:r>
        <w:rPr>
          <w:rFonts w:hint="eastAsia" w:ascii="仿宋" w:hAnsi="仿宋" w:eastAsia="仿宋"/>
          <w:color w:val="000000" w:themeColor="text1"/>
          <w:sz w:val="24"/>
          <w14:textFill>
            <w14:solidFill>
              <w14:schemeClr w14:val="tx1"/>
            </w14:solidFill>
          </w14:textFill>
        </w:rPr>
        <w:t>回采期间，应力计回收距离距工作面正常情况下不大于20m；若因支架、转载机等影响，回收距离不大于30m。</w:t>
      </w:r>
    </w:p>
    <w:p>
      <w:pPr>
        <w:snapToGrid w:val="0"/>
        <w:ind w:firstLine="480"/>
        <w:textAlignment w:val="center"/>
        <w:rPr>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1303工作面已安装北京安科KJ615应力在线监测系统，在掘进期间应力计安装基础上</w:t>
      </w:r>
      <w:r>
        <w:rPr>
          <w:rFonts w:hint="eastAsia" w:ascii="仿宋" w:hAnsi="仿宋" w:eastAsia="仿宋"/>
          <w:color w:val="000000" w:themeColor="text1"/>
          <w:sz w:val="24"/>
          <w14:textFill>
            <w14:solidFill>
              <w14:schemeClr w14:val="tx1"/>
            </w14:solidFill>
          </w14:textFill>
        </w:rPr>
        <w:t>根据</w:t>
      </w:r>
      <w:r>
        <w:rPr>
          <w:rFonts w:ascii="仿宋" w:hAnsi="仿宋" w:eastAsia="仿宋"/>
          <w:color w:val="000000" w:themeColor="text1"/>
          <w:sz w:val="24"/>
          <w14:textFill>
            <w14:solidFill>
              <w14:schemeClr w14:val="tx1"/>
            </w14:solidFill>
          </w14:textFill>
        </w:rPr>
        <w:t>回采</w:t>
      </w:r>
      <w:r>
        <w:rPr>
          <w:rFonts w:hint="eastAsia" w:ascii="仿宋" w:hAnsi="仿宋" w:eastAsia="仿宋"/>
          <w:color w:val="000000" w:themeColor="text1"/>
          <w:sz w:val="24"/>
          <w14:textFill>
            <w14:solidFill>
              <w14:schemeClr w14:val="tx1"/>
            </w14:solidFill>
          </w14:textFill>
        </w:rPr>
        <w:t>期间冲击危险区域划分结果</w:t>
      </w:r>
      <w:r>
        <w:rPr>
          <w:rFonts w:ascii="仿宋" w:hAnsi="仿宋" w:eastAsia="仿宋"/>
          <w:color w:val="000000" w:themeColor="text1"/>
          <w:sz w:val="24"/>
          <w14:textFill>
            <w14:solidFill>
              <w14:schemeClr w14:val="tx1"/>
            </w14:solidFill>
          </w14:textFill>
        </w:rPr>
        <w:t>调整</w:t>
      </w:r>
      <w:r>
        <w:rPr>
          <w:color w:val="000000" w:themeColor="text1"/>
          <w:sz w:val="24"/>
          <w14:textFill>
            <w14:solidFill>
              <w14:schemeClr w14:val="tx1"/>
            </w14:solidFill>
          </w14:textFill>
        </w:rPr>
        <w:t>，确保工作面超前巷道监测范围不小于300m</w:t>
      </w:r>
      <w:r>
        <w:rPr>
          <w:rFonts w:hint="eastAsia"/>
          <w:color w:val="000000" w:themeColor="text1"/>
          <w:sz w:val="24"/>
          <w14:textFill>
            <w14:solidFill>
              <w14:schemeClr w14:val="tx1"/>
            </w14:solidFill>
          </w14:textFill>
        </w:rPr>
        <w:t>（末采期间根据现场具体条件进行测点布置）</w:t>
      </w:r>
      <w:r>
        <w:rPr>
          <w:color w:val="000000" w:themeColor="text1"/>
          <w:sz w:val="24"/>
          <w14:textFill>
            <w14:solidFill>
              <w14:schemeClr w14:val="tx1"/>
            </w14:solidFill>
          </w14:textFill>
        </w:rPr>
        <w:t>，应力计安装以深浅孔为一组进行安装，其布置示意图见图</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所示。</w:t>
      </w:r>
    </w:p>
    <w:p>
      <w:pPr>
        <w:pStyle w:val="78"/>
        <w:ind w:firstLine="42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51785" cy="2009775"/>
            <wp:effectExtent l="19050" t="19050" r="24765" b="952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37"/>
                    <a:stretch>
                      <a:fillRect/>
                    </a:stretch>
                  </pic:blipFill>
                  <pic:spPr>
                    <a:xfrm>
                      <a:off x="0" y="0"/>
                      <a:ext cx="2857183" cy="2013576"/>
                    </a:xfrm>
                    <a:prstGeom prst="rect">
                      <a:avLst/>
                    </a:prstGeom>
                    <a:noFill/>
                    <a:ln>
                      <a:solidFill>
                        <a:schemeClr val="tx1"/>
                      </a:solidFill>
                    </a:ln>
                  </pic:spPr>
                </pic:pic>
              </a:graphicData>
            </a:graphic>
          </wp:inline>
        </w:drawing>
      </w:r>
    </w:p>
    <w:p>
      <w:pPr>
        <w:pStyle w:val="78"/>
        <w:ind w:firstLine="0" w:firstLineChars="0"/>
        <w:rPr>
          <w:rFonts w:ascii="仿宋" w:hAnsi="仿宋" w:eastAsia="仿宋"/>
          <w:b w:val="0"/>
          <w:color w:val="000000" w:themeColor="text1"/>
          <w14:textFill>
            <w14:solidFill>
              <w14:schemeClr w14:val="tx1"/>
            </w14:solidFill>
          </w14:textFill>
        </w:rPr>
      </w:pPr>
      <w:r>
        <w:rPr>
          <w:rFonts w:ascii="仿宋" w:hAnsi="仿宋" w:eastAsia="仿宋"/>
          <w:b w:val="0"/>
          <w:color w:val="000000" w:themeColor="text1"/>
          <w14:textFill>
            <w14:solidFill>
              <w14:schemeClr w14:val="tx1"/>
            </w14:solidFill>
          </w14:textFill>
        </w:rPr>
        <w:t>图</w:t>
      </w:r>
      <w:r>
        <w:rPr>
          <w:rFonts w:hint="eastAsia" w:ascii="仿宋" w:hAnsi="仿宋" w:eastAsia="仿宋"/>
          <w:b w:val="0"/>
          <w:color w:val="000000" w:themeColor="text1"/>
          <w14:textFill>
            <w14:solidFill>
              <w14:schemeClr w14:val="tx1"/>
            </w14:solidFill>
          </w14:textFill>
        </w:rPr>
        <w:t>12</w:t>
      </w:r>
      <w:r>
        <w:rPr>
          <w:rFonts w:ascii="仿宋" w:hAnsi="仿宋" w:eastAsia="仿宋"/>
          <w:b w:val="0"/>
          <w:color w:val="000000" w:themeColor="text1"/>
          <w14:textFill>
            <w14:solidFill>
              <w14:schemeClr w14:val="tx1"/>
            </w14:solidFill>
          </w14:textFill>
        </w:rPr>
        <w:t xml:space="preserve">  应力测点布置示意图</w:t>
      </w:r>
    </w:p>
    <w:p>
      <w:pPr>
        <w:ind w:firstLine="0" w:firstLineChars="0"/>
        <w:rPr>
          <w:rFonts w:ascii="仿宋" w:hAnsi="仿宋" w:eastAsia="仿宋"/>
          <w:b/>
          <w:color w:val="000000" w:themeColor="text1"/>
          <w:sz w:val="24"/>
          <w14:textFill>
            <w14:solidFill>
              <w14:schemeClr w14:val="tx1"/>
            </w14:solidFill>
          </w14:textFill>
        </w:rPr>
      </w:pPr>
      <w:bookmarkStart w:id="386" w:name="_Toc21518"/>
      <w:bookmarkStart w:id="387" w:name="_Toc26761"/>
      <w:r>
        <w:rPr>
          <w:rFonts w:hint="eastAsia" w:ascii="仿宋" w:hAnsi="仿宋" w:eastAsia="仿宋"/>
          <w:b/>
          <w:color w:val="000000" w:themeColor="text1"/>
          <w:sz w:val="24"/>
          <w14:textFill>
            <w14:solidFill>
              <w14:schemeClr w14:val="tx1"/>
            </w14:solidFill>
          </w14:textFill>
        </w:rPr>
        <w:t>（2）</w:t>
      </w:r>
      <w:r>
        <w:rPr>
          <w:rFonts w:ascii="仿宋" w:hAnsi="仿宋" w:eastAsia="仿宋"/>
          <w:b/>
          <w:color w:val="000000" w:themeColor="text1"/>
          <w:sz w:val="24"/>
          <w14:textFill>
            <w14:solidFill>
              <w14:schemeClr w14:val="tx1"/>
            </w14:solidFill>
          </w14:textFill>
        </w:rPr>
        <w:t>钻孔施工要求</w:t>
      </w:r>
      <w:bookmarkEnd w:id="386"/>
      <w:bookmarkEnd w:id="387"/>
    </w:p>
    <w:p>
      <w:pPr>
        <w:snapToGrid w:val="0"/>
        <w:ind w:firstLine="48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施工设备主要为钻孔施工设备（钻机、钻杆、钻头），钻孔参数：</w:t>
      </w:r>
    </w:p>
    <w:p>
      <w:pPr>
        <w:snapToGrid w:val="0"/>
        <w:ind w:firstLine="48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钻孔直径：φ45mm。</w:t>
      </w:r>
    </w:p>
    <w:p>
      <w:pPr>
        <w:snapToGrid w:val="0"/>
        <w:ind w:firstLine="48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钻孔深度：根据《冲击地压测定、监测与防治方法》GB/T25217.7—2019第七部分：采动应力监测方法，浅基点深度取8m，靠近工作面方向；深基点深度取12.5m。煤层孔距离巷道煤层底板为1～1.5m，平行煤层。</w:t>
      </w:r>
    </w:p>
    <w:p>
      <w:pPr>
        <w:ind w:firstLine="0" w:firstLineChars="0"/>
        <w:rPr>
          <w:rFonts w:ascii="仿宋" w:hAnsi="仿宋" w:eastAsia="仿宋"/>
          <w:b/>
          <w:color w:val="000000" w:themeColor="text1"/>
          <w:sz w:val="24"/>
          <w14:textFill>
            <w14:solidFill>
              <w14:schemeClr w14:val="tx1"/>
            </w14:solidFill>
          </w14:textFill>
        </w:rPr>
      </w:pPr>
      <w:bookmarkStart w:id="388" w:name="_Toc20796"/>
      <w:r>
        <w:rPr>
          <w:rFonts w:hint="eastAsia" w:ascii="仿宋" w:hAnsi="仿宋" w:eastAsia="仿宋"/>
          <w:b/>
          <w:color w:val="000000" w:themeColor="text1"/>
          <w:sz w:val="24"/>
          <w14:textFill>
            <w14:solidFill>
              <w14:schemeClr w14:val="tx1"/>
            </w14:solidFill>
          </w14:textFill>
        </w:rPr>
        <w:t>（3）</w:t>
      </w:r>
      <w:r>
        <w:rPr>
          <w:rFonts w:ascii="仿宋" w:hAnsi="仿宋" w:eastAsia="仿宋"/>
          <w:b/>
          <w:color w:val="000000" w:themeColor="text1"/>
          <w:sz w:val="24"/>
          <w14:textFill>
            <w14:solidFill>
              <w14:schemeClr w14:val="tx1"/>
            </w14:solidFill>
          </w14:textFill>
        </w:rPr>
        <w:t>预警指标</w:t>
      </w:r>
      <w:bookmarkEnd w:id="388"/>
    </w:p>
    <w:p>
      <w:pPr>
        <w:pStyle w:val="119"/>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应力在线监测预警临界指标</w:t>
      </w:r>
      <w:r>
        <w:rPr>
          <w:rFonts w:hint="eastAsia" w:ascii="仿宋" w:hAnsi="仿宋" w:eastAsia="仿宋"/>
          <w:color w:val="000000" w:themeColor="text1"/>
          <w14:textFill>
            <w14:solidFill>
              <w14:schemeClr w14:val="tx1"/>
            </w14:solidFill>
          </w14:textFill>
        </w:rPr>
        <w:t>如表</w:t>
      </w:r>
      <w:r>
        <w:rPr>
          <w:rFonts w:hint="eastAsia" w:ascii="仿宋" w:hAnsi="仿宋" w:eastAsia="仿宋"/>
          <w:color w:val="000000" w:themeColor="text1"/>
          <w:lang w:val="en-US"/>
          <w14:textFill>
            <w14:solidFill>
              <w14:schemeClr w14:val="tx1"/>
            </w14:solidFill>
          </w14:textFill>
        </w:rPr>
        <w:t>26</w:t>
      </w:r>
      <w:r>
        <w:rPr>
          <w:rFonts w:hint="eastAsia" w:ascii="仿宋" w:hAnsi="仿宋" w:eastAsia="仿宋"/>
          <w:color w:val="000000" w:themeColor="text1"/>
          <w14:textFill>
            <w14:solidFill>
              <w14:schemeClr w14:val="tx1"/>
            </w14:solidFill>
          </w14:textFill>
        </w:rPr>
        <w:t>所示，后续根据现场实际情况可进行适当调整</w:t>
      </w:r>
      <w:r>
        <w:rPr>
          <w:rFonts w:ascii="仿宋" w:hAnsi="仿宋" w:eastAsia="仿宋"/>
          <w:color w:val="000000" w:themeColor="text1"/>
          <w14:textFill>
            <w14:solidFill>
              <w14:schemeClr w14:val="tx1"/>
            </w14:solidFill>
          </w14:textFill>
        </w:rPr>
        <w:t>。</w:t>
      </w:r>
    </w:p>
    <w:p>
      <w:pPr>
        <w:pStyle w:val="117"/>
        <w:ind w:firstLine="420"/>
        <w:jc w:val="center"/>
        <w:rPr>
          <w:b w:val="0"/>
          <w:color w:val="000000" w:themeColor="text1"/>
          <w14:textFill>
            <w14:solidFill>
              <w14:schemeClr w14:val="tx1"/>
            </w14:solidFill>
          </w14:textFill>
        </w:rPr>
      </w:pPr>
      <w:bookmarkStart w:id="389" w:name="_Ref59476215"/>
      <w:r>
        <w:rPr>
          <w:rFonts w:hint="eastAsia"/>
          <w:b w:val="0"/>
          <w:color w:val="000000" w:themeColor="text1"/>
          <w14:textFill>
            <w14:solidFill>
              <w14:schemeClr w14:val="tx1"/>
            </w14:solidFill>
          </w14:textFill>
        </w:rPr>
        <w:t>表</w:t>
      </w:r>
      <w:bookmarkEnd w:id="389"/>
      <w:r>
        <w:rPr>
          <w:rFonts w:hint="eastAsia"/>
          <w:b w:val="0"/>
          <w:color w:val="000000" w:themeColor="text1"/>
          <w14:textFill>
            <w14:solidFill>
              <w14:schemeClr w14:val="tx1"/>
            </w14:solidFill>
          </w14:textFill>
        </w:rPr>
        <w:t>26</w:t>
      </w:r>
      <w:r>
        <w:rPr>
          <w:b w:val="0"/>
          <w:color w:val="000000" w:themeColor="text1"/>
          <w14:textFill>
            <w14:solidFill>
              <w14:schemeClr w14:val="tx1"/>
            </w14:solidFill>
          </w14:textFill>
        </w:rPr>
        <w:t xml:space="preserve">  应力预警指标</w:t>
      </w:r>
    </w:p>
    <w:tbl>
      <w:tblPr>
        <w:tblStyle w:val="36"/>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00"/>
        <w:gridCol w:w="2983"/>
        <w:gridCol w:w="286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jc w:val="center"/>
        </w:trPr>
        <w:tc>
          <w:tcPr>
            <w:tcW w:w="1538" w:type="pct"/>
            <w:tcBorders>
              <w:top w:val="single" w:color="auto" w:sz="12" w:space="0"/>
              <w:bottom w:val="single" w:color="auto" w:sz="4" w:space="0"/>
            </w:tcBorders>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预警阈值</w:t>
            </w:r>
          </w:p>
        </w:tc>
        <w:tc>
          <w:tcPr>
            <w:tcW w:w="1765" w:type="pct"/>
            <w:tcBorders>
              <w:top w:val="single" w:color="auto" w:sz="12" w:space="0"/>
              <w:bottom w:val="single" w:color="auto" w:sz="4" w:space="0"/>
            </w:tcBorders>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黄色预警</w:t>
            </w:r>
          </w:p>
        </w:tc>
        <w:tc>
          <w:tcPr>
            <w:tcW w:w="1697" w:type="pct"/>
            <w:tcBorders>
              <w:top w:val="single" w:color="auto" w:sz="12" w:space="0"/>
              <w:bottom w:val="single" w:color="auto" w:sz="4" w:space="0"/>
            </w:tcBorders>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红色预警</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1538" w:type="pct"/>
            <w:tcBorders>
              <w:top w:val="single" w:color="auto" w:sz="4" w:space="0"/>
            </w:tcBorders>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浅测点应力值（</w:t>
            </w:r>
            <w:r>
              <w:rPr>
                <w:rFonts w:hint="eastAsia" w:ascii="仿宋" w:hAnsi="仿宋" w:eastAsia="仿宋"/>
                <w:color w:val="000000" w:themeColor="text1"/>
                <w14:textFill>
                  <w14:solidFill>
                    <w14:schemeClr w14:val="tx1"/>
                  </w14:solidFill>
                </w14:textFill>
              </w:rPr>
              <w:t>8</w:t>
            </w:r>
            <w:r>
              <w:rPr>
                <w:rFonts w:ascii="仿宋" w:hAnsi="仿宋" w:eastAsia="仿宋"/>
                <w:color w:val="000000" w:themeColor="text1"/>
                <w14:textFill>
                  <w14:solidFill>
                    <w14:schemeClr w14:val="tx1"/>
                  </w14:solidFill>
                </w14:textFill>
              </w:rPr>
              <w:t>m）</w:t>
            </w:r>
          </w:p>
        </w:tc>
        <w:tc>
          <w:tcPr>
            <w:tcW w:w="1765" w:type="pct"/>
            <w:tcBorders>
              <w:top w:val="single" w:color="auto" w:sz="4" w:space="0"/>
            </w:tcBorders>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9MPa</w:t>
            </w:r>
          </w:p>
        </w:tc>
        <w:tc>
          <w:tcPr>
            <w:tcW w:w="1697" w:type="pct"/>
            <w:tcBorders>
              <w:top w:val="single" w:color="auto" w:sz="4" w:space="0"/>
            </w:tcBorders>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11MPa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38" w:type="pct"/>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深测点应力值（12.5m）</w:t>
            </w:r>
          </w:p>
        </w:tc>
        <w:tc>
          <w:tcPr>
            <w:tcW w:w="1765" w:type="pct"/>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11MPa</w:t>
            </w:r>
          </w:p>
        </w:tc>
        <w:tc>
          <w:tcPr>
            <w:tcW w:w="1697" w:type="pct"/>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13MPa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1538" w:type="pct"/>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应力增量</w:t>
            </w:r>
          </w:p>
        </w:tc>
        <w:tc>
          <w:tcPr>
            <w:tcW w:w="1765" w:type="pct"/>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超过阈值24h内增量达</w:t>
            </w:r>
            <w:r>
              <w:rPr>
                <w:rFonts w:hint="eastAsia" w:ascii="仿宋" w:hAnsi="仿宋" w:eastAsia="仿宋"/>
                <w:color w:val="000000" w:themeColor="text1"/>
                <w14:textFill>
                  <w14:solidFill>
                    <w14:schemeClr w14:val="tx1"/>
                  </w14:solidFill>
                </w14:textFill>
              </w:rPr>
              <w:t>2</w:t>
            </w:r>
            <w:r>
              <w:rPr>
                <w:rFonts w:ascii="仿宋" w:hAnsi="仿宋" w:eastAsia="仿宋"/>
                <w:color w:val="000000" w:themeColor="text1"/>
                <w14:textFill>
                  <w14:solidFill>
                    <w14:schemeClr w14:val="tx1"/>
                  </w14:solidFill>
                </w14:textFill>
              </w:rPr>
              <w:t>MPa</w:t>
            </w:r>
          </w:p>
        </w:tc>
        <w:tc>
          <w:tcPr>
            <w:tcW w:w="1697" w:type="pct"/>
            <w:vAlign w:val="center"/>
          </w:tcPr>
          <w:p>
            <w:pPr>
              <w:pStyle w:val="115"/>
              <w:snapToGrid w:val="0"/>
              <w:spacing w:line="240" w:lineRule="atLeast"/>
              <w:ind w:firstLine="42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超过阈值24h内增量达</w:t>
            </w:r>
            <w:r>
              <w:rPr>
                <w:rFonts w:hint="eastAsia" w:ascii="仿宋" w:hAnsi="仿宋" w:eastAsia="仿宋"/>
                <w:color w:val="000000" w:themeColor="text1"/>
                <w14:textFill>
                  <w14:solidFill>
                    <w14:schemeClr w14:val="tx1"/>
                  </w14:solidFill>
                </w14:textFill>
              </w:rPr>
              <w:t xml:space="preserve"> 3</w:t>
            </w:r>
            <w:r>
              <w:rPr>
                <w:rFonts w:ascii="仿宋" w:hAnsi="仿宋" w:eastAsia="仿宋"/>
                <w:color w:val="000000" w:themeColor="text1"/>
                <w14:textFill>
                  <w14:solidFill>
                    <w14:schemeClr w14:val="tx1"/>
                  </w14:solidFill>
                </w14:textFill>
              </w:rPr>
              <w:t>MPa</w:t>
            </w:r>
          </w:p>
        </w:tc>
      </w:tr>
    </w:tbl>
    <w:p>
      <w:pPr>
        <w:pStyle w:val="13"/>
        <w:snapToGrid w:val="0"/>
        <w:spacing w:line="360" w:lineRule="auto"/>
        <w:ind w:firstLine="0" w:firstLineChars="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w:t>
      </w:r>
      <w:r>
        <w:rPr>
          <w:rFonts w:ascii="仿宋" w:hAnsi="仿宋" w:eastAsia="仿宋"/>
          <w:b/>
          <w:color w:val="000000" w:themeColor="text1"/>
          <w:sz w:val="24"/>
          <w:szCs w:val="24"/>
          <w14:textFill>
            <w14:solidFill>
              <w14:schemeClr w14:val="tx1"/>
            </w14:solidFill>
          </w14:textFill>
        </w:rPr>
        <w:t>钻屑法监测</w:t>
      </w:r>
    </w:p>
    <w:p>
      <w:pPr>
        <w:snapToGrid w:val="0"/>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因招贤煤矿已经安装地音监测系统作为局部区域实时、临震监测预警，钻屑法监测仅作为效果检验的一种辅助监测手段。</w:t>
      </w:r>
      <w:r>
        <w:rPr>
          <w:rFonts w:ascii="仿宋" w:hAnsi="仿宋" w:eastAsia="仿宋"/>
          <w:color w:val="000000" w:themeColor="text1"/>
          <w:sz w:val="24"/>
          <w14:textFill>
            <w14:solidFill>
              <w14:schemeClr w14:val="tx1"/>
            </w14:solidFill>
          </w14:textFill>
        </w:rPr>
        <w:t>钻屑法是通过在煤层中打直径45mm的钻孔，根据排出的煤粉量及其变化规律和有关动力效应，鉴别冲击地压危险的一种局部监测手段。其理论基础是钻出煤粉量与煤体应力状态具有定量关系，即其它条件相同的煤体，当应力状态不同时，其钻孔的煤粉量也不同。当单位长度的排粉率增大或超过标定值时，表示应力集中程度增加和矿压危险性提高。</w:t>
      </w:r>
    </w:p>
    <w:p>
      <w:pPr>
        <w:snapToGrid w:val="0"/>
        <w:ind w:firstLine="0" w:firstLineChars="0"/>
        <w:rPr>
          <w:rFonts w:ascii="仿宋" w:hAnsi="仿宋" w:eastAsia="仿宋"/>
          <w:b/>
          <w:color w:val="000000" w:themeColor="text1"/>
          <w:sz w:val="24"/>
          <w14:textFill>
            <w14:solidFill>
              <w14:schemeClr w14:val="tx1"/>
            </w14:solidFill>
          </w14:textFill>
        </w:rPr>
      </w:pPr>
      <w:bookmarkStart w:id="390" w:name="_Toc28653"/>
      <w:bookmarkStart w:id="391" w:name="_Toc9035"/>
      <w:r>
        <w:rPr>
          <w:rFonts w:hint="eastAsia" w:ascii="仿宋" w:hAnsi="仿宋" w:eastAsia="仿宋"/>
          <w:b/>
          <w:color w:val="000000" w:themeColor="text1"/>
          <w:sz w:val="24"/>
          <w14:textFill>
            <w14:solidFill>
              <w14:schemeClr w14:val="tx1"/>
            </w14:solidFill>
          </w14:textFill>
        </w:rPr>
        <w:t>（1）</w:t>
      </w:r>
      <w:bookmarkEnd w:id="390"/>
      <w:bookmarkEnd w:id="391"/>
      <w:r>
        <w:rPr>
          <w:rFonts w:hint="eastAsia"/>
          <w:b/>
          <w:color w:val="000000" w:themeColor="text1"/>
          <w:sz w:val="24"/>
          <w14:textFill>
            <w14:solidFill>
              <w14:schemeClr w14:val="tx1"/>
            </w14:solidFill>
          </w14:textFill>
        </w:rPr>
        <w:t>钻孔施工要求</w:t>
      </w:r>
    </w:p>
    <w:p>
      <w:pPr>
        <w:snapToGrid w:val="0"/>
        <w:ind w:firstLine="480"/>
        <w:rPr>
          <w:rFonts w:ascii="仿宋" w:hAnsi="仿宋" w:eastAsia="仿宋"/>
          <w:color w:val="000000" w:themeColor="text1"/>
          <w:sz w:val="24"/>
          <w14:textFill>
            <w14:solidFill>
              <w14:schemeClr w14:val="tx1"/>
            </w14:solidFill>
          </w14:textFill>
        </w:rPr>
      </w:pPr>
      <w:bookmarkStart w:id="392" w:name="_Toc19426"/>
      <w:bookmarkStart w:id="393" w:name="_Toc23241"/>
      <w:r>
        <w:rPr>
          <w:rFonts w:hint="eastAsia" w:ascii="仿宋" w:hAnsi="仿宋" w:eastAsia="仿宋"/>
          <w:color w:val="000000" w:themeColor="text1"/>
          <w:sz w:val="24"/>
          <w14:textFill>
            <w14:solidFill>
              <w14:schemeClr w14:val="tx1"/>
            </w14:solidFill>
          </w14:textFill>
        </w:rPr>
        <w:t>为了确定工作面煤粉量的临界值，可在工作面正常应力区域，施工不少于5个钻孔，钻孔直径45mm，最大深度为3倍巷高，间距不小于10m。记录每孔每米钻屑量，画出正常钻屑量曲线，然后用加权平均法对其进行处理，作为标准钻屑量，在此基础上，确定冲击地压危险的钻屑量临界值。</w:t>
      </w:r>
      <w:r>
        <w:rPr>
          <w:rFonts w:ascii="仿宋" w:hAnsi="仿宋" w:eastAsia="仿宋"/>
          <w:color w:val="000000" w:themeColor="text1"/>
          <w:sz w:val="24"/>
          <w14:textFill>
            <w14:solidFill>
              <w14:schemeClr w14:val="tx1"/>
            </w14:solidFill>
          </w14:textFill>
        </w:rPr>
        <w:t>监测内容主要</w:t>
      </w:r>
      <w:r>
        <w:rPr>
          <w:rFonts w:hint="eastAsia" w:ascii="仿宋" w:hAnsi="仿宋" w:eastAsia="仿宋"/>
          <w:color w:val="000000" w:themeColor="text1"/>
          <w:sz w:val="24"/>
          <w14:textFill>
            <w14:solidFill>
              <w14:schemeClr w14:val="tx1"/>
            </w14:solidFill>
          </w14:textFill>
        </w:rPr>
        <w:t>为</w:t>
      </w:r>
      <w:r>
        <w:rPr>
          <w:rFonts w:ascii="仿宋" w:hAnsi="仿宋" w:eastAsia="仿宋"/>
          <w:color w:val="000000" w:themeColor="text1"/>
          <w:sz w:val="24"/>
          <w14:textFill>
            <w14:solidFill>
              <w14:schemeClr w14:val="tx1"/>
            </w14:solidFill>
          </w14:textFill>
        </w:rPr>
        <w:t>监测每米钻孔的钻屑量，单位kg，另外还需记录卡钻、孔内冲击等钻孔动力现象。若监测到的煤粉量超过临界指标，或出现卡钻、吸钻、异响等动力现象，应认为煤体处于临界危险状态，必须立即采取解危措施。</w:t>
      </w:r>
    </w:p>
    <w:p>
      <w:pPr>
        <w:snapToGrid w:val="0"/>
        <w:ind w:firstLine="480"/>
        <w:rPr>
          <w:rFonts w:ascii="仿宋" w:hAnsi="仿宋" w:eastAsia="仿宋"/>
          <w:color w:val="000000" w:themeColor="text1"/>
          <w:sz w:val="24"/>
          <w:lang w:val="zh-CN"/>
          <w14:textFill>
            <w14:solidFill>
              <w14:schemeClr w14:val="tx1"/>
            </w14:solidFill>
          </w14:textFill>
        </w:rPr>
      </w:pPr>
      <w:r>
        <w:rPr>
          <w:rFonts w:ascii="仿宋" w:hAnsi="仿宋" w:eastAsia="仿宋"/>
          <w:color w:val="000000" w:themeColor="text1"/>
          <w:sz w:val="24"/>
          <w14:textFill>
            <w14:solidFill>
              <w14:schemeClr w14:val="tx1"/>
            </w14:solidFill>
          </w14:textFill>
        </w:rPr>
        <w:t>判别工作地点冲击地压危险性的钻粉率指数如表</w:t>
      </w:r>
      <w:r>
        <w:rPr>
          <w:rFonts w:hint="eastAsia" w:ascii="仿宋" w:hAnsi="仿宋" w:eastAsia="仿宋"/>
          <w:color w:val="000000" w:themeColor="text1"/>
          <w:sz w:val="24"/>
          <w14:textFill>
            <w14:solidFill>
              <w14:schemeClr w14:val="tx1"/>
            </w14:solidFill>
          </w14:textFill>
        </w:rPr>
        <w:t>27</w:t>
      </w:r>
      <w:r>
        <w:rPr>
          <w:rFonts w:ascii="仿宋" w:hAnsi="仿宋" w:eastAsia="仿宋"/>
          <w:color w:val="000000" w:themeColor="text1"/>
          <w:sz w:val="24"/>
          <w14:textFill>
            <w14:solidFill>
              <w14:schemeClr w14:val="tx1"/>
            </w14:solidFill>
          </w14:textFill>
        </w:rPr>
        <w:t>所示。</w:t>
      </w:r>
    </w:p>
    <w:p>
      <w:pPr>
        <w:pStyle w:val="78"/>
        <w:ind w:firstLine="420"/>
        <w:rPr>
          <w:rFonts w:ascii="仿宋" w:hAnsi="仿宋" w:eastAsia="仿宋"/>
          <w:b w:val="0"/>
          <w:color w:val="000000" w:themeColor="text1"/>
          <w:lang w:val="zh-CN"/>
          <w14:textFill>
            <w14:solidFill>
              <w14:schemeClr w14:val="tx1"/>
            </w14:solidFill>
          </w14:textFill>
        </w:rPr>
      </w:pPr>
      <w:r>
        <w:rPr>
          <w:rFonts w:ascii="仿宋" w:hAnsi="仿宋" w:eastAsia="仿宋"/>
          <w:b w:val="0"/>
          <w:color w:val="000000" w:themeColor="text1"/>
          <w:lang w:val="zh-CN"/>
          <w14:textFill>
            <w14:solidFill>
              <w14:schemeClr w14:val="tx1"/>
            </w14:solidFill>
          </w14:textFill>
        </w:rPr>
        <w:t>表</w:t>
      </w:r>
      <w:r>
        <w:rPr>
          <w:rFonts w:hint="eastAsia" w:ascii="仿宋" w:hAnsi="仿宋" w:eastAsia="仿宋"/>
          <w:b w:val="0"/>
          <w:color w:val="000000" w:themeColor="text1"/>
          <w14:textFill>
            <w14:solidFill>
              <w14:schemeClr w14:val="tx1"/>
            </w14:solidFill>
          </w14:textFill>
        </w:rPr>
        <w:t>27</w:t>
      </w:r>
      <w:r>
        <w:rPr>
          <w:rFonts w:ascii="仿宋" w:hAnsi="仿宋" w:eastAsia="仿宋"/>
          <w:b w:val="0"/>
          <w:color w:val="000000" w:themeColor="text1"/>
          <w14:textFill>
            <w14:solidFill>
              <w14:schemeClr w14:val="tx1"/>
            </w14:solidFill>
          </w14:textFill>
        </w:rPr>
        <w:t xml:space="preserve">  </w:t>
      </w:r>
      <w:r>
        <w:rPr>
          <w:rFonts w:ascii="仿宋" w:hAnsi="仿宋" w:eastAsia="仿宋"/>
          <w:b w:val="0"/>
          <w:color w:val="000000" w:themeColor="text1"/>
          <w:lang w:val="zh-CN"/>
          <w14:textFill>
            <w14:solidFill>
              <w14:schemeClr w14:val="tx1"/>
            </w14:solidFill>
          </w14:textFill>
        </w:rPr>
        <w:t>判别冲击危险性的钻粉率指标</w:t>
      </w:r>
    </w:p>
    <w:tbl>
      <w:tblPr>
        <w:tblStyle w:val="36"/>
        <w:tblW w:w="8537" w:type="dxa"/>
        <w:jc w:val="center"/>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Layout w:type="fixed"/>
        <w:tblCellMar>
          <w:top w:w="0" w:type="dxa"/>
          <w:left w:w="108" w:type="dxa"/>
          <w:bottom w:w="0" w:type="dxa"/>
          <w:right w:w="108" w:type="dxa"/>
        </w:tblCellMar>
      </w:tblPr>
      <w:tblGrid>
        <w:gridCol w:w="3057"/>
        <w:gridCol w:w="2056"/>
        <w:gridCol w:w="1799"/>
        <w:gridCol w:w="1625"/>
      </w:tblGrid>
      <w:tr>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397" w:hRule="atLeast"/>
          <w:jc w:val="center"/>
        </w:trPr>
        <w:tc>
          <w:tcPr>
            <w:tcW w:w="3057" w:type="dxa"/>
            <w:tcBorders>
              <w:bottom w:val="single" w:color="auto" w:sz="4" w:space="0"/>
            </w:tcBorders>
            <w:vAlign w:val="center"/>
          </w:tcPr>
          <w:p>
            <w:pPr>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孔深巷高比</w:t>
            </w:r>
          </w:p>
        </w:tc>
        <w:tc>
          <w:tcPr>
            <w:tcW w:w="2056" w:type="dxa"/>
            <w:tcBorders>
              <w:bottom w:val="single" w:color="auto" w:sz="4" w:space="0"/>
            </w:tcBorders>
            <w:vAlign w:val="center"/>
          </w:tcPr>
          <w:p>
            <w:pPr>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799" w:type="dxa"/>
            <w:tcBorders>
              <w:bottom w:val="single" w:color="auto" w:sz="4" w:space="0"/>
            </w:tcBorders>
            <w:vAlign w:val="center"/>
          </w:tcPr>
          <w:p>
            <w:pPr>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1.5～3</w:t>
            </w:r>
          </w:p>
        </w:tc>
        <w:tc>
          <w:tcPr>
            <w:tcW w:w="1625" w:type="dxa"/>
            <w:tcBorders>
              <w:bottom w:val="single" w:color="auto" w:sz="4" w:space="0"/>
            </w:tcBorders>
            <w:vAlign w:val="center"/>
          </w:tcPr>
          <w:p>
            <w:pPr>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397" w:hRule="atLeast"/>
          <w:jc w:val="center"/>
        </w:trPr>
        <w:tc>
          <w:tcPr>
            <w:tcW w:w="3057" w:type="dxa"/>
            <w:tcBorders>
              <w:top w:val="single" w:color="auto" w:sz="4" w:space="0"/>
            </w:tcBorders>
            <w:vAlign w:val="center"/>
          </w:tcPr>
          <w:p>
            <w:pPr>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钻粉量指数</w:t>
            </w:r>
          </w:p>
        </w:tc>
        <w:tc>
          <w:tcPr>
            <w:tcW w:w="2056" w:type="dxa"/>
            <w:tcBorders>
              <w:top w:val="single" w:color="auto" w:sz="4" w:space="0"/>
            </w:tcBorders>
            <w:vAlign w:val="center"/>
          </w:tcPr>
          <w:p>
            <w:pPr>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799" w:type="dxa"/>
            <w:tcBorders>
              <w:top w:val="single" w:color="auto" w:sz="4" w:space="0"/>
            </w:tcBorders>
            <w:vAlign w:val="center"/>
          </w:tcPr>
          <w:p>
            <w:pPr>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625" w:type="dxa"/>
            <w:tcBorders>
              <w:top w:val="single" w:color="auto" w:sz="4" w:space="0"/>
            </w:tcBorders>
            <w:vAlign w:val="center"/>
          </w:tcPr>
          <w:p>
            <w:pPr>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bl>
    <w:p>
      <w:pPr>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注：钻粉量指数＝每米实际煤粉量/每米正常煤粉量</w:t>
      </w:r>
    </w:p>
    <w:p>
      <w:pPr>
        <w:snapToGrid w:val="0"/>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w:t>
      </w:r>
      <w:r>
        <w:rPr>
          <w:rFonts w:ascii="仿宋" w:hAnsi="仿宋" w:eastAsia="仿宋"/>
          <w:b/>
          <w:color w:val="000000" w:themeColor="text1"/>
          <w:sz w:val="24"/>
          <w14:textFill>
            <w14:solidFill>
              <w14:schemeClr w14:val="tx1"/>
            </w14:solidFill>
          </w14:textFill>
        </w:rPr>
        <w:t>钻屑</w:t>
      </w:r>
      <w:bookmarkEnd w:id="392"/>
      <w:bookmarkEnd w:id="393"/>
      <w:r>
        <w:rPr>
          <w:rFonts w:hint="eastAsia"/>
          <w:b/>
          <w:color w:val="000000" w:themeColor="text1"/>
          <w:sz w:val="24"/>
          <w14:textFill>
            <w14:solidFill>
              <w14:schemeClr w14:val="tx1"/>
            </w14:solidFill>
          </w14:textFill>
        </w:rPr>
        <w:t>临界值</w:t>
      </w:r>
    </w:p>
    <w:p>
      <w:pPr>
        <w:snapToGrid w:val="0"/>
        <w:ind w:firstLine="480"/>
        <w:rPr>
          <w:color w:val="000000" w:themeColor="text1"/>
          <w:sz w:val="24"/>
          <w14:textFill>
            <w14:solidFill>
              <w14:schemeClr w14:val="tx1"/>
            </w14:solidFill>
          </w14:textFill>
        </w:rPr>
      </w:pPr>
      <w:bookmarkStart w:id="394" w:name="_Toc6681"/>
      <w:bookmarkStart w:id="395" w:name="_Toc13458"/>
      <w:bookmarkStart w:id="396" w:name="_Toc523150471"/>
      <w:bookmarkStart w:id="397" w:name="_Toc522717677"/>
      <w:bookmarkStart w:id="398" w:name="_Toc527720671"/>
      <w:bookmarkStart w:id="399" w:name="_Toc32719"/>
      <w:bookmarkStart w:id="400" w:name="_Toc15116"/>
      <w:bookmarkStart w:id="401" w:name="_Toc4119"/>
      <w:bookmarkStart w:id="402" w:name="_Toc527643168"/>
      <w:bookmarkStart w:id="403" w:name="_Toc522716631"/>
      <w:r>
        <w:rPr>
          <w:rFonts w:hint="eastAsia"/>
          <w:color w:val="000000" w:themeColor="text1"/>
          <w:sz w:val="24"/>
          <w14:textFill>
            <w14:solidFill>
              <w14:schemeClr w14:val="tx1"/>
            </w14:solidFill>
          </w14:textFill>
        </w:rPr>
        <w:t>1303工作面安装期间在机风巷各选择标定孔5个，详见表27-1。通过上述计算过程，得出1303工作面回采期间钻屑临界值，详</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27-2</w:t>
      </w:r>
      <w:r>
        <w:rPr>
          <w:color w:val="000000" w:themeColor="text1"/>
          <w:sz w:val="24"/>
          <w14:textFill>
            <w14:solidFill>
              <w14:schemeClr w14:val="tx1"/>
            </w14:solidFill>
          </w14:textFill>
        </w:rPr>
        <w:t>。</w:t>
      </w:r>
    </w:p>
    <w:p>
      <w:pPr>
        <w:pStyle w:val="12"/>
        <w:ind w:firstLine="422"/>
        <w:jc w:val="center"/>
        <w:rPr>
          <w:color w:val="000000" w:themeColor="text1"/>
          <w14:textFill>
            <w14:solidFill>
              <w14:schemeClr w14:val="tx1"/>
            </w14:solidFill>
          </w14:textFill>
        </w:rPr>
      </w:pPr>
      <w:r>
        <w:rPr>
          <w:rFonts w:eastAsia="宋体"/>
          <w:b/>
          <w:color w:val="000000" w:themeColor="text1"/>
          <w:szCs w:val="21"/>
          <w14:textFill>
            <w14:solidFill>
              <w14:schemeClr w14:val="tx1"/>
            </w14:solidFill>
          </w14:textFill>
        </w:rPr>
        <w:t>表</w:t>
      </w:r>
      <w:r>
        <w:rPr>
          <w:rFonts w:hint="eastAsia" w:eastAsia="宋体"/>
          <w:b/>
          <w:color w:val="000000" w:themeColor="text1"/>
          <w:szCs w:val="21"/>
          <w14:textFill>
            <w14:solidFill>
              <w14:schemeClr w14:val="tx1"/>
            </w14:solidFill>
          </w14:textFill>
        </w:rPr>
        <w:t>27-1</w:t>
      </w:r>
      <w:r>
        <w:rPr>
          <w:rFonts w:eastAsia="宋体"/>
          <w:b/>
          <w:color w:val="000000" w:themeColor="text1"/>
          <w:szCs w:val="21"/>
          <w14:textFill>
            <w14:solidFill>
              <w14:schemeClr w14:val="tx1"/>
            </w14:solidFill>
          </w14:textFill>
        </w:rPr>
        <w:t xml:space="preserve">  标定钻孔正常煤粉量监测结果</w:t>
      </w:r>
    </w:p>
    <w:tbl>
      <w:tblPr>
        <w:tblStyle w:val="36"/>
        <w:tblW w:w="5086"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7"/>
        <w:gridCol w:w="1169"/>
        <w:gridCol w:w="595"/>
        <w:gridCol w:w="595"/>
        <w:gridCol w:w="595"/>
        <w:gridCol w:w="595"/>
        <w:gridCol w:w="595"/>
        <w:gridCol w:w="595"/>
        <w:gridCol w:w="595"/>
        <w:gridCol w:w="595"/>
        <w:gridCol w:w="600"/>
        <w:gridCol w:w="600"/>
        <w:gridCol w:w="60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序号</w:t>
            </w:r>
          </w:p>
        </w:tc>
        <w:tc>
          <w:tcPr>
            <w:tcW w:w="680" w:type="pct"/>
            <w:tcBorders>
              <w:bottom w:val="single" w:color="auto" w:sz="6" w:space="0"/>
            </w:tcBorders>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钻孔位置</w:t>
            </w:r>
          </w:p>
        </w:tc>
        <w:tc>
          <w:tcPr>
            <w:tcW w:w="346"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2m</w:t>
            </w:r>
          </w:p>
        </w:tc>
        <w:tc>
          <w:tcPr>
            <w:tcW w:w="346"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3m</w:t>
            </w:r>
          </w:p>
        </w:tc>
        <w:tc>
          <w:tcPr>
            <w:tcW w:w="346"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4m</w:t>
            </w:r>
          </w:p>
        </w:tc>
        <w:tc>
          <w:tcPr>
            <w:tcW w:w="346"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5m</w:t>
            </w:r>
          </w:p>
        </w:tc>
        <w:tc>
          <w:tcPr>
            <w:tcW w:w="346"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6m</w:t>
            </w:r>
          </w:p>
        </w:tc>
        <w:tc>
          <w:tcPr>
            <w:tcW w:w="346"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7m</w:t>
            </w:r>
          </w:p>
        </w:tc>
        <w:tc>
          <w:tcPr>
            <w:tcW w:w="346"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8m</w:t>
            </w:r>
          </w:p>
        </w:tc>
        <w:tc>
          <w:tcPr>
            <w:tcW w:w="346"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9m</w:t>
            </w:r>
          </w:p>
        </w:tc>
        <w:tc>
          <w:tcPr>
            <w:tcW w:w="349" w:type="pct"/>
            <w:tcBorders>
              <w:bottom w:val="single" w:color="auto" w:sz="6" w:space="0"/>
            </w:tcBorders>
            <w:shd w:val="clear" w:color="auto" w:fill="auto"/>
            <w:vAlign w:val="center"/>
          </w:tcPr>
          <w:p>
            <w:pPr>
              <w:widowControl/>
              <w:snapToGrid w:val="0"/>
              <w:spacing w:line="240" w:lineRule="atLeast"/>
              <w:ind w:firstLine="0" w:firstLineChars="0"/>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10m</w:t>
            </w:r>
          </w:p>
        </w:tc>
        <w:tc>
          <w:tcPr>
            <w:tcW w:w="349" w:type="pct"/>
            <w:tcBorders>
              <w:bottom w:val="single" w:color="auto" w:sz="6" w:space="0"/>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10m</w:t>
            </w:r>
          </w:p>
        </w:tc>
        <w:tc>
          <w:tcPr>
            <w:tcW w:w="349" w:type="pct"/>
            <w:tcBorders>
              <w:bottom w:val="single" w:color="auto" w:sz="6" w:space="0"/>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12m</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op w:val="single" w:color="auto" w:sz="6" w:space="0"/>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p>
        </w:tc>
        <w:tc>
          <w:tcPr>
            <w:tcW w:w="680" w:type="pct"/>
            <w:tcBorders>
              <w:top w:val="single" w:color="auto" w:sz="6" w:space="0"/>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j12点后20m</w:t>
            </w:r>
          </w:p>
        </w:tc>
        <w:tc>
          <w:tcPr>
            <w:tcW w:w="346"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6"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1.95 </w:t>
            </w:r>
          </w:p>
        </w:tc>
        <w:tc>
          <w:tcPr>
            <w:tcW w:w="346"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1.80 </w:t>
            </w:r>
          </w:p>
        </w:tc>
        <w:tc>
          <w:tcPr>
            <w:tcW w:w="346"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6"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1.75 </w:t>
            </w:r>
          </w:p>
        </w:tc>
        <w:tc>
          <w:tcPr>
            <w:tcW w:w="346"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2.05 </w:t>
            </w:r>
          </w:p>
        </w:tc>
        <w:tc>
          <w:tcPr>
            <w:tcW w:w="346"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1.90 </w:t>
            </w:r>
          </w:p>
        </w:tc>
        <w:tc>
          <w:tcPr>
            <w:tcW w:w="346"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2.20 </w:t>
            </w:r>
          </w:p>
        </w:tc>
        <w:tc>
          <w:tcPr>
            <w:tcW w:w="349"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1.85 </w:t>
            </w:r>
          </w:p>
        </w:tc>
        <w:tc>
          <w:tcPr>
            <w:tcW w:w="349"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2.10 </w:t>
            </w:r>
          </w:p>
        </w:tc>
        <w:tc>
          <w:tcPr>
            <w:tcW w:w="349" w:type="pct"/>
            <w:tcBorders>
              <w:top w:val="single" w:color="auto" w:sz="6" w:space="0"/>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2.35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p>
        </w:tc>
        <w:tc>
          <w:tcPr>
            <w:tcW w:w="680" w:type="pct"/>
            <w:tcBorders>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j12点后10m</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1.45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1.60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1.70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1.65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2.10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p>
        </w:tc>
        <w:tc>
          <w:tcPr>
            <w:tcW w:w="680" w:type="pct"/>
            <w:tcBorders>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j12点</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1.40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1.75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1.55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1.80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2.60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2.85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3.30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3.00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w:t>
            </w:r>
          </w:p>
        </w:tc>
        <w:tc>
          <w:tcPr>
            <w:tcW w:w="680" w:type="pct"/>
            <w:tcBorders>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j12点前10m</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1.55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1.35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1.60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1.70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1.85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2.20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5#</w:t>
            </w:r>
          </w:p>
        </w:tc>
        <w:tc>
          <w:tcPr>
            <w:tcW w:w="680" w:type="pct"/>
            <w:tcBorders>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j12点前20m</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1.65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1.70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1.80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2.60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2.45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2.65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6#</w:t>
            </w:r>
          </w:p>
        </w:tc>
        <w:tc>
          <w:tcPr>
            <w:tcW w:w="680" w:type="pct"/>
            <w:tcBorders>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FHf13点</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1.70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1.75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2.65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2.40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2.05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w:t>
            </w:r>
          </w:p>
        </w:tc>
        <w:tc>
          <w:tcPr>
            <w:tcW w:w="680" w:type="pct"/>
            <w:tcBorders>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FHf13点前10m</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1.85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2.30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2.55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2.85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2.65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2.90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3.20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2.45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2.15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8#</w:t>
            </w:r>
          </w:p>
        </w:tc>
        <w:tc>
          <w:tcPr>
            <w:tcW w:w="680" w:type="pct"/>
            <w:tcBorders>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FHf13点前20m</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1.55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2.30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2.75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2.45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9#</w:t>
            </w:r>
          </w:p>
        </w:tc>
        <w:tc>
          <w:tcPr>
            <w:tcW w:w="680" w:type="pct"/>
            <w:tcBorders>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FMf13点前</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1.80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1.45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1.90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1.55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2.50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2.20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2.85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2.60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2.35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05" w:type="pct"/>
            <w:tcBorders>
              <w:tl2br w:val="nil"/>
              <w:tr2bl w:val="nil"/>
            </w:tcBorders>
            <w:shd w:val="clear" w:color="auto" w:fill="auto"/>
            <w:vAlign w:val="center"/>
          </w:tcPr>
          <w:p>
            <w:pPr>
              <w:snapToGrid w:val="0"/>
              <w:spacing w:line="240" w:lineRule="atLeast"/>
              <w:ind w:firstLine="0" w:firstLineChars="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10#</w:t>
            </w:r>
          </w:p>
        </w:tc>
        <w:tc>
          <w:tcPr>
            <w:tcW w:w="680" w:type="pct"/>
            <w:tcBorders>
              <w:tl2br w:val="nil"/>
              <w:tr2bl w:val="nil"/>
            </w:tcBorders>
            <w:vAlign w:val="center"/>
          </w:tcPr>
          <w:p>
            <w:pPr>
              <w:widowControl/>
              <w:snapToGrid w:val="0"/>
              <w:spacing w:line="240" w:lineRule="atLeast"/>
              <w:ind w:firstLine="0" w:firstLineChars="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FMf13点前10m</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2.45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2.40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2.85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2.90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2.15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2.80 </w:t>
            </w:r>
          </w:p>
        </w:tc>
        <w:tc>
          <w:tcPr>
            <w:tcW w:w="346"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2.05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3.10 </w:t>
            </w:r>
          </w:p>
        </w:tc>
        <w:tc>
          <w:tcPr>
            <w:tcW w:w="349" w:type="pct"/>
            <w:tcBorders>
              <w:tl2br w:val="nil"/>
              <w:tr2bl w:val="nil"/>
            </w:tcBorders>
            <w:shd w:val="clear" w:color="auto" w:fill="auto"/>
            <w:vAlign w:val="center"/>
          </w:tcPr>
          <w:p>
            <w:pPr>
              <w:widowControl/>
              <w:snapToGrid w:val="0"/>
              <w:spacing w:line="240" w:lineRule="atLeast"/>
              <w:ind w:firstLine="0" w:firstLineChars="0"/>
              <w:textAlignment w:val="center"/>
              <w:rPr>
                <w:rFonts w:hint="eastAsia" w:ascii="仿宋" w:hAnsi="仿宋" w:eastAsia="仿宋" w:cs="仿宋"/>
                <w:color w:val="000000" w:themeColor="text1"/>
                <w:kern w:val="0"/>
                <w:sz w:val="18"/>
                <w:szCs w:val="18"/>
                <w:lang w:bidi="ar"/>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1.85 </w:t>
            </w:r>
          </w:p>
        </w:tc>
      </w:tr>
    </w:tbl>
    <w:p>
      <w:pPr>
        <w:pStyle w:val="78"/>
        <w:ind w:firstLine="422"/>
        <w:rPr>
          <w:color w:val="000000" w:themeColor="text1"/>
          <w:lang w:val="zh-CN"/>
          <w14:textFill>
            <w14:solidFill>
              <w14:schemeClr w14:val="tx1"/>
            </w14:solidFill>
          </w14:textFill>
        </w:rPr>
      </w:pPr>
    </w:p>
    <w:p>
      <w:pPr>
        <w:pStyle w:val="78"/>
        <w:ind w:firstLine="420"/>
        <w:rPr>
          <w:b w:val="0"/>
          <w:color w:val="000000" w:themeColor="text1"/>
          <w:lang w:val="zh-CN"/>
          <w14:textFill>
            <w14:solidFill>
              <w14:schemeClr w14:val="tx1"/>
            </w14:solidFill>
          </w14:textFill>
        </w:rPr>
      </w:pPr>
      <w:r>
        <w:rPr>
          <w:b w:val="0"/>
          <w:color w:val="000000" w:themeColor="text1"/>
          <w:lang w:val="zh-CN"/>
          <w14:textFill>
            <w14:solidFill>
              <w14:schemeClr w14:val="tx1"/>
            </w14:solidFill>
          </w14:textFill>
        </w:rPr>
        <w:t>表</w:t>
      </w:r>
      <w:r>
        <w:rPr>
          <w:rFonts w:hint="eastAsia"/>
          <w:b w:val="0"/>
          <w:color w:val="000000" w:themeColor="text1"/>
          <w:lang w:val="zh-CN"/>
          <w14:textFill>
            <w14:solidFill>
              <w14:schemeClr w14:val="tx1"/>
            </w14:solidFill>
          </w14:textFill>
        </w:rPr>
        <w:t>27-2</w:t>
      </w:r>
      <w:r>
        <w:rPr>
          <w:b w:val="0"/>
          <w:color w:val="000000" w:themeColor="text1"/>
          <w:lang w:val="zh-CN"/>
          <w14:textFill>
            <w14:solidFill>
              <w14:schemeClr w14:val="tx1"/>
            </w14:solidFill>
          </w14:textFill>
        </w:rPr>
        <w:t xml:space="preserve">  钻屑临界指标</w:t>
      </w:r>
    </w:p>
    <w:tbl>
      <w:tblPr>
        <w:tblStyle w:val="36"/>
        <w:tblW w:w="5000" w:type="pct"/>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7"/>
        <w:gridCol w:w="2512"/>
        <w:gridCol w:w="2952"/>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792" w:type="pct"/>
            <w:tcBorders>
              <w:bottom w:val="single" w:color="000000" w:sz="6" w:space="0"/>
            </w:tcBorders>
            <w:noWrap/>
            <w:vAlign w:val="center"/>
          </w:tcPr>
          <w:p>
            <w:pPr>
              <w:ind w:firstLine="42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钻孔深度/m</w:t>
            </w:r>
          </w:p>
        </w:tc>
        <w:tc>
          <w:tcPr>
            <w:tcW w:w="1475" w:type="pct"/>
            <w:tcBorders>
              <w:bottom w:val="single" w:color="000000" w:sz="6" w:space="0"/>
            </w:tcBorders>
            <w:noWrap/>
            <w:vAlign w:val="center"/>
          </w:tcPr>
          <w:p>
            <w:pPr>
              <w:ind w:firstLine="42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2~6m</w:t>
            </w:r>
          </w:p>
        </w:tc>
        <w:tc>
          <w:tcPr>
            <w:tcW w:w="1733" w:type="pct"/>
            <w:tcBorders>
              <w:bottom w:val="single" w:color="000000" w:sz="6" w:space="0"/>
            </w:tcBorders>
            <w:noWrap/>
            <w:vAlign w:val="center"/>
          </w:tcPr>
          <w:p>
            <w:pPr>
              <w:ind w:firstLine="42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7~12m</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792" w:type="pct"/>
            <w:tcBorders>
              <w:top w:val="single" w:color="000000" w:sz="6" w:space="0"/>
              <w:tl2br w:val="nil"/>
              <w:tr2bl w:val="nil"/>
            </w:tcBorders>
            <w:noWrap/>
            <w:vAlign w:val="center"/>
          </w:tcPr>
          <w:p>
            <w:pPr>
              <w:ind w:firstLine="42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正常平均煤粉量kg/m</w:t>
            </w:r>
          </w:p>
        </w:tc>
        <w:tc>
          <w:tcPr>
            <w:tcW w:w="2512" w:type="dxa"/>
            <w:tcBorders>
              <w:top w:val="single" w:color="000000" w:sz="6" w:space="0"/>
              <w:tl2br w:val="nil"/>
              <w:tr2bl w:val="nil"/>
            </w:tcBorders>
            <w:noWrap/>
            <w:vAlign w:val="center"/>
          </w:tcPr>
          <w:p>
            <w:pPr>
              <w:ind w:firstLine="42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2.093</w:t>
            </w:r>
          </w:p>
        </w:tc>
        <w:tc>
          <w:tcPr>
            <w:tcW w:w="2952" w:type="dxa"/>
            <w:tcBorders>
              <w:top w:val="single" w:color="000000" w:sz="6" w:space="0"/>
              <w:tl2br w:val="nil"/>
              <w:tr2bl w:val="nil"/>
            </w:tcBorders>
            <w:noWrap/>
            <w:vAlign w:val="center"/>
          </w:tcPr>
          <w:p>
            <w:pPr>
              <w:ind w:firstLine="42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2.554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792" w:type="pct"/>
            <w:tcBorders>
              <w:tl2br w:val="nil"/>
              <w:tr2bl w:val="nil"/>
            </w:tcBorders>
            <w:noWrap/>
            <w:vAlign w:val="center"/>
          </w:tcPr>
          <w:p>
            <w:pPr>
              <w:ind w:firstLine="42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临界值kg/m</w:t>
            </w:r>
          </w:p>
        </w:tc>
        <w:tc>
          <w:tcPr>
            <w:tcW w:w="2512" w:type="dxa"/>
            <w:tcBorders>
              <w:tl2br w:val="nil"/>
              <w:tr2bl w:val="nil"/>
            </w:tcBorders>
            <w:noWrap/>
            <w:vAlign w:val="center"/>
          </w:tcPr>
          <w:p>
            <w:pPr>
              <w:ind w:firstLine="420"/>
              <w:jc w:val="center"/>
              <w:rPr>
                <w:rFonts w:ascii="仿宋" w:hAnsi="仿宋" w:eastAsia="仿宋"/>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3.13</w:t>
            </w:r>
          </w:p>
        </w:tc>
        <w:tc>
          <w:tcPr>
            <w:tcW w:w="2952" w:type="dxa"/>
            <w:tcBorders>
              <w:tl2br w:val="nil"/>
              <w:tr2bl w:val="nil"/>
            </w:tcBorders>
            <w:noWrap/>
            <w:vAlign w:val="center"/>
          </w:tcPr>
          <w:p>
            <w:pPr>
              <w:ind w:firstLine="420"/>
              <w:jc w:val="center"/>
              <w:rPr>
                <w:rFonts w:ascii="仿宋" w:hAnsi="仿宋" w:eastAsia="仿宋"/>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5.10</w:t>
            </w:r>
          </w:p>
        </w:tc>
      </w:tr>
      <w:bookmarkEnd w:id="394"/>
      <w:bookmarkEnd w:id="395"/>
      <w:bookmarkEnd w:id="396"/>
      <w:bookmarkEnd w:id="397"/>
      <w:bookmarkEnd w:id="398"/>
      <w:bookmarkEnd w:id="399"/>
      <w:bookmarkEnd w:id="400"/>
      <w:bookmarkEnd w:id="401"/>
      <w:bookmarkEnd w:id="402"/>
      <w:bookmarkEnd w:id="403"/>
    </w:tbl>
    <w:p>
      <w:pPr>
        <w:snapToGrid w:val="0"/>
        <w:ind w:firstLine="0" w:firstLineChars="0"/>
        <w:rPr>
          <w:b/>
          <w:color w:val="000000" w:themeColor="text1"/>
          <w:sz w:val="24"/>
          <w14:textFill>
            <w14:solidFill>
              <w14:schemeClr w14:val="tx1"/>
            </w14:solidFill>
          </w14:textFill>
        </w:rPr>
      </w:pPr>
      <w:bookmarkStart w:id="404" w:name="_Toc27035"/>
      <w:bookmarkStart w:id="405" w:name="_Toc7411"/>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异常区域钻屑法施工方案</w:t>
      </w:r>
      <w:bookmarkEnd w:id="404"/>
      <w:bookmarkEnd w:id="405"/>
    </w:p>
    <w:p>
      <w:pPr>
        <w:snapToGrid w:val="0"/>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针对1303工作面回采过程中</w:t>
      </w:r>
      <w:r>
        <w:rPr>
          <w:rFonts w:hint="eastAsia"/>
          <w:color w:val="000000" w:themeColor="text1"/>
          <w:sz w:val="24"/>
          <w14:textFill>
            <w14:solidFill>
              <w14:schemeClr w14:val="tx1"/>
            </w14:solidFill>
          </w14:textFill>
        </w:rPr>
        <w:t>可能</w:t>
      </w:r>
      <w:r>
        <w:rPr>
          <w:color w:val="000000" w:themeColor="text1"/>
          <w:sz w:val="24"/>
          <w14:textFill>
            <w14:solidFill>
              <w14:schemeClr w14:val="tx1"/>
            </w14:solidFill>
          </w14:textFill>
        </w:rPr>
        <w:t>出现的应力监测</w:t>
      </w:r>
      <w:r>
        <w:rPr>
          <w:rFonts w:hint="eastAsia"/>
          <w:color w:val="000000" w:themeColor="text1"/>
          <w:sz w:val="24"/>
          <w14:textFill>
            <w14:solidFill>
              <w14:schemeClr w14:val="tx1"/>
            </w14:solidFill>
          </w14:textFill>
        </w:rPr>
        <w:t>、地音监测</w:t>
      </w:r>
      <w:r>
        <w:rPr>
          <w:color w:val="000000" w:themeColor="text1"/>
          <w:sz w:val="24"/>
          <w14:textFill>
            <w14:solidFill>
              <w14:schemeClr w14:val="tx1"/>
            </w14:solidFill>
          </w14:textFill>
        </w:rPr>
        <w:t>超预警值、微震事件增多、巷道底鼓严重、变形量较大、煤炮增多等异常区域，则需要在危险区域前后各10m范围内采取一定的治理措施，采取措施后利用钻屑量监测其危险状态，钻孔间距5~10m，具体布置见图</w:t>
      </w:r>
      <w:r>
        <w:rPr>
          <w:rFonts w:hint="eastAsia"/>
          <w:color w:val="000000" w:themeColor="text1"/>
          <w:sz w:val="24"/>
          <w14:textFill>
            <w14:solidFill>
              <w14:schemeClr w14:val="tx1"/>
            </w14:solidFill>
          </w14:textFill>
        </w:rPr>
        <w:t>14</w:t>
      </w:r>
      <w:r>
        <w:rPr>
          <w:color w:val="000000" w:themeColor="text1"/>
          <w:sz w:val="24"/>
          <w14:textFill>
            <w14:solidFill>
              <w14:schemeClr w14:val="tx1"/>
            </w14:solidFill>
          </w14:textFill>
        </w:rPr>
        <w:t>和图</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所示。</w:t>
      </w:r>
    </w:p>
    <w:p>
      <w:pPr>
        <w:snapToGrid w:val="0"/>
        <w:spacing w:line="240" w:lineRule="atLeast"/>
        <w:ind w:firstLine="420"/>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3251835" cy="1335405"/>
            <wp:effectExtent l="0" t="0" r="5715"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74708" cy="1345112"/>
                    </a:xfrm>
                    <a:prstGeom prst="rect">
                      <a:avLst/>
                    </a:prstGeom>
                  </pic:spPr>
                </pic:pic>
              </a:graphicData>
            </a:graphic>
          </wp:inline>
        </w:drawing>
      </w:r>
    </w:p>
    <w:p>
      <w:pPr>
        <w:pStyle w:val="78"/>
        <w:spacing w:line="240" w:lineRule="atLeast"/>
        <w:ind w:firstLine="420"/>
        <w:rPr>
          <w:rFonts w:ascii="仿宋" w:hAnsi="仿宋" w:eastAsia="仿宋"/>
          <w:b w:val="0"/>
          <w:color w:val="000000" w:themeColor="text1"/>
          <w14:textFill>
            <w14:solidFill>
              <w14:schemeClr w14:val="tx1"/>
            </w14:solidFill>
          </w14:textFill>
        </w:rPr>
      </w:pPr>
      <w:r>
        <w:rPr>
          <w:rFonts w:ascii="仿宋" w:hAnsi="仿宋" w:eastAsia="仿宋"/>
          <w:b w:val="0"/>
          <w:color w:val="000000" w:themeColor="text1"/>
          <w14:textFill>
            <w14:solidFill>
              <w14:schemeClr w14:val="tx1"/>
            </w14:solidFill>
          </w14:textFill>
        </w:rPr>
        <w:t>图</w:t>
      </w:r>
      <w:r>
        <w:rPr>
          <w:rFonts w:hint="eastAsia" w:ascii="仿宋" w:hAnsi="仿宋" w:eastAsia="仿宋"/>
          <w:b w:val="0"/>
          <w:color w:val="000000" w:themeColor="text1"/>
          <w14:textFill>
            <w14:solidFill>
              <w14:schemeClr w14:val="tx1"/>
            </w14:solidFill>
          </w14:textFill>
        </w:rPr>
        <w:t>14</w:t>
      </w:r>
      <w:r>
        <w:rPr>
          <w:rFonts w:ascii="仿宋" w:hAnsi="仿宋" w:eastAsia="仿宋"/>
          <w:b w:val="0"/>
          <w:color w:val="000000" w:themeColor="text1"/>
          <w14:textFill>
            <w14:solidFill>
              <w14:schemeClr w14:val="tx1"/>
            </w14:solidFill>
          </w14:textFill>
        </w:rPr>
        <w:t xml:space="preserve">  钻屑法施工位置示意图</w:t>
      </w:r>
    </w:p>
    <w:p>
      <w:pPr>
        <w:pStyle w:val="79"/>
        <w:snapToGrid w:val="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520315" cy="1460500"/>
            <wp:effectExtent l="0" t="0" r="6985" b="0"/>
            <wp:docPr id="44" name="图片 44" descr="钻屑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钻屑示意"/>
                    <pic:cNvPicPr>
                      <a:picLocks noChangeAspect="1"/>
                    </pic:cNvPicPr>
                  </pic:nvPicPr>
                  <pic:blipFill>
                    <a:blip r:embed="rId39"/>
                    <a:stretch>
                      <a:fillRect/>
                    </a:stretch>
                  </pic:blipFill>
                  <pic:spPr>
                    <a:xfrm>
                      <a:off x="0" y="0"/>
                      <a:ext cx="2520315" cy="1460500"/>
                    </a:xfrm>
                    <a:prstGeom prst="rect">
                      <a:avLst/>
                    </a:prstGeom>
                  </pic:spPr>
                </pic:pic>
              </a:graphicData>
            </a:graphic>
          </wp:inline>
        </w:drawing>
      </w:r>
      <w:r>
        <w:rPr>
          <w:color w:val="000000" w:themeColor="text1"/>
          <w14:textFill>
            <w14:solidFill>
              <w14:schemeClr w14:val="tx1"/>
            </w14:solidFill>
          </w14:textFill>
        </w:rPr>
        <w:drawing>
          <wp:inline distT="0" distB="0" distL="114300" distR="114300">
            <wp:extent cx="2520315" cy="1610360"/>
            <wp:effectExtent l="0" t="0" r="6985" b="2540"/>
            <wp:docPr id="46" name="图片 46" descr="钻屑法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钻屑法位置"/>
                    <pic:cNvPicPr>
                      <a:picLocks noChangeAspect="1"/>
                    </pic:cNvPicPr>
                  </pic:nvPicPr>
                  <pic:blipFill>
                    <a:blip r:embed="rId40"/>
                    <a:stretch>
                      <a:fillRect/>
                    </a:stretch>
                  </pic:blipFill>
                  <pic:spPr>
                    <a:xfrm>
                      <a:off x="0" y="0"/>
                      <a:ext cx="2520315" cy="1610360"/>
                    </a:xfrm>
                    <a:prstGeom prst="rect">
                      <a:avLst/>
                    </a:prstGeom>
                  </pic:spPr>
                </pic:pic>
              </a:graphicData>
            </a:graphic>
          </wp:inline>
        </w:drawing>
      </w:r>
    </w:p>
    <w:p>
      <w:pPr>
        <w:pStyle w:val="78"/>
        <w:snapToGrid/>
        <w:ind w:firstLine="420"/>
        <w:rPr>
          <w:rFonts w:ascii="仿宋" w:hAnsi="仿宋" w:eastAsia="仿宋"/>
          <w:b w:val="0"/>
          <w:color w:val="000000" w:themeColor="text1"/>
          <w14:textFill>
            <w14:solidFill>
              <w14:schemeClr w14:val="tx1"/>
            </w14:solidFill>
          </w14:textFill>
        </w:rPr>
      </w:pPr>
      <w:r>
        <w:rPr>
          <w:rFonts w:ascii="仿宋" w:hAnsi="仿宋" w:eastAsia="仿宋"/>
          <w:b w:val="0"/>
          <w:color w:val="000000" w:themeColor="text1"/>
          <w14:textFill>
            <w14:solidFill>
              <w14:schemeClr w14:val="tx1"/>
            </w14:solidFill>
          </w14:textFill>
        </w:rPr>
        <w:t>图</w:t>
      </w:r>
      <w:r>
        <w:rPr>
          <w:rFonts w:hint="eastAsia" w:ascii="仿宋" w:hAnsi="仿宋" w:eastAsia="仿宋"/>
          <w:b w:val="0"/>
          <w:color w:val="000000" w:themeColor="text1"/>
          <w14:textFill>
            <w14:solidFill>
              <w14:schemeClr w14:val="tx1"/>
            </w14:solidFill>
          </w14:textFill>
        </w:rPr>
        <w:t>15</w:t>
      </w:r>
      <w:r>
        <w:rPr>
          <w:rFonts w:ascii="仿宋" w:hAnsi="仿宋" w:eastAsia="仿宋"/>
          <w:b w:val="0"/>
          <w:color w:val="000000" w:themeColor="text1"/>
          <w14:textFill>
            <w14:solidFill>
              <w14:schemeClr w14:val="tx1"/>
            </w14:solidFill>
          </w14:textFill>
        </w:rPr>
        <w:t xml:space="preserve">  钻孔布置示意图</w:t>
      </w:r>
    </w:p>
    <w:bookmarkEnd w:id="381"/>
    <w:bookmarkEnd w:id="382"/>
    <w:bookmarkEnd w:id="383"/>
    <w:p>
      <w:pPr>
        <w:keepNext w:val="0"/>
        <w:keepLines w:val="0"/>
        <w:pageBreakBefore w:val="0"/>
        <w:widowControl w:val="0"/>
        <w:numPr>
          <w:ilvl w:val="1"/>
          <w:numId w:val="0"/>
        </w:numPr>
        <w:tabs>
          <w:tab w:val="left" w:pos="432"/>
          <w:tab w:val="left" w:pos="567"/>
          <w:tab w:val="left" w:pos="718"/>
          <w:tab w:val="left" w:pos="1002"/>
        </w:tabs>
        <w:kinsoku/>
        <w:wordWrap/>
        <w:overflowPunct/>
        <w:topLinePunct w:val="0"/>
        <w:autoSpaceDE/>
        <w:autoSpaceDN/>
        <w:bidi w:val="0"/>
        <w:adjustRightInd/>
        <w:snapToGrid w:val="0"/>
        <w:spacing w:line="410" w:lineRule="exact"/>
        <w:textAlignment w:val="auto"/>
        <w:outlineLvl w:val="2"/>
        <w:rPr>
          <w:rFonts w:ascii="仿宋" w:hAnsi="仿宋" w:eastAsia="仿宋"/>
          <w:b/>
          <w:color w:val="000000" w:themeColor="text1"/>
          <w:sz w:val="24"/>
          <w14:textFill>
            <w14:solidFill>
              <w14:schemeClr w14:val="tx1"/>
            </w14:solidFill>
          </w14:textFill>
        </w:rPr>
      </w:pPr>
      <w:bookmarkStart w:id="406" w:name="_Toc527720674"/>
      <w:bookmarkStart w:id="407" w:name="_Toc527575325"/>
      <w:bookmarkStart w:id="408" w:name="_Toc19952"/>
      <w:bookmarkStart w:id="409" w:name="_Toc15299"/>
      <w:bookmarkStart w:id="410" w:name="_Toc527643171"/>
      <w:r>
        <w:rPr>
          <w:rFonts w:hint="eastAsia" w:ascii="仿宋" w:hAnsi="仿宋" w:eastAsia="仿宋"/>
          <w:b/>
          <w:color w:val="000000" w:themeColor="text1"/>
          <w:sz w:val="24"/>
          <w14:textFill>
            <w14:solidFill>
              <w14:schemeClr w14:val="tx1"/>
            </w14:solidFill>
          </w14:textFill>
        </w:rPr>
        <w:t>4、</w:t>
      </w:r>
      <w:r>
        <w:rPr>
          <w:rFonts w:ascii="仿宋" w:hAnsi="仿宋" w:eastAsia="仿宋"/>
          <w:b/>
          <w:color w:val="000000" w:themeColor="text1"/>
          <w:sz w:val="24"/>
          <w14:textFill>
            <w14:solidFill>
              <w14:schemeClr w14:val="tx1"/>
            </w14:solidFill>
          </w14:textFill>
        </w:rPr>
        <w:t>矿压监测法</w:t>
      </w:r>
    </w:p>
    <w:bookmarkEnd w:id="406"/>
    <w:bookmarkEnd w:id="407"/>
    <w:bookmarkEnd w:id="408"/>
    <w:bookmarkEnd w:id="409"/>
    <w:bookmarkEnd w:id="410"/>
    <w:p>
      <w:pPr>
        <w:keepNext w:val="0"/>
        <w:keepLines w:val="0"/>
        <w:pageBreakBefore w:val="0"/>
        <w:widowControl w:val="0"/>
        <w:suppressAutoHyphens/>
        <w:kinsoku/>
        <w:wordWrap/>
        <w:overflowPunct/>
        <w:topLinePunct w:val="0"/>
        <w:autoSpaceDE/>
        <w:autoSpaceDN/>
        <w:bidi w:val="0"/>
        <w:adjustRightInd/>
        <w:snapToGrid w:val="0"/>
        <w:spacing w:line="410" w:lineRule="exact"/>
        <w:ind w:firstLine="480"/>
        <w:textAlignment w:val="auto"/>
        <w:rPr>
          <w:color w:val="000000" w:themeColor="text1"/>
          <w:sz w:val="24"/>
          <w14:textFill>
            <w14:solidFill>
              <w14:schemeClr w14:val="tx1"/>
            </w14:solidFill>
          </w14:textFill>
        </w:rPr>
      </w:pPr>
      <w:bookmarkStart w:id="411" w:name="_Toc29771"/>
      <w:bookmarkStart w:id="412" w:name="_Toc527720675"/>
      <w:bookmarkStart w:id="413" w:name="_Toc527643172"/>
      <w:bookmarkStart w:id="414" w:name="_Toc29471"/>
      <w:r>
        <w:rPr>
          <w:color w:val="000000" w:themeColor="text1"/>
          <w:sz w:val="24"/>
          <w14:textFill>
            <w14:solidFill>
              <w14:schemeClr w14:val="tx1"/>
            </w14:solidFill>
          </w14:textFill>
        </w:rPr>
        <w:t>矿压监测作为一种常规的煤岩应力与围岩变形监测方法，主要监测指标是巷道围岩活动情况及回采工作面支架工作阻力情况，可为采取矿压控制措施、指导工作面安全生产提供重要依据。</w:t>
      </w:r>
    </w:p>
    <w:p>
      <w:pPr>
        <w:keepNext w:val="0"/>
        <w:keepLines w:val="0"/>
        <w:pageBreakBefore w:val="0"/>
        <w:widowControl w:val="0"/>
        <w:kinsoku/>
        <w:wordWrap/>
        <w:overflowPunct/>
        <w:topLinePunct w:val="0"/>
        <w:autoSpaceDE/>
        <w:autoSpaceDN/>
        <w:bidi w:val="0"/>
        <w:adjustRightInd/>
        <w:snapToGrid w:val="0"/>
        <w:spacing w:line="410" w:lineRule="exact"/>
        <w:ind w:firstLine="48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监测</w:t>
      </w:r>
      <w:r>
        <w:rPr>
          <w:color w:val="000000" w:themeColor="text1"/>
          <w:sz w:val="24"/>
          <w14:textFill>
            <w14:solidFill>
              <w14:schemeClr w14:val="tx1"/>
            </w14:solidFill>
          </w14:textFill>
        </w:rPr>
        <w:t>内容</w:t>
      </w:r>
      <w:r>
        <w:rPr>
          <w:color w:val="000000" w:themeColor="text1"/>
          <w:kern w:val="0"/>
          <w:sz w:val="24"/>
          <w14:textFill>
            <w14:solidFill>
              <w14:schemeClr w14:val="tx1"/>
            </w14:solidFill>
          </w14:textFill>
        </w:rPr>
        <w:t>的选择必须充分考虑到：1.巷道围岩的运动状况，从监测数据直接判断围岩是否稳定；2.便于观测，易于现场测取。</w:t>
      </w:r>
    </w:p>
    <w:p>
      <w:pPr>
        <w:keepNext w:val="0"/>
        <w:keepLines w:val="0"/>
        <w:pageBreakBefore w:val="0"/>
        <w:widowControl w:val="0"/>
        <w:kinsoku/>
        <w:wordWrap/>
        <w:overflowPunct/>
        <w:topLinePunct w:val="0"/>
        <w:autoSpaceDE/>
        <w:autoSpaceDN/>
        <w:bidi w:val="0"/>
        <w:adjustRightInd/>
        <w:snapToGrid w:val="0"/>
        <w:spacing w:line="410" w:lineRule="exact"/>
        <w:ind w:firstLine="48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研究分析，与巷道两帮围岩稳定有关的监控指标主要有：巷道两帮位移、围岩深部位移、锚杆受力；与巷道顶板稳定有关的监控内容有：顶板下沉量，锚固区内、外的离层值、围岩深部位移、锚杆受力及其分布状况。</w:t>
      </w:r>
    </w:p>
    <w:bookmarkEnd w:id="411"/>
    <w:bookmarkEnd w:id="412"/>
    <w:bookmarkEnd w:id="413"/>
    <w:bookmarkEnd w:id="414"/>
    <w:p>
      <w:pPr>
        <w:keepNext w:val="0"/>
        <w:keepLines w:val="0"/>
        <w:pageBreakBefore w:val="0"/>
        <w:widowControl w:val="0"/>
        <w:kinsoku/>
        <w:wordWrap/>
        <w:overflowPunct/>
        <w:topLinePunct w:val="0"/>
        <w:autoSpaceDE/>
        <w:autoSpaceDN/>
        <w:bidi w:val="0"/>
        <w:adjustRightInd/>
        <w:snapToGrid w:val="0"/>
        <w:spacing w:line="410" w:lineRule="exact"/>
        <w:ind w:firstLine="0" w:firstLineChars="0"/>
        <w:textAlignment w:val="auto"/>
        <w:rPr>
          <w:b/>
          <w:color w:val="000000" w:themeColor="text1"/>
          <w:sz w:val="24"/>
          <w14:textFill>
            <w14:solidFill>
              <w14:schemeClr w14:val="tx1"/>
            </w14:solidFill>
          </w14:textFill>
        </w:rPr>
      </w:pPr>
      <w:bookmarkStart w:id="415" w:name="_Toc4769"/>
      <w:bookmarkStart w:id="416" w:name="_Toc10246"/>
      <w:bookmarkStart w:id="417" w:name="_Toc11519"/>
      <w:bookmarkStart w:id="418" w:name="_Toc2609560"/>
      <w:bookmarkStart w:id="419" w:name="_Toc963394"/>
      <w:bookmarkStart w:id="420" w:name="_Toc1077455"/>
      <w:bookmarkStart w:id="421" w:name="_Toc45999053"/>
      <w:bookmarkStart w:id="422" w:name="_Toc13369"/>
      <w:bookmarkStart w:id="423" w:name="_Toc527720677"/>
      <w:bookmarkStart w:id="424" w:name="_Toc13084"/>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巷道表面位移</w:t>
      </w:r>
      <w:bookmarkEnd w:id="415"/>
      <w:bookmarkEnd w:id="416"/>
    </w:p>
    <w:p>
      <w:pPr>
        <w:keepNext w:val="0"/>
        <w:keepLines w:val="0"/>
        <w:pageBreakBefore w:val="0"/>
        <w:widowControl w:val="0"/>
        <w:kinsoku/>
        <w:wordWrap/>
        <w:overflowPunct/>
        <w:topLinePunct w:val="0"/>
        <w:autoSpaceDE/>
        <w:autoSpaceDN/>
        <w:bidi w:val="0"/>
        <w:adjustRightInd/>
        <w:snapToGrid w:val="0"/>
        <w:spacing w:line="410" w:lineRule="exact"/>
        <w:ind w:firstLine="480"/>
        <w:textAlignment w:val="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在巷道内布置表面位移测站，</w:t>
      </w:r>
      <w:r>
        <w:rPr>
          <w:color w:val="000000" w:themeColor="text1"/>
          <w:kern w:val="0"/>
          <w:sz w:val="24"/>
          <w14:textFill>
            <w14:solidFill>
              <w14:schemeClr w14:val="tx1"/>
            </w14:solidFill>
          </w14:textFill>
        </w:rPr>
        <w:t>由工作面向外 200m 范围内每隔 50m 设置一个观测站</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由工作面</w:t>
      </w:r>
      <w:r>
        <w:rPr>
          <w:color w:val="000000" w:themeColor="text1"/>
          <w:kern w:val="0"/>
          <w:sz w:val="24"/>
          <w14:textFill>
            <w14:solidFill>
              <w14:schemeClr w14:val="tx1"/>
            </w14:solidFill>
          </w14:textFill>
        </w:rPr>
        <w:t>200m </w:t>
      </w:r>
      <w:r>
        <w:rPr>
          <w:rFonts w:hint="eastAsia"/>
          <w:color w:val="000000" w:themeColor="text1"/>
          <w:kern w:val="0"/>
          <w:sz w:val="24"/>
          <w14:textFill>
            <w14:solidFill>
              <w14:schemeClr w14:val="tx1"/>
            </w14:solidFill>
          </w14:textFill>
        </w:rPr>
        <w:t>向外每隔100m设置一个观测站</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正常条件下 7 天观测一次；在断层或破碎构造带附近及矿压显现较为明显的地段，每 2-3 天观测一次。</w:t>
      </w:r>
      <w:r>
        <w:rPr>
          <w:rFonts w:hint="eastAsia"/>
          <w:color w:val="000000" w:themeColor="text1"/>
          <w:kern w:val="0"/>
          <w:sz w:val="24"/>
          <w14:textFill>
            <w14:solidFill>
              <w14:schemeClr w14:val="tx1"/>
            </w14:solidFill>
          </w14:textFill>
        </w:rPr>
        <w:t>可根据现场实际情况调整间距。</w:t>
      </w:r>
    </w:p>
    <w:p>
      <w:pPr>
        <w:keepNext w:val="0"/>
        <w:keepLines w:val="0"/>
        <w:pageBreakBefore w:val="0"/>
        <w:widowControl w:val="0"/>
        <w:kinsoku/>
        <w:wordWrap/>
        <w:overflowPunct/>
        <w:topLinePunct w:val="0"/>
        <w:autoSpaceDE/>
        <w:autoSpaceDN/>
        <w:bidi w:val="0"/>
        <w:adjustRightInd/>
        <w:snapToGrid w:val="0"/>
        <w:spacing w:line="410" w:lineRule="exact"/>
        <w:ind w:firstLine="480"/>
        <w:textAlignment w:val="auto"/>
        <w:rPr>
          <w:bCs/>
          <w:color w:val="000000" w:themeColor="text1"/>
          <w:kern w:val="0"/>
          <w:sz w:val="24"/>
          <w14:textFill>
            <w14:solidFill>
              <w14:schemeClr w14:val="tx1"/>
            </w14:solidFill>
          </w14:textFill>
        </w:rPr>
      </w:pPr>
      <w:r>
        <w:rPr>
          <w:rFonts w:hint="eastAsia"/>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施工</w:t>
      </w:r>
      <w:r>
        <w:rPr>
          <w:bCs/>
          <w:color w:val="000000" w:themeColor="text1"/>
          <w:kern w:val="0"/>
          <w:sz w:val="24"/>
          <w14:textFill>
            <w14:solidFill>
              <w14:schemeClr w14:val="tx1"/>
            </w14:solidFill>
          </w14:textFill>
        </w:rPr>
        <w:t>步骤</w:t>
      </w:r>
    </w:p>
    <w:p>
      <w:pPr>
        <w:keepNext w:val="0"/>
        <w:keepLines w:val="0"/>
        <w:pageBreakBefore w:val="0"/>
        <w:widowControl w:val="0"/>
        <w:numPr>
          <w:ilvl w:val="0"/>
          <w:numId w:val="3"/>
        </w:numPr>
        <w:kinsoku/>
        <w:wordWrap/>
        <w:overflowPunct/>
        <w:topLinePunct w:val="0"/>
        <w:autoSpaceDE/>
        <w:autoSpaceDN/>
        <w:bidi w:val="0"/>
        <w:adjustRightInd/>
        <w:snapToGrid w:val="0"/>
        <w:spacing w:line="410" w:lineRule="exact"/>
        <w:ind w:firstLine="48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在A、B、C、D四处测点安设短锚杆</w:t>
      </w:r>
      <w:r>
        <w:rPr>
          <w:color w:val="000000" w:themeColor="text1"/>
          <w:sz w:val="24"/>
          <w14:textFill>
            <w14:solidFill>
              <w14:schemeClr w14:val="tx1"/>
            </w14:solidFill>
          </w14:textFill>
        </w:rPr>
        <w:t>（可利用现有锚杆做测点）</w:t>
      </w:r>
      <w:r>
        <w:rPr>
          <w:color w:val="000000" w:themeColor="text1"/>
          <w:kern w:val="0"/>
          <w:sz w:val="24"/>
          <w14:textFill>
            <w14:solidFill>
              <w14:schemeClr w14:val="tx1"/>
            </w14:solidFill>
          </w14:textFill>
        </w:rPr>
        <w:t>，安装</w:t>
      </w:r>
    </w:p>
    <w:p>
      <w:pPr>
        <w:keepNext w:val="0"/>
        <w:keepLines w:val="0"/>
        <w:pageBreakBefore w:val="0"/>
        <w:widowControl w:val="0"/>
        <w:numPr>
          <w:ilvl w:val="0"/>
          <w:numId w:val="0"/>
        </w:numPr>
        <w:kinsoku/>
        <w:wordWrap/>
        <w:overflowPunct/>
        <w:topLinePunct w:val="0"/>
        <w:autoSpaceDE/>
        <w:autoSpaceDN/>
        <w:bidi w:val="0"/>
        <w:adjustRightInd/>
        <w:snapToGrid w:val="0"/>
        <w:spacing w:line="410" w:lineRule="exact"/>
        <w:textAlignment w:val="auto"/>
        <w:rPr>
          <w:color w:val="000000" w:themeColor="text1"/>
          <w:kern w:val="0"/>
          <w:sz w:val="24"/>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410" w:lineRule="exact"/>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方法同普通锚杆；</w:t>
      </w:r>
    </w:p>
    <w:p>
      <w:pPr>
        <w:keepNext w:val="0"/>
        <w:keepLines w:val="0"/>
        <w:pageBreakBefore w:val="0"/>
        <w:widowControl w:val="0"/>
        <w:kinsoku/>
        <w:wordWrap/>
        <w:overflowPunct/>
        <w:topLinePunct w:val="0"/>
        <w:autoSpaceDE/>
        <w:autoSpaceDN/>
        <w:bidi w:val="0"/>
        <w:snapToGrid w:val="0"/>
        <w:ind w:firstLine="480"/>
        <w:textAlignment w:val="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b</w:t>
      </w:r>
      <w:r>
        <w:rPr>
          <w:color w:val="000000" w:themeColor="text1"/>
          <w:kern w:val="0"/>
          <w:sz w:val="24"/>
          <w14:textFill>
            <w14:solidFill>
              <w14:schemeClr w14:val="tx1"/>
            </w14:solidFill>
          </w14:textFill>
        </w:rPr>
        <w:t>.在A、B点固定专业测绳，C、D点固定专业钢卷尺，测量AB、OA值；</w:t>
      </w:r>
    </w:p>
    <w:p>
      <w:pPr>
        <w:keepNext w:val="0"/>
        <w:keepLines w:val="0"/>
        <w:pageBreakBefore w:val="0"/>
        <w:widowControl w:val="0"/>
        <w:kinsoku/>
        <w:wordWrap/>
        <w:overflowPunct/>
        <w:topLinePunct w:val="0"/>
        <w:autoSpaceDE/>
        <w:autoSpaceDN/>
        <w:bidi w:val="0"/>
        <w:snapToGrid w:val="0"/>
        <w:ind w:firstLine="480"/>
        <w:textAlignment w:val="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c</w:t>
      </w:r>
      <w:r>
        <w:rPr>
          <w:color w:val="000000" w:themeColor="text1"/>
          <w:kern w:val="0"/>
          <w:sz w:val="24"/>
          <w14:textFill>
            <w14:solidFill>
              <w14:schemeClr w14:val="tx1"/>
            </w14:solidFill>
          </w14:textFill>
        </w:rPr>
        <w:t>.在C、D点固定专业测绳，A、B点固定专业钢卷尺，测量CD、OC值。</w:t>
      </w:r>
    </w:p>
    <w:p>
      <w:pPr>
        <w:keepNext w:val="0"/>
        <w:keepLines w:val="0"/>
        <w:pageBreakBefore w:val="0"/>
        <w:widowControl w:val="0"/>
        <w:kinsoku/>
        <w:wordWrap/>
        <w:overflowPunct/>
        <w:topLinePunct w:val="0"/>
        <w:autoSpaceDE/>
        <w:autoSpaceDN/>
        <w:bidi w:val="0"/>
        <w:snapToGrid w:val="0"/>
        <w:ind w:firstLine="480"/>
        <w:textAlignment w:val="auto"/>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②</w:t>
      </w:r>
      <w:r>
        <w:rPr>
          <w:bCs/>
          <w:color w:val="000000" w:themeColor="text1"/>
          <w:kern w:val="0"/>
          <w:sz w:val="24"/>
          <w14:textFill>
            <w14:solidFill>
              <w14:schemeClr w14:val="tx1"/>
            </w14:solidFill>
          </w14:textFill>
        </w:rPr>
        <w:t>精度要求</w:t>
      </w:r>
      <w:r>
        <w:rPr>
          <w:rFonts w:hint="eastAsia"/>
          <w:bCs/>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测量数据的精度为0.1cm。</w:t>
      </w:r>
    </w:p>
    <w:p>
      <w:pPr>
        <w:keepNext w:val="0"/>
        <w:keepLines w:val="0"/>
        <w:pageBreakBefore w:val="0"/>
        <w:widowControl w:val="0"/>
        <w:kinsoku/>
        <w:wordWrap/>
        <w:overflowPunct/>
        <w:topLinePunct w:val="0"/>
        <w:autoSpaceDE/>
        <w:autoSpaceDN/>
        <w:bidi w:val="0"/>
        <w:snapToGrid w:val="0"/>
        <w:ind w:firstLine="480"/>
        <w:textAlignment w:val="auto"/>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③</w:t>
      </w:r>
      <w:r>
        <w:rPr>
          <w:bCs/>
          <w:color w:val="000000" w:themeColor="text1"/>
          <w:kern w:val="0"/>
          <w:sz w:val="24"/>
          <w14:textFill>
            <w14:solidFill>
              <w14:schemeClr w14:val="tx1"/>
            </w14:solidFill>
          </w14:textFill>
        </w:rPr>
        <w:t>观测频率：</w:t>
      </w:r>
      <w:r>
        <w:rPr>
          <w:rFonts w:hint="eastAsia"/>
          <w:color w:val="000000" w:themeColor="text1"/>
          <w:kern w:val="0"/>
          <w:sz w:val="24"/>
          <w14:textFill>
            <w14:solidFill>
              <w14:schemeClr w14:val="tx1"/>
            </w14:solidFill>
          </w14:textFill>
        </w:rPr>
        <w:t>测站布置后，前2周每天测量1次，之后每1周测量1次。</w:t>
      </w:r>
    </w:p>
    <w:p>
      <w:pPr>
        <w:keepNext w:val="0"/>
        <w:keepLines w:val="0"/>
        <w:pageBreakBefore w:val="0"/>
        <w:widowControl w:val="0"/>
        <w:kinsoku/>
        <w:wordWrap/>
        <w:overflowPunct/>
        <w:topLinePunct w:val="0"/>
        <w:autoSpaceDE/>
        <w:autoSpaceDN/>
        <w:bidi w:val="0"/>
        <w:snapToGrid w:val="0"/>
        <w:ind w:firstLine="480"/>
        <w:textAlignment w:val="auto"/>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④</w:t>
      </w:r>
      <w:r>
        <w:rPr>
          <w:bCs/>
          <w:color w:val="000000" w:themeColor="text1"/>
          <w:kern w:val="0"/>
          <w:sz w:val="24"/>
          <w14:textFill>
            <w14:solidFill>
              <w14:schemeClr w14:val="tx1"/>
            </w14:solidFill>
          </w14:textFill>
        </w:rPr>
        <w:t>注意事项</w:t>
      </w:r>
    </w:p>
    <w:p>
      <w:pPr>
        <w:keepNext w:val="0"/>
        <w:keepLines w:val="0"/>
        <w:pageBreakBefore w:val="0"/>
        <w:widowControl w:val="0"/>
        <w:kinsoku/>
        <w:wordWrap/>
        <w:overflowPunct/>
        <w:topLinePunct w:val="0"/>
        <w:autoSpaceDE/>
        <w:autoSpaceDN/>
        <w:bidi w:val="0"/>
        <w:snapToGrid w:val="0"/>
        <w:ind w:firstLine="480"/>
        <w:textAlignment w:val="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a</w:t>
      </w:r>
      <w:r>
        <w:rPr>
          <w:color w:val="000000" w:themeColor="text1"/>
          <w:kern w:val="0"/>
          <w:sz w:val="24"/>
          <w14:textFill>
            <w14:solidFill>
              <w14:schemeClr w14:val="tx1"/>
            </w14:solidFill>
          </w14:textFill>
        </w:rPr>
        <w:t>.顶板和两帮的表面位移观测点处围岩完整；</w:t>
      </w:r>
    </w:p>
    <w:p>
      <w:pPr>
        <w:keepNext w:val="0"/>
        <w:keepLines w:val="0"/>
        <w:pageBreakBefore w:val="0"/>
        <w:widowControl w:val="0"/>
        <w:kinsoku/>
        <w:wordWrap/>
        <w:overflowPunct/>
        <w:topLinePunct w:val="0"/>
        <w:autoSpaceDE/>
        <w:autoSpaceDN/>
        <w:bidi w:val="0"/>
        <w:snapToGrid w:val="0"/>
        <w:ind w:firstLine="480"/>
        <w:textAlignment w:val="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b</w:t>
      </w:r>
      <w:r>
        <w:rPr>
          <w:color w:val="000000" w:themeColor="text1"/>
          <w:kern w:val="0"/>
          <w:sz w:val="24"/>
          <w14:textFill>
            <w14:solidFill>
              <w14:schemeClr w14:val="tx1"/>
            </w14:solidFill>
          </w14:textFill>
        </w:rPr>
        <w:t>.顶</w:t>
      </w:r>
      <w:r>
        <w:rPr>
          <w:color w:val="000000" w:themeColor="text1"/>
          <w:sz w:val="24"/>
          <w14:textFill>
            <w14:solidFill>
              <w14:schemeClr w14:val="tx1"/>
            </w14:solidFill>
          </w14:textFill>
        </w:rPr>
        <w:t>底板</w:t>
      </w:r>
      <w:r>
        <w:rPr>
          <w:color w:val="000000" w:themeColor="text1"/>
          <w:kern w:val="0"/>
          <w:sz w:val="24"/>
          <w14:textFill>
            <w14:solidFill>
              <w14:schemeClr w14:val="tx1"/>
            </w14:solidFill>
          </w14:textFill>
        </w:rPr>
        <w:t>观测点连线与两帮观测点连线相互垂直；</w:t>
      </w:r>
    </w:p>
    <w:p>
      <w:pPr>
        <w:keepNext w:val="0"/>
        <w:keepLines w:val="0"/>
        <w:pageBreakBefore w:val="0"/>
        <w:widowControl w:val="0"/>
        <w:kinsoku/>
        <w:wordWrap/>
        <w:overflowPunct/>
        <w:topLinePunct w:val="0"/>
        <w:autoSpaceDE/>
        <w:autoSpaceDN/>
        <w:bidi w:val="0"/>
        <w:snapToGrid w:val="0"/>
        <w:ind w:firstLine="480"/>
        <w:textAlignment w:val="auto"/>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c</w:t>
      </w:r>
      <w:r>
        <w:rPr>
          <w:color w:val="000000" w:themeColor="text1"/>
          <w:kern w:val="0"/>
          <w:sz w:val="24"/>
          <w14:textFill>
            <w14:solidFill>
              <w14:schemeClr w14:val="tx1"/>
            </w14:solidFill>
          </w14:textFill>
        </w:rPr>
        <w:t>.测点需醒目标示，注意保护</w:t>
      </w:r>
      <w:r>
        <w:rPr>
          <w:rFonts w:hint="eastAsia"/>
          <w:color w:val="000000" w:themeColor="text1"/>
          <w:kern w:val="0"/>
          <w:sz w:val="24"/>
          <w14:textFill>
            <w14:solidFill>
              <w14:schemeClr w14:val="tx1"/>
            </w14:solidFill>
          </w14:textFill>
        </w:rPr>
        <w:t>，同时悬挂牌板并按照规定填写。</w:t>
      </w:r>
    </w:p>
    <w:p>
      <w:pPr>
        <w:keepNext w:val="0"/>
        <w:keepLines w:val="0"/>
        <w:pageBreakBefore w:val="0"/>
        <w:widowControl w:val="0"/>
        <w:kinsoku/>
        <w:wordWrap/>
        <w:overflowPunct/>
        <w:topLinePunct w:val="0"/>
        <w:autoSpaceDE/>
        <w:autoSpaceDN/>
        <w:bidi w:val="0"/>
        <w:snapToGrid w:val="0"/>
        <w:ind w:firstLine="0" w:firstLineChars="0"/>
        <w:textAlignment w:val="auto"/>
        <w:rPr>
          <w:b/>
          <w:color w:val="000000" w:themeColor="text1"/>
          <w:sz w:val="24"/>
          <w14:textFill>
            <w14:solidFill>
              <w14:schemeClr w14:val="tx1"/>
            </w14:solidFill>
          </w14:textFill>
        </w:rPr>
      </w:pPr>
      <w:bookmarkStart w:id="425" w:name="_Toc32081"/>
      <w:bookmarkStart w:id="426" w:name="_Toc527720676"/>
      <w:bookmarkStart w:id="427" w:name="_Toc527643173"/>
      <w:bookmarkStart w:id="428" w:name="_Toc20982"/>
      <w:bookmarkStart w:id="429" w:name="_Toc22612"/>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巷道顶板离层观测</w:t>
      </w:r>
      <w:bookmarkEnd w:id="425"/>
      <w:bookmarkEnd w:id="426"/>
      <w:bookmarkEnd w:id="427"/>
      <w:bookmarkEnd w:id="428"/>
      <w:bookmarkEnd w:id="429"/>
    </w:p>
    <w:p>
      <w:pPr>
        <w:keepNext w:val="0"/>
        <w:keepLines w:val="0"/>
        <w:pageBreakBefore w:val="0"/>
        <w:widowControl w:val="0"/>
        <w:kinsoku/>
        <w:wordWrap/>
        <w:overflowPunct/>
        <w:topLinePunct w:val="0"/>
        <w:autoSpaceDE/>
        <w:autoSpaceDN/>
        <w:bidi w:val="0"/>
        <w:snapToGrid w:val="0"/>
        <w:ind w:firstLine="48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巷道顶板离层的监测采用顶板离层指示仪监测，沿用掘进期间已安装的顶板离层监测，如现场发生变化再根据实际情况安装。观测间隔和预警临界值按照掘进期间方案执行，由采煤施工单位负责观测及记录，出现异常及时上报相关单位。</w:t>
      </w:r>
    </w:p>
    <w:p>
      <w:pPr>
        <w:pStyle w:val="4"/>
        <w:keepNext w:val="0"/>
        <w:keepLines w:val="0"/>
        <w:pageBreakBefore w:val="0"/>
        <w:widowControl w:val="0"/>
        <w:numPr>
          <w:ilvl w:val="1"/>
          <w:numId w:val="0"/>
        </w:numPr>
        <w:kinsoku/>
        <w:wordWrap/>
        <w:overflowPunct/>
        <w:topLinePunct w:val="0"/>
        <w:autoSpaceDE/>
        <w:autoSpaceDN/>
        <w:bidi w:val="0"/>
        <w:snapToGrid w:val="0"/>
        <w:spacing w:before="0" w:after="0"/>
        <w:ind w:left="578" w:hanging="578"/>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（三）</w:t>
      </w:r>
      <w:r>
        <w:rPr>
          <w:rFonts w:ascii="Times New Roman" w:hAnsi="Times New Roman"/>
          <w:color w:val="000000" w:themeColor="text1"/>
          <w14:textFill>
            <w14:solidFill>
              <w14:schemeClr w14:val="tx1"/>
            </w14:solidFill>
          </w14:textFill>
        </w:rPr>
        <w:t>冲击地压危险预警</w:t>
      </w:r>
      <w:bookmarkEnd w:id="417"/>
      <w:r>
        <w:rPr>
          <w:rFonts w:ascii="Times New Roman" w:hAnsi="Times New Roman"/>
          <w:color w:val="000000" w:themeColor="text1"/>
          <w14:textFill>
            <w14:solidFill>
              <w14:schemeClr w14:val="tx1"/>
            </w14:solidFill>
          </w14:textFill>
        </w:rPr>
        <w:t>指标</w:t>
      </w:r>
      <w:bookmarkEnd w:id="418"/>
      <w:bookmarkEnd w:id="419"/>
      <w:bookmarkEnd w:id="420"/>
      <w:bookmarkEnd w:id="421"/>
      <w:bookmarkEnd w:id="422"/>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1303工作面回采必须建立实时预警、紧急处置机制，防冲</w:t>
      </w:r>
      <w:r>
        <w:rPr>
          <w:rFonts w:hint="eastAsia"/>
          <w:color w:val="000000" w:themeColor="text1"/>
          <w:sz w:val="24"/>
          <w14:textFill>
            <w14:solidFill>
              <w14:schemeClr w14:val="tx1"/>
            </w14:solidFill>
          </w14:textFill>
        </w:rPr>
        <w:t>机构</w:t>
      </w:r>
      <w:r>
        <w:rPr>
          <w:color w:val="000000" w:themeColor="text1"/>
          <w:sz w:val="24"/>
          <w14:textFill>
            <w14:solidFill>
              <w14:schemeClr w14:val="tx1"/>
            </w14:solidFill>
          </w14:textFill>
        </w:rPr>
        <w:t>负责冲击危险性监测、预警、处置工作。发现冲击危险性预警指标超限或判定有冲击危险时，应立即通知受威胁区域的人员停止作业、撤出人员、切断电源，并报告调度室。所有监测指数均需低于标定值方可正常作业。根据对1304、1305工作面回采期间的监测数据采用微震数据分析为主、其它监测系统数据分析为辅的综合分析，对冲击地压显现危险进行定量评估，评估过程以各参数所定最高等级为准，依次划分为无、弱、中等、强四级冲击危险预警标准，详见表</w:t>
      </w:r>
      <w:r>
        <w:rPr>
          <w:rFonts w:hint="eastAsia"/>
          <w:color w:val="000000" w:themeColor="text1"/>
          <w:sz w:val="24"/>
          <w14:textFill>
            <w14:solidFill>
              <w14:schemeClr w14:val="tx1"/>
            </w14:solidFill>
          </w14:textFill>
        </w:rPr>
        <w:t>28</w:t>
      </w:r>
      <w:r>
        <w:rPr>
          <w:color w:val="000000" w:themeColor="text1"/>
          <w:sz w:val="24"/>
          <w14:textFill>
            <w14:solidFill>
              <w14:schemeClr w14:val="tx1"/>
            </w14:solidFill>
          </w14:textFill>
        </w:rPr>
        <w:t>所示。</w:t>
      </w:r>
    </w:p>
    <w:p>
      <w:pPr>
        <w:snapToGrid w:val="0"/>
        <w:ind w:firstLine="0" w:firstLineChars="0"/>
        <w:jc w:val="center"/>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表</w:t>
      </w:r>
      <w:r>
        <w:rPr>
          <w:rFonts w:hint="eastAsia" w:ascii="仿宋" w:hAnsi="仿宋" w:eastAsia="仿宋" w:cs="仿宋"/>
          <w:color w:val="000000" w:themeColor="text1"/>
          <w:szCs w:val="21"/>
          <w14:textFill>
            <w14:solidFill>
              <w14:schemeClr w14:val="tx1"/>
            </w14:solidFill>
          </w14:textFill>
        </w:rPr>
        <w:t xml:space="preserve">28  </w:t>
      </w:r>
      <w:r>
        <w:rPr>
          <w:rFonts w:ascii="仿宋" w:hAnsi="仿宋" w:eastAsia="仿宋"/>
          <w:color w:val="000000" w:themeColor="text1"/>
          <w:szCs w:val="21"/>
          <w14:textFill>
            <w14:solidFill>
              <w14:schemeClr w14:val="tx1"/>
            </w14:solidFill>
          </w14:textFill>
        </w:rPr>
        <w:t>定量评价冲击地压危险指标</w:t>
      </w:r>
      <w:r>
        <w:rPr>
          <w:rFonts w:hint="eastAsia" w:ascii="仿宋" w:hAnsi="仿宋" w:eastAsia="仿宋"/>
          <w:color w:val="000000" w:themeColor="text1"/>
          <w:szCs w:val="21"/>
          <w14:textFill>
            <w14:solidFill>
              <w14:schemeClr w14:val="tx1"/>
            </w14:solidFill>
          </w14:textFill>
        </w:rPr>
        <w:t>（综合指标）</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6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04" w:type="pct"/>
            <w:vAlign w:val="center"/>
          </w:tcPr>
          <w:p>
            <w:pPr>
              <w:adjustRightInd w:val="0"/>
              <w:snapToGrid w:val="0"/>
              <w:spacing w:line="240" w:lineRule="atLeast"/>
              <w:ind w:firstLine="0" w:firstLineChars="0"/>
              <w:jc w:val="center"/>
              <w:rPr>
                <w:rFonts w:ascii="仿宋" w:hAnsi="仿宋" w:eastAsia="仿宋"/>
                <w:szCs w:val="21"/>
              </w:rPr>
            </w:pPr>
            <w:bookmarkStart w:id="430" w:name="_Toc11138"/>
            <w:r>
              <w:rPr>
                <w:rFonts w:ascii="仿宋" w:hAnsi="仿宋" w:eastAsia="仿宋"/>
                <w:szCs w:val="21"/>
              </w:rPr>
              <w:t>危险等级</w:t>
            </w:r>
          </w:p>
        </w:tc>
        <w:tc>
          <w:tcPr>
            <w:tcW w:w="4096" w:type="pct"/>
            <w:vAlign w:val="center"/>
          </w:tcPr>
          <w:p>
            <w:pPr>
              <w:widowControl/>
              <w:adjustRightInd w:val="0"/>
              <w:snapToGrid w:val="0"/>
              <w:spacing w:line="240" w:lineRule="atLeast"/>
              <w:ind w:firstLine="0" w:firstLineChars="0"/>
              <w:rPr>
                <w:rFonts w:ascii="仿宋" w:hAnsi="仿宋" w:eastAsia="仿宋"/>
                <w:szCs w:val="21"/>
              </w:rPr>
            </w:pPr>
            <w:r>
              <w:rPr>
                <w:rFonts w:ascii="仿宋" w:hAnsi="仿宋" w:eastAsia="仿宋"/>
                <w:szCs w:val="21"/>
              </w:rPr>
              <w:t>回采工作面（工作面前后外扩200m，两巷外扩150m）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904" w:type="pct"/>
            <w:vAlign w:val="center"/>
          </w:tcPr>
          <w:p>
            <w:pPr>
              <w:adjustRightInd w:val="0"/>
              <w:snapToGrid w:val="0"/>
              <w:spacing w:line="240" w:lineRule="atLeast"/>
              <w:ind w:firstLine="0" w:firstLineChars="0"/>
              <w:jc w:val="center"/>
              <w:rPr>
                <w:rFonts w:ascii="仿宋" w:hAnsi="仿宋" w:eastAsia="仿宋"/>
                <w:szCs w:val="21"/>
              </w:rPr>
            </w:pPr>
            <w:r>
              <w:rPr>
                <w:rFonts w:ascii="仿宋" w:hAnsi="仿宋" w:eastAsia="仿宋"/>
                <w:szCs w:val="21"/>
              </w:rPr>
              <w:t>无冲击危险</w:t>
            </w:r>
          </w:p>
        </w:tc>
        <w:tc>
          <w:tcPr>
            <w:tcW w:w="4096" w:type="pct"/>
            <w:vAlign w:val="center"/>
          </w:tcPr>
          <w:p>
            <w:pPr>
              <w:widowControl/>
              <w:adjustRightInd w:val="0"/>
              <w:snapToGrid w:val="0"/>
              <w:spacing w:line="240" w:lineRule="atLeast"/>
              <w:ind w:firstLine="0" w:firstLineChars="0"/>
              <w:rPr>
                <w:rFonts w:ascii="仿宋" w:hAnsi="仿宋" w:eastAsia="仿宋"/>
                <w:szCs w:val="21"/>
              </w:rPr>
            </w:pPr>
            <w:r>
              <w:rPr>
                <w:rFonts w:ascii="仿宋" w:hAnsi="仿宋" w:eastAsia="仿宋"/>
                <w:szCs w:val="21"/>
              </w:rPr>
              <w:t>1、E</w:t>
            </w:r>
            <w:r>
              <w:rPr>
                <w:rFonts w:ascii="仿宋" w:hAnsi="仿宋" w:eastAsia="仿宋"/>
                <w:szCs w:val="21"/>
                <w:vertAlign w:val="subscript"/>
              </w:rPr>
              <w:t>max</w:t>
            </w:r>
            <w:r>
              <w:rPr>
                <w:rFonts w:ascii="仿宋" w:hAnsi="仿宋" w:eastAsia="仿宋"/>
                <w:szCs w:val="21"/>
              </w:rPr>
              <w:t>&lt;2×10</w:t>
            </w:r>
            <w:r>
              <w:rPr>
                <w:rFonts w:ascii="仿宋" w:hAnsi="仿宋" w:eastAsia="仿宋"/>
                <w:szCs w:val="21"/>
                <w:vertAlign w:val="superscript"/>
              </w:rPr>
              <w:t>4</w:t>
            </w:r>
            <w:r>
              <w:rPr>
                <w:rFonts w:ascii="仿宋" w:hAnsi="仿宋" w:eastAsia="仿宋"/>
                <w:szCs w:val="21"/>
              </w:rPr>
              <w:t>J或∑E&lt;</w:t>
            </w:r>
            <w:r>
              <w:rPr>
                <w:rFonts w:ascii="仿宋" w:hAnsi="仿宋" w:eastAsia="仿宋"/>
                <w:bCs/>
                <w:spacing w:val="-2"/>
                <w:kern w:val="0"/>
                <w:szCs w:val="21"/>
              </w:rPr>
              <w:t>1.5×</w:t>
            </w:r>
            <w:r>
              <w:rPr>
                <w:rFonts w:ascii="仿宋" w:hAnsi="仿宋" w:eastAsia="仿宋"/>
                <w:szCs w:val="21"/>
              </w:rPr>
              <w:t>10</w:t>
            </w:r>
            <w:r>
              <w:rPr>
                <w:rFonts w:ascii="仿宋" w:hAnsi="仿宋" w:eastAsia="仿宋"/>
                <w:szCs w:val="21"/>
                <w:vertAlign w:val="superscript"/>
              </w:rPr>
              <w:t>5</w:t>
            </w:r>
            <w:r>
              <w:rPr>
                <w:rFonts w:ascii="仿宋" w:hAnsi="仿宋" w:eastAsia="仿宋"/>
                <w:szCs w:val="21"/>
              </w:rPr>
              <w:t>J/每</w:t>
            </w:r>
            <w:r>
              <w:rPr>
                <w:rFonts w:hint="eastAsia" w:ascii="仿宋" w:hAnsi="仿宋" w:eastAsia="仿宋"/>
                <w:szCs w:val="21"/>
              </w:rPr>
              <w:t>3.2</w:t>
            </w:r>
            <w:r>
              <w:rPr>
                <w:rFonts w:ascii="仿宋" w:hAnsi="仿宋" w:eastAsia="仿宋"/>
                <w:szCs w:val="21"/>
              </w:rPr>
              <w:t>m推进度</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2、总频次&lt;150</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3、没有动压现象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904" w:type="pct"/>
            <w:vAlign w:val="center"/>
          </w:tcPr>
          <w:p>
            <w:pPr>
              <w:adjustRightInd w:val="0"/>
              <w:snapToGrid w:val="0"/>
              <w:spacing w:line="240" w:lineRule="atLeast"/>
              <w:ind w:firstLine="0" w:firstLineChars="0"/>
              <w:jc w:val="center"/>
              <w:rPr>
                <w:rFonts w:ascii="仿宋" w:hAnsi="仿宋" w:eastAsia="仿宋"/>
                <w:szCs w:val="21"/>
              </w:rPr>
            </w:pPr>
            <w:r>
              <w:rPr>
                <w:rFonts w:ascii="仿宋" w:hAnsi="仿宋" w:eastAsia="仿宋"/>
                <w:szCs w:val="21"/>
              </w:rPr>
              <w:t>弱冲击危险</w:t>
            </w:r>
          </w:p>
        </w:tc>
        <w:tc>
          <w:tcPr>
            <w:tcW w:w="4096" w:type="pct"/>
            <w:vAlign w:val="center"/>
          </w:tcPr>
          <w:p>
            <w:pPr>
              <w:widowControl/>
              <w:adjustRightInd w:val="0"/>
              <w:snapToGrid w:val="0"/>
              <w:spacing w:line="240" w:lineRule="atLeast"/>
              <w:ind w:firstLine="0" w:firstLineChars="0"/>
              <w:rPr>
                <w:rFonts w:ascii="仿宋" w:hAnsi="仿宋" w:eastAsia="仿宋"/>
                <w:szCs w:val="21"/>
              </w:rPr>
            </w:pPr>
            <w:r>
              <w:rPr>
                <w:rFonts w:ascii="仿宋" w:hAnsi="仿宋" w:eastAsia="仿宋"/>
                <w:bCs/>
                <w:spacing w:val="-2"/>
                <w:kern w:val="0"/>
                <w:szCs w:val="21"/>
              </w:rPr>
              <w:t>1</w:t>
            </w:r>
            <w:r>
              <w:rPr>
                <w:rFonts w:ascii="仿宋" w:hAnsi="仿宋" w:eastAsia="仿宋"/>
                <w:bCs/>
                <w:spacing w:val="-2"/>
                <w:kern w:val="0"/>
                <w:szCs w:val="21"/>
                <w:lang w:val="zh-CN"/>
              </w:rPr>
              <w:t>、</w:t>
            </w:r>
            <w:r>
              <w:rPr>
                <w:rFonts w:ascii="仿宋" w:hAnsi="仿宋" w:eastAsia="仿宋"/>
                <w:szCs w:val="21"/>
              </w:rPr>
              <w:t>2×10</w:t>
            </w:r>
            <w:r>
              <w:rPr>
                <w:rFonts w:ascii="仿宋" w:hAnsi="仿宋" w:eastAsia="仿宋"/>
                <w:szCs w:val="21"/>
                <w:vertAlign w:val="superscript"/>
              </w:rPr>
              <w:t>4</w:t>
            </w:r>
            <w:r>
              <w:rPr>
                <w:rFonts w:ascii="仿宋" w:hAnsi="仿宋" w:eastAsia="仿宋"/>
                <w:szCs w:val="21"/>
              </w:rPr>
              <w:t>J≤</w:t>
            </w:r>
            <w:r>
              <w:rPr>
                <w:rFonts w:ascii="仿宋" w:hAnsi="仿宋" w:eastAsia="仿宋"/>
                <w:bCs/>
                <w:spacing w:val="-2"/>
                <w:kern w:val="0"/>
                <w:szCs w:val="21"/>
              </w:rPr>
              <w:t>E</w:t>
            </w:r>
            <w:r>
              <w:rPr>
                <w:rFonts w:ascii="仿宋" w:hAnsi="仿宋" w:eastAsia="仿宋"/>
                <w:bCs/>
                <w:spacing w:val="-2"/>
                <w:kern w:val="0"/>
                <w:szCs w:val="21"/>
                <w:vertAlign w:val="subscript"/>
              </w:rPr>
              <w:t>max</w:t>
            </w:r>
            <w:r>
              <w:rPr>
                <w:rFonts w:ascii="仿宋" w:hAnsi="仿宋" w:eastAsia="仿宋"/>
                <w:bCs/>
                <w:spacing w:val="-2"/>
                <w:kern w:val="0"/>
                <w:szCs w:val="21"/>
              </w:rPr>
              <w:t>&lt;6×10</w:t>
            </w:r>
            <w:r>
              <w:rPr>
                <w:rFonts w:ascii="仿宋" w:hAnsi="仿宋" w:eastAsia="仿宋"/>
                <w:bCs/>
                <w:spacing w:val="-2"/>
                <w:kern w:val="0"/>
                <w:szCs w:val="21"/>
                <w:vertAlign w:val="superscript"/>
              </w:rPr>
              <w:t>4</w:t>
            </w:r>
            <w:r>
              <w:rPr>
                <w:rFonts w:ascii="仿宋" w:hAnsi="仿宋" w:eastAsia="仿宋"/>
                <w:bCs/>
                <w:spacing w:val="-2"/>
                <w:kern w:val="0"/>
                <w:szCs w:val="21"/>
              </w:rPr>
              <w:t>J或</w:t>
            </w:r>
            <w:r>
              <w:rPr>
                <w:rFonts w:ascii="仿宋" w:hAnsi="仿宋" w:eastAsia="仿宋"/>
                <w:szCs w:val="21"/>
              </w:rPr>
              <w:t>1.</w:t>
            </w:r>
            <w:r>
              <w:rPr>
                <w:rFonts w:ascii="仿宋" w:hAnsi="仿宋" w:eastAsia="仿宋"/>
                <w:bCs/>
                <w:spacing w:val="-2"/>
                <w:kern w:val="0"/>
                <w:szCs w:val="21"/>
              </w:rPr>
              <w:t>5×</w:t>
            </w:r>
            <w:r>
              <w:rPr>
                <w:rFonts w:ascii="仿宋" w:hAnsi="仿宋" w:eastAsia="仿宋"/>
                <w:szCs w:val="21"/>
              </w:rPr>
              <w:t>10</w:t>
            </w:r>
            <w:r>
              <w:rPr>
                <w:rFonts w:ascii="仿宋" w:hAnsi="仿宋" w:eastAsia="仿宋"/>
                <w:szCs w:val="21"/>
                <w:vertAlign w:val="superscript"/>
              </w:rPr>
              <w:t>5</w:t>
            </w:r>
            <w:r>
              <w:rPr>
                <w:rFonts w:ascii="仿宋" w:hAnsi="仿宋" w:eastAsia="仿宋"/>
                <w:szCs w:val="21"/>
              </w:rPr>
              <w:t>J≤∑E&lt;3×10</w:t>
            </w:r>
            <w:r>
              <w:rPr>
                <w:rFonts w:ascii="仿宋" w:hAnsi="仿宋" w:eastAsia="仿宋"/>
                <w:szCs w:val="21"/>
                <w:vertAlign w:val="superscript"/>
              </w:rPr>
              <w:t>5</w:t>
            </w:r>
            <w:r>
              <w:rPr>
                <w:rFonts w:ascii="仿宋" w:hAnsi="仿宋" w:eastAsia="仿宋"/>
                <w:szCs w:val="21"/>
              </w:rPr>
              <w:t>J/每</w:t>
            </w:r>
            <w:r>
              <w:rPr>
                <w:rFonts w:hint="eastAsia" w:ascii="仿宋" w:hAnsi="仿宋" w:eastAsia="仿宋"/>
                <w:szCs w:val="21"/>
              </w:rPr>
              <w:t>3.2</w:t>
            </w:r>
            <w:r>
              <w:rPr>
                <w:rFonts w:ascii="仿宋" w:hAnsi="仿宋" w:eastAsia="仿宋"/>
                <w:szCs w:val="21"/>
              </w:rPr>
              <w:t>m推进度</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2、150≤总频次&lt;260</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3、应力在线监测系统黄色预警</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4、没有动压显现</w:t>
            </w:r>
            <w:r>
              <w:rPr>
                <w:rFonts w:hint="eastAsia" w:ascii="仿宋" w:hAnsi="仿宋" w:eastAsia="仿宋"/>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04" w:type="pct"/>
            <w:vAlign w:val="center"/>
          </w:tcPr>
          <w:p>
            <w:pPr>
              <w:adjustRightInd w:val="0"/>
              <w:snapToGrid w:val="0"/>
              <w:spacing w:line="240" w:lineRule="atLeast"/>
              <w:ind w:firstLine="0" w:firstLineChars="0"/>
              <w:jc w:val="center"/>
              <w:rPr>
                <w:rFonts w:ascii="仿宋" w:hAnsi="仿宋" w:eastAsia="仿宋"/>
                <w:szCs w:val="21"/>
              </w:rPr>
            </w:pPr>
            <w:r>
              <w:rPr>
                <w:rFonts w:ascii="仿宋" w:hAnsi="仿宋" w:eastAsia="仿宋"/>
                <w:szCs w:val="21"/>
              </w:rPr>
              <w:t>中等冲击危险</w:t>
            </w:r>
          </w:p>
        </w:tc>
        <w:tc>
          <w:tcPr>
            <w:tcW w:w="4096" w:type="pct"/>
            <w:vAlign w:val="center"/>
          </w:tcPr>
          <w:p>
            <w:pPr>
              <w:adjustRightInd w:val="0"/>
              <w:snapToGrid w:val="0"/>
              <w:spacing w:line="240" w:lineRule="atLeast"/>
              <w:ind w:firstLine="0" w:firstLineChars="0"/>
              <w:rPr>
                <w:rFonts w:ascii="仿宋" w:hAnsi="仿宋" w:eastAsia="仿宋"/>
                <w:bCs/>
                <w:spacing w:val="-2"/>
                <w:kern w:val="0"/>
                <w:szCs w:val="21"/>
              </w:rPr>
            </w:pPr>
            <w:r>
              <w:rPr>
                <w:rFonts w:ascii="仿宋" w:hAnsi="仿宋" w:eastAsia="仿宋"/>
                <w:bCs/>
                <w:spacing w:val="-2"/>
                <w:kern w:val="0"/>
                <w:szCs w:val="21"/>
              </w:rPr>
              <w:t>1、6×10</w:t>
            </w:r>
            <w:r>
              <w:rPr>
                <w:rFonts w:ascii="仿宋" w:hAnsi="仿宋" w:eastAsia="仿宋"/>
                <w:bCs/>
                <w:spacing w:val="-2"/>
                <w:kern w:val="0"/>
                <w:szCs w:val="21"/>
                <w:vertAlign w:val="superscript"/>
              </w:rPr>
              <w:t>4</w:t>
            </w:r>
            <w:r>
              <w:rPr>
                <w:rFonts w:ascii="仿宋" w:hAnsi="仿宋" w:eastAsia="仿宋"/>
                <w:bCs/>
                <w:spacing w:val="-2"/>
                <w:kern w:val="0"/>
                <w:szCs w:val="21"/>
              </w:rPr>
              <w:t>J</w:t>
            </w:r>
            <w:r>
              <w:rPr>
                <w:rFonts w:ascii="仿宋" w:hAnsi="仿宋" w:eastAsia="仿宋"/>
                <w:szCs w:val="21"/>
              </w:rPr>
              <w:t>≤</w:t>
            </w:r>
            <w:r>
              <w:rPr>
                <w:rFonts w:ascii="仿宋" w:hAnsi="仿宋" w:eastAsia="仿宋"/>
                <w:bCs/>
                <w:spacing w:val="-2"/>
                <w:kern w:val="0"/>
                <w:szCs w:val="21"/>
              </w:rPr>
              <w:t>E</w:t>
            </w:r>
            <w:r>
              <w:rPr>
                <w:rFonts w:ascii="仿宋" w:hAnsi="仿宋" w:eastAsia="仿宋"/>
                <w:bCs/>
                <w:spacing w:val="-2"/>
                <w:kern w:val="0"/>
                <w:szCs w:val="21"/>
                <w:vertAlign w:val="subscript"/>
              </w:rPr>
              <w:t>max</w:t>
            </w:r>
            <w:r>
              <w:rPr>
                <w:rFonts w:ascii="仿宋" w:hAnsi="仿宋" w:eastAsia="仿宋"/>
                <w:bCs/>
                <w:spacing w:val="-2"/>
                <w:kern w:val="0"/>
                <w:szCs w:val="21"/>
              </w:rPr>
              <w:t>&lt;1×10</w:t>
            </w:r>
            <w:r>
              <w:rPr>
                <w:rFonts w:ascii="仿宋" w:hAnsi="仿宋" w:eastAsia="仿宋"/>
                <w:bCs/>
                <w:spacing w:val="-2"/>
                <w:kern w:val="0"/>
                <w:szCs w:val="21"/>
                <w:vertAlign w:val="superscript"/>
              </w:rPr>
              <w:t>5</w:t>
            </w:r>
            <w:r>
              <w:rPr>
                <w:rFonts w:ascii="仿宋" w:hAnsi="仿宋" w:eastAsia="仿宋"/>
                <w:bCs/>
                <w:spacing w:val="-2"/>
                <w:kern w:val="0"/>
                <w:szCs w:val="21"/>
              </w:rPr>
              <w:t>J或</w:t>
            </w:r>
            <w:r>
              <w:rPr>
                <w:rFonts w:ascii="仿宋" w:hAnsi="仿宋" w:eastAsia="仿宋"/>
                <w:szCs w:val="21"/>
              </w:rPr>
              <w:t>3×10</w:t>
            </w:r>
            <w:r>
              <w:rPr>
                <w:rFonts w:ascii="仿宋" w:hAnsi="仿宋" w:eastAsia="仿宋"/>
                <w:szCs w:val="21"/>
                <w:vertAlign w:val="superscript"/>
              </w:rPr>
              <w:t>5</w:t>
            </w:r>
            <w:r>
              <w:rPr>
                <w:rFonts w:ascii="仿宋" w:hAnsi="仿宋" w:eastAsia="仿宋"/>
                <w:szCs w:val="21"/>
              </w:rPr>
              <w:t>J≤∑E&lt;5×10</w:t>
            </w:r>
            <w:r>
              <w:rPr>
                <w:rFonts w:ascii="仿宋" w:hAnsi="仿宋" w:eastAsia="仿宋"/>
                <w:szCs w:val="21"/>
                <w:vertAlign w:val="superscript"/>
              </w:rPr>
              <w:t>5</w:t>
            </w:r>
            <w:r>
              <w:rPr>
                <w:rFonts w:ascii="仿宋" w:hAnsi="仿宋" w:eastAsia="仿宋"/>
                <w:szCs w:val="21"/>
              </w:rPr>
              <w:t>J/每</w:t>
            </w:r>
            <w:r>
              <w:rPr>
                <w:rFonts w:hint="eastAsia" w:ascii="仿宋" w:hAnsi="仿宋" w:eastAsia="仿宋"/>
                <w:szCs w:val="21"/>
              </w:rPr>
              <w:t>3.2</w:t>
            </w:r>
            <w:r>
              <w:rPr>
                <w:rFonts w:ascii="仿宋" w:hAnsi="仿宋" w:eastAsia="仿宋"/>
                <w:szCs w:val="21"/>
              </w:rPr>
              <w:t>m推进度</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2、260≤总频次&lt;350</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3、发生未破坏巷道围岩稳定性但现场震感强烈的矿震</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4、</w:t>
            </w:r>
            <w:r>
              <w:rPr>
                <w:rFonts w:hint="eastAsia" w:ascii="仿宋" w:hAnsi="仿宋" w:eastAsia="仿宋"/>
                <w:szCs w:val="21"/>
              </w:rPr>
              <w:t>地音监测双通道达到C级（每小时能量达到</w:t>
            </w:r>
            <w:r>
              <w:rPr>
                <w:rFonts w:hint="eastAsia" w:ascii="仿宋" w:hAnsi="仿宋" w:eastAsia="仿宋"/>
                <w:szCs w:val="21"/>
                <w:lang w:val="en-US" w:eastAsia="zh-CN"/>
              </w:rPr>
              <w:t>2</w:t>
            </w:r>
            <w:r>
              <w:rPr>
                <w:rFonts w:hint="eastAsia" w:ascii="仿宋" w:hAnsi="仿宋" w:eastAsia="仿宋"/>
                <w:szCs w:val="21"/>
              </w:rPr>
              <w:t>.0</w:t>
            </w:r>
            <w:r>
              <w:rPr>
                <w:rFonts w:hint="eastAsia" w:ascii="仿宋" w:hAnsi="仿宋" w:eastAsia="仿宋"/>
                <w:szCs w:val="21"/>
                <w:lang w:val="en-US" w:eastAsia="zh-CN"/>
              </w:rPr>
              <w:t>E</w:t>
            </w:r>
            <w:r>
              <w:rPr>
                <w:rFonts w:hint="eastAsia" w:ascii="仿宋" w:hAnsi="仿宋" w:eastAsia="仿宋"/>
                <w:szCs w:val="21"/>
              </w:rPr>
              <w:t>+0</w:t>
            </w:r>
            <w:r>
              <w:rPr>
                <w:rFonts w:hint="eastAsia" w:ascii="仿宋" w:hAnsi="仿宋" w:eastAsia="仿宋"/>
                <w:szCs w:val="21"/>
                <w:lang w:val="en-US" w:eastAsia="zh-CN"/>
              </w:rPr>
              <w:t>5</w:t>
            </w:r>
            <w:r>
              <w:rPr>
                <w:rFonts w:hint="eastAsia" w:ascii="仿宋" w:hAnsi="仿宋" w:eastAsia="仿宋"/>
                <w:szCs w:val="21"/>
              </w:rPr>
              <w:t>J及以上），</w:t>
            </w:r>
            <w:r>
              <w:rPr>
                <w:rFonts w:ascii="仿宋" w:hAnsi="仿宋" w:eastAsia="仿宋"/>
                <w:szCs w:val="21"/>
              </w:rPr>
              <w:t>应力在线监测系统红色预警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904" w:type="pct"/>
            <w:vAlign w:val="center"/>
          </w:tcPr>
          <w:p>
            <w:pPr>
              <w:adjustRightInd w:val="0"/>
              <w:snapToGrid w:val="0"/>
              <w:spacing w:line="240" w:lineRule="atLeast"/>
              <w:ind w:firstLine="0" w:firstLineChars="0"/>
              <w:jc w:val="center"/>
              <w:rPr>
                <w:rFonts w:ascii="仿宋" w:hAnsi="仿宋" w:eastAsia="仿宋"/>
                <w:szCs w:val="21"/>
              </w:rPr>
            </w:pPr>
            <w:r>
              <w:rPr>
                <w:rFonts w:ascii="仿宋" w:hAnsi="仿宋" w:eastAsia="仿宋"/>
                <w:szCs w:val="21"/>
              </w:rPr>
              <w:t>强冲击危险</w:t>
            </w:r>
          </w:p>
        </w:tc>
        <w:tc>
          <w:tcPr>
            <w:tcW w:w="4096" w:type="pct"/>
            <w:vAlign w:val="center"/>
          </w:tcPr>
          <w:p>
            <w:pPr>
              <w:adjustRightInd w:val="0"/>
              <w:snapToGrid w:val="0"/>
              <w:spacing w:line="240" w:lineRule="atLeast"/>
              <w:ind w:firstLine="0" w:firstLineChars="0"/>
              <w:rPr>
                <w:rFonts w:ascii="仿宋" w:hAnsi="仿宋" w:eastAsia="仿宋"/>
                <w:szCs w:val="21"/>
              </w:rPr>
            </w:pPr>
            <w:r>
              <w:rPr>
                <w:rFonts w:ascii="仿宋" w:hAnsi="仿宋" w:eastAsia="仿宋"/>
                <w:bCs/>
                <w:spacing w:val="-2"/>
                <w:kern w:val="0"/>
                <w:szCs w:val="21"/>
              </w:rPr>
              <w:t>1、E</w:t>
            </w:r>
            <w:r>
              <w:rPr>
                <w:rFonts w:ascii="仿宋" w:hAnsi="仿宋" w:eastAsia="仿宋"/>
                <w:bCs/>
                <w:spacing w:val="-2"/>
                <w:kern w:val="0"/>
                <w:szCs w:val="21"/>
                <w:vertAlign w:val="subscript"/>
              </w:rPr>
              <w:t>max</w:t>
            </w:r>
            <w:r>
              <w:rPr>
                <w:rFonts w:ascii="仿宋" w:hAnsi="仿宋" w:eastAsia="仿宋"/>
                <w:szCs w:val="21"/>
              </w:rPr>
              <w:t>≥</w:t>
            </w:r>
            <w:r>
              <w:rPr>
                <w:rFonts w:ascii="仿宋" w:hAnsi="仿宋" w:eastAsia="仿宋"/>
                <w:bCs/>
                <w:spacing w:val="-2"/>
                <w:kern w:val="0"/>
                <w:szCs w:val="21"/>
              </w:rPr>
              <w:t>1×10</w:t>
            </w:r>
            <w:r>
              <w:rPr>
                <w:rFonts w:ascii="仿宋" w:hAnsi="仿宋" w:eastAsia="仿宋"/>
                <w:bCs/>
                <w:spacing w:val="-2"/>
                <w:kern w:val="0"/>
                <w:szCs w:val="21"/>
                <w:vertAlign w:val="superscript"/>
              </w:rPr>
              <w:t>5</w:t>
            </w:r>
            <w:r>
              <w:rPr>
                <w:rFonts w:ascii="仿宋" w:hAnsi="仿宋" w:eastAsia="仿宋"/>
                <w:bCs/>
                <w:spacing w:val="-2"/>
                <w:kern w:val="0"/>
                <w:szCs w:val="21"/>
              </w:rPr>
              <w:t>J或</w:t>
            </w:r>
            <w:r>
              <w:rPr>
                <w:rFonts w:ascii="仿宋" w:hAnsi="仿宋" w:eastAsia="仿宋"/>
                <w:szCs w:val="21"/>
              </w:rPr>
              <w:t>∑E≥5×10</w:t>
            </w:r>
            <w:r>
              <w:rPr>
                <w:rFonts w:ascii="仿宋" w:hAnsi="仿宋" w:eastAsia="仿宋"/>
                <w:szCs w:val="21"/>
                <w:vertAlign w:val="superscript"/>
              </w:rPr>
              <w:t>5</w:t>
            </w:r>
            <w:r>
              <w:rPr>
                <w:rFonts w:ascii="仿宋" w:hAnsi="仿宋" w:eastAsia="仿宋"/>
                <w:szCs w:val="21"/>
              </w:rPr>
              <w:t>J/每</w:t>
            </w:r>
            <w:r>
              <w:rPr>
                <w:rFonts w:hint="eastAsia" w:ascii="仿宋" w:hAnsi="仿宋" w:eastAsia="仿宋"/>
                <w:szCs w:val="21"/>
              </w:rPr>
              <w:t>3.2</w:t>
            </w:r>
            <w:r>
              <w:rPr>
                <w:rFonts w:ascii="仿宋" w:hAnsi="仿宋" w:eastAsia="仿宋"/>
                <w:szCs w:val="21"/>
              </w:rPr>
              <w:t>m推进度</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2、总频次≥350</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3、出现破坏性动压显现</w:t>
            </w:r>
          </w:p>
          <w:p>
            <w:pPr>
              <w:adjustRightInd w:val="0"/>
              <w:snapToGrid w:val="0"/>
              <w:spacing w:line="240" w:lineRule="atLeast"/>
              <w:ind w:firstLine="0" w:firstLineChars="0"/>
              <w:rPr>
                <w:rFonts w:ascii="仿宋" w:hAnsi="仿宋" w:eastAsia="仿宋"/>
                <w:szCs w:val="21"/>
              </w:rPr>
            </w:pPr>
            <w:r>
              <w:rPr>
                <w:rFonts w:ascii="仿宋" w:hAnsi="仿宋" w:eastAsia="仿宋"/>
                <w:szCs w:val="21"/>
              </w:rPr>
              <w:t>4、</w:t>
            </w:r>
            <w:r>
              <w:rPr>
                <w:rFonts w:hint="eastAsia" w:ascii="仿宋" w:hAnsi="仿宋" w:eastAsia="仿宋"/>
                <w:szCs w:val="21"/>
              </w:rPr>
              <w:t>地音监测双通道达到D级（每小时能量达到</w:t>
            </w:r>
            <w:r>
              <w:rPr>
                <w:rFonts w:hint="eastAsia" w:ascii="仿宋" w:hAnsi="仿宋" w:eastAsia="仿宋"/>
                <w:szCs w:val="21"/>
                <w:lang w:val="en-US" w:eastAsia="zh-CN"/>
              </w:rPr>
              <w:t>3</w:t>
            </w:r>
            <w:r>
              <w:rPr>
                <w:rFonts w:hint="eastAsia" w:ascii="仿宋" w:hAnsi="仿宋" w:eastAsia="仿宋"/>
                <w:szCs w:val="21"/>
              </w:rPr>
              <w:t>.0</w:t>
            </w:r>
            <w:r>
              <w:rPr>
                <w:rFonts w:hint="eastAsia" w:ascii="仿宋" w:hAnsi="仿宋" w:eastAsia="仿宋"/>
                <w:szCs w:val="21"/>
                <w:lang w:val="en-US" w:eastAsia="zh-CN"/>
              </w:rPr>
              <w:t>E</w:t>
            </w:r>
            <w:r>
              <w:rPr>
                <w:rFonts w:hint="eastAsia" w:ascii="仿宋" w:hAnsi="仿宋" w:eastAsia="仿宋"/>
                <w:szCs w:val="21"/>
              </w:rPr>
              <w:t>+0</w:t>
            </w:r>
            <w:r>
              <w:rPr>
                <w:rFonts w:hint="eastAsia" w:ascii="仿宋" w:hAnsi="仿宋" w:eastAsia="仿宋"/>
                <w:szCs w:val="21"/>
                <w:lang w:val="en-US" w:eastAsia="zh-CN"/>
              </w:rPr>
              <w:t>5</w:t>
            </w:r>
            <w:r>
              <w:rPr>
                <w:rFonts w:hint="eastAsia" w:ascii="仿宋" w:hAnsi="仿宋" w:eastAsia="仿宋"/>
                <w:szCs w:val="21"/>
              </w:rPr>
              <w:t>J及以上），</w:t>
            </w:r>
            <w:r>
              <w:rPr>
                <w:rFonts w:ascii="仿宋" w:hAnsi="仿宋" w:eastAsia="仿宋"/>
                <w:szCs w:val="21"/>
              </w:rPr>
              <w:t>应力监测系统</w:t>
            </w:r>
            <w:r>
              <w:rPr>
                <w:rFonts w:hint="eastAsia" w:ascii="仿宋" w:hAnsi="仿宋" w:eastAsia="仿宋"/>
                <w:szCs w:val="21"/>
              </w:rPr>
              <w:t xml:space="preserve">相邻3组内2个监测点以上黄色预警或1个监测点以上红色预警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000" w:type="pct"/>
            <w:gridSpan w:val="2"/>
            <w:vAlign w:val="center"/>
          </w:tcPr>
          <w:p>
            <w:pPr>
              <w:adjustRightInd w:val="0"/>
              <w:snapToGrid w:val="0"/>
              <w:spacing w:line="240" w:lineRule="atLeast"/>
              <w:ind w:firstLine="0" w:firstLineChars="0"/>
              <w:jc w:val="left"/>
              <w:rPr>
                <w:rFonts w:ascii="仿宋" w:hAnsi="仿宋" w:eastAsia="仿宋"/>
                <w:szCs w:val="21"/>
              </w:rPr>
            </w:pPr>
            <w:r>
              <w:rPr>
                <w:rFonts w:ascii="仿宋" w:hAnsi="仿宋" w:eastAsia="仿宋"/>
                <w:szCs w:val="21"/>
              </w:rPr>
              <w:t>备注：弱冲击危险须满足两项条件，中等及强冲击危险满足一项条件。</w:t>
            </w:r>
          </w:p>
          <w:p>
            <w:pPr>
              <w:adjustRightInd w:val="0"/>
              <w:snapToGrid w:val="0"/>
              <w:spacing w:line="240" w:lineRule="atLeast"/>
              <w:ind w:firstLine="420"/>
              <w:rPr>
                <w:rFonts w:ascii="仿宋" w:hAnsi="仿宋" w:eastAsia="仿宋"/>
                <w:szCs w:val="21"/>
              </w:rPr>
            </w:pPr>
            <w:r>
              <w:rPr>
                <w:rFonts w:ascii="仿宋" w:hAnsi="仿宋" w:eastAsia="仿宋"/>
                <w:szCs w:val="21"/>
              </w:rPr>
              <w:t>出现弱冲击危险或者出现中等冲击危险前三项其中一项指标时需加强监测；符合中等冲击危险第四项或两项及以上指标、强冲击危险时需采取措施，如加强</w:t>
            </w:r>
            <w:r>
              <w:rPr>
                <w:rFonts w:hint="eastAsia" w:ascii="仿宋" w:hAnsi="仿宋" w:eastAsia="仿宋"/>
                <w:szCs w:val="21"/>
              </w:rPr>
              <w:t>综合</w:t>
            </w:r>
            <w:r>
              <w:rPr>
                <w:rFonts w:ascii="仿宋" w:hAnsi="仿宋" w:eastAsia="仿宋"/>
                <w:szCs w:val="21"/>
              </w:rPr>
              <w:t>监测</w:t>
            </w:r>
            <w:r>
              <w:rPr>
                <w:rFonts w:hint="eastAsia" w:ascii="仿宋" w:hAnsi="仿宋" w:eastAsia="仿宋"/>
                <w:szCs w:val="21"/>
              </w:rPr>
              <w:t>分析</w:t>
            </w:r>
            <w:r>
              <w:rPr>
                <w:rFonts w:ascii="仿宋" w:hAnsi="仿宋" w:eastAsia="仿宋"/>
                <w:szCs w:val="21"/>
              </w:rPr>
              <w:t>、降低回采强度或采取卸压解危措施、停产撤人等。</w:t>
            </w:r>
          </w:p>
        </w:tc>
      </w:tr>
    </w:tbl>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说明：当前参考临界值仅适用于某一时段特定的工作面或开采工艺、地质条件等相近的煤层，不能一概而论，随着开采时间和空间的不断推移，需要结合后期数据不断修正。同时建议参考临界值同时注意趋势分析法，并结合其他防冲技术手段综合分析和优化，进一步提高冲击危险性预测的准确度。</w:t>
      </w:r>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三、</w:t>
      </w:r>
      <w:r>
        <w:rPr>
          <w:rFonts w:ascii="仿宋" w:hAnsi="仿宋" w:eastAsia="仿宋" w:cs="仿宋"/>
          <w:b/>
          <w:bCs/>
          <w:color w:val="000000" w:themeColor="text1"/>
          <w:sz w:val="24"/>
          <w14:textFill>
            <w14:solidFill>
              <w14:schemeClr w14:val="tx1"/>
            </w14:solidFill>
          </w14:textFill>
        </w:rPr>
        <w:t>130</w:t>
      </w:r>
      <w:r>
        <w:rPr>
          <w:rFonts w:hint="eastAsia" w:ascii="仿宋" w:hAnsi="仿宋" w:eastAsia="仿宋" w:cs="仿宋"/>
          <w:b/>
          <w:bCs/>
          <w:color w:val="000000" w:themeColor="text1"/>
          <w:sz w:val="24"/>
          <w14:textFill>
            <w14:solidFill>
              <w14:schemeClr w14:val="tx1"/>
            </w14:solidFill>
          </w14:textFill>
        </w:rPr>
        <w:t>3</w:t>
      </w:r>
      <w:r>
        <w:rPr>
          <w:rFonts w:ascii="仿宋" w:hAnsi="仿宋" w:eastAsia="仿宋" w:cs="仿宋"/>
          <w:b/>
          <w:bCs/>
          <w:color w:val="000000" w:themeColor="text1"/>
          <w:sz w:val="24"/>
          <w14:textFill>
            <w14:solidFill>
              <w14:schemeClr w14:val="tx1"/>
            </w14:solidFill>
          </w14:textFill>
        </w:rPr>
        <w:t>工作面</w:t>
      </w:r>
      <w:bookmarkEnd w:id="423"/>
      <w:bookmarkEnd w:id="424"/>
      <w:bookmarkEnd w:id="430"/>
      <w:r>
        <w:rPr>
          <w:rFonts w:ascii="仿宋" w:hAnsi="仿宋" w:eastAsia="仿宋"/>
          <w:b/>
          <w:color w:val="000000" w:themeColor="text1"/>
          <w:sz w:val="24"/>
          <w14:textFill>
            <w14:solidFill>
              <w14:schemeClr w14:val="tx1"/>
            </w14:solidFill>
          </w14:textFill>
        </w:rPr>
        <w:t>冲击地压局部防治措施</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s="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1303工作面冲击危险防治解危措施主要为煤体大直径钻孔卸压、煤体爆破、顶板爆破预裂</w:t>
      </w:r>
      <w:r>
        <w:rPr>
          <w:rFonts w:ascii="仿宋" w:hAnsi="仿宋" w:eastAsia="仿宋" w:cs="仿宋"/>
          <w:color w:val="000000" w:themeColor="text1"/>
          <w:sz w:val="24"/>
          <w14:textFill>
            <w14:solidFill>
              <w14:schemeClr w14:val="tx1"/>
            </w14:solidFill>
          </w14:textFill>
        </w:rPr>
        <w:t>。</w:t>
      </w:r>
    </w:p>
    <w:p>
      <w:pPr>
        <w:pStyle w:val="4"/>
        <w:keepNext w:val="0"/>
        <w:keepLines w:val="0"/>
        <w:pageBreakBefore w:val="0"/>
        <w:widowControl w:val="0"/>
        <w:numPr>
          <w:ilvl w:val="1"/>
          <w:numId w:val="0"/>
        </w:numPr>
        <w:kinsoku/>
        <w:wordWrap/>
        <w:overflowPunct/>
        <w:topLinePunct w:val="0"/>
        <w:autoSpaceDE/>
        <w:autoSpaceDN/>
        <w:bidi w:val="0"/>
        <w:adjustRightInd/>
        <w:snapToGrid w:val="0"/>
        <w:spacing w:before="0" w:after="0"/>
        <w:ind w:left="578" w:hanging="578"/>
        <w:jc w:val="both"/>
        <w:textAlignment w:val="auto"/>
        <w:rPr>
          <w:rFonts w:ascii="仿宋" w:hAnsi="仿宋" w:eastAsia="仿宋"/>
          <w:color w:val="000000" w:themeColor="text1"/>
          <w:szCs w:val="24"/>
          <w14:textFill>
            <w14:solidFill>
              <w14:schemeClr w14:val="tx1"/>
            </w14:solidFill>
          </w14:textFill>
        </w:rPr>
      </w:pPr>
      <w:bookmarkStart w:id="431" w:name="_Toc23609"/>
      <w:bookmarkStart w:id="432" w:name="_Toc527720678"/>
      <w:bookmarkStart w:id="433" w:name="_Toc12648"/>
      <w:bookmarkStart w:id="434" w:name="_Toc3927"/>
      <w:bookmarkStart w:id="435" w:name="_Toc522716646"/>
      <w:bookmarkStart w:id="436" w:name="_Toc523150485"/>
      <w:bookmarkStart w:id="437" w:name="_Toc522717692"/>
      <w:r>
        <w:rPr>
          <w:rFonts w:hint="eastAsia" w:ascii="仿宋" w:hAnsi="仿宋" w:eastAsia="仿宋"/>
          <w:color w:val="000000" w:themeColor="text1"/>
          <w:szCs w:val="24"/>
          <w14:textFill>
            <w14:solidFill>
              <w14:schemeClr w14:val="tx1"/>
            </w14:solidFill>
          </w14:textFill>
        </w:rPr>
        <w:t>（一）</w:t>
      </w:r>
      <w:r>
        <w:rPr>
          <w:rFonts w:ascii="仿宋" w:hAnsi="仿宋" w:eastAsia="仿宋"/>
          <w:color w:val="000000" w:themeColor="text1"/>
          <w:szCs w:val="24"/>
          <w14:textFill>
            <w14:solidFill>
              <w14:schemeClr w14:val="tx1"/>
            </w14:solidFill>
          </w14:textFill>
        </w:rPr>
        <w:t>常规卸压方案</w:t>
      </w:r>
      <w:bookmarkEnd w:id="431"/>
    </w:p>
    <w:p>
      <w:pPr>
        <w:keepNext w:val="0"/>
        <w:keepLines w:val="0"/>
        <w:pageBreakBefore w:val="0"/>
        <w:widowControl w:val="0"/>
        <w:numPr>
          <w:ilvl w:val="1"/>
          <w:numId w:val="0"/>
        </w:numPr>
        <w:tabs>
          <w:tab w:val="left" w:pos="432"/>
          <w:tab w:val="left" w:pos="567"/>
          <w:tab w:val="left" w:pos="718"/>
          <w:tab w:val="left" w:pos="1002"/>
        </w:tabs>
        <w:kinsoku/>
        <w:wordWrap/>
        <w:overflowPunct/>
        <w:topLinePunct w:val="0"/>
        <w:autoSpaceDE/>
        <w:autoSpaceDN/>
        <w:bidi w:val="0"/>
        <w:adjustRightInd/>
        <w:snapToGrid w:val="0"/>
        <w:textAlignment w:val="auto"/>
        <w:outlineLvl w:val="2"/>
        <w:rPr>
          <w:rFonts w:ascii="仿宋" w:hAnsi="仿宋" w:eastAsia="仿宋"/>
          <w:b/>
          <w:color w:val="000000" w:themeColor="text1"/>
          <w:sz w:val="24"/>
          <w14:textFill>
            <w14:solidFill>
              <w14:schemeClr w14:val="tx1"/>
            </w14:solidFill>
          </w14:textFill>
        </w:rPr>
      </w:pPr>
      <w:bookmarkStart w:id="438" w:name="_Toc3986"/>
      <w:r>
        <w:rPr>
          <w:rFonts w:hint="eastAsia" w:ascii="仿宋" w:hAnsi="仿宋" w:eastAsia="仿宋"/>
          <w:b/>
          <w:color w:val="000000" w:themeColor="text1"/>
          <w:sz w:val="24"/>
          <w14:textFill>
            <w14:solidFill>
              <w14:schemeClr w14:val="tx1"/>
            </w14:solidFill>
          </w14:textFill>
        </w:rPr>
        <w:t>1、</w:t>
      </w:r>
      <w:r>
        <w:rPr>
          <w:rFonts w:ascii="仿宋" w:hAnsi="仿宋" w:eastAsia="仿宋"/>
          <w:b/>
          <w:color w:val="000000" w:themeColor="text1"/>
          <w:sz w:val="24"/>
          <w14:textFill>
            <w14:solidFill>
              <w14:schemeClr w14:val="tx1"/>
            </w14:solidFill>
          </w14:textFill>
        </w:rPr>
        <w:t>煤体大直径钻孔卸压</w:t>
      </w:r>
      <w:bookmarkEnd w:id="432"/>
      <w:bookmarkEnd w:id="433"/>
      <w:bookmarkEnd w:id="438"/>
    </w:p>
    <w:bookmarkEnd w:id="434"/>
    <w:bookmarkEnd w:id="435"/>
    <w:bookmarkEnd w:id="436"/>
    <w:bookmarkEnd w:id="437"/>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bookmarkStart w:id="439" w:name="_Toc45999057"/>
      <w:bookmarkStart w:id="440" w:name="_Toc527720681"/>
      <w:bookmarkStart w:id="441" w:name="_Toc8132"/>
      <w:bookmarkStart w:id="442" w:name="_Toc522717693"/>
      <w:bookmarkStart w:id="443" w:name="_Toc523150486"/>
      <w:bookmarkStart w:id="444" w:name="_Toc522716647"/>
      <w:r>
        <w:rPr>
          <w:rFonts w:ascii="仿宋" w:hAnsi="仿宋" w:eastAsia="仿宋"/>
          <w:color w:val="000000" w:themeColor="text1"/>
          <w:sz w:val="24"/>
          <w14:textFill>
            <w14:solidFill>
              <w14:schemeClr w14:val="tx1"/>
            </w14:solidFill>
          </w14:textFill>
        </w:rPr>
        <w:t>煤体大直径钻孔卸压是指在煤体内应力集中区域或潜在的应力集中区域，</w:t>
      </w:r>
      <w:r>
        <w:rPr>
          <w:rFonts w:hint="eastAsia" w:ascii="仿宋" w:hAnsi="仿宋" w:eastAsia="仿宋"/>
          <w:color w:val="000000" w:themeColor="text1"/>
          <w:sz w:val="24"/>
          <w14:textFill>
            <w14:solidFill>
              <w14:schemeClr w14:val="tx1"/>
            </w14:solidFill>
          </w14:textFill>
        </w:rPr>
        <w:t>实施直径153mm的钻孔</w:t>
      </w:r>
      <w:r>
        <w:rPr>
          <w:rFonts w:ascii="仿宋" w:hAnsi="仿宋" w:eastAsia="仿宋"/>
          <w:color w:val="000000" w:themeColor="text1"/>
          <w:sz w:val="24"/>
          <w14:textFill>
            <w14:solidFill>
              <w14:schemeClr w14:val="tx1"/>
            </w14:solidFill>
          </w14:textFill>
        </w:rPr>
        <w:t>，通过排出钻孔内的大量煤粉，使钻孔周围煤体破坏区扩大，从而使钻孔周围一定应力区域煤岩体的应力集中程度下降，并使高应力转移到煤岩体的深处，实现对局部煤体进行卸压的目的。</w:t>
      </w:r>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帮部大直径卸压钻孔：</w:t>
      </w:r>
    </w:p>
    <w:bookmarkEnd w:id="439"/>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bookmarkStart w:id="445" w:name="_Toc18812"/>
      <w:r>
        <w:rPr>
          <w:rFonts w:ascii="仿宋" w:hAnsi="仿宋" w:eastAsia="仿宋"/>
          <w:color w:val="000000" w:themeColor="text1"/>
          <w:sz w:val="24"/>
          <w14:textFill>
            <w14:solidFill>
              <w14:schemeClr w14:val="tx1"/>
            </w14:solidFill>
          </w14:textFill>
        </w:rPr>
        <w:t>钻孔孔径Φ153mm，开孔距底板</w:t>
      </w:r>
      <w:r>
        <w:rPr>
          <w:rFonts w:hint="eastAsia" w:ascii="仿宋" w:hAnsi="仿宋" w:eastAsia="仿宋"/>
          <w:color w:val="000000" w:themeColor="text1"/>
          <w:sz w:val="24"/>
          <w:lang w:val="en-US" w:eastAsia="zh-CN"/>
          <w14:textFill>
            <w14:solidFill>
              <w14:schemeClr w14:val="tx1"/>
            </w14:solidFill>
          </w14:textFill>
        </w:rPr>
        <w:t>0.5</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1.5</w:t>
      </w:r>
      <w:r>
        <w:rPr>
          <w:rFonts w:ascii="仿宋" w:hAnsi="仿宋" w:eastAsia="仿宋"/>
          <w:color w:val="000000" w:themeColor="text1"/>
          <w:sz w:val="24"/>
          <w14:textFill>
            <w14:solidFill>
              <w14:schemeClr w14:val="tx1"/>
            </w14:solidFill>
          </w14:textFill>
        </w:rPr>
        <w:t>m，</w:t>
      </w:r>
      <w:r>
        <w:rPr>
          <w:rFonts w:hint="eastAsia" w:ascii="仿宋" w:hAnsi="仿宋" w:eastAsia="仿宋"/>
          <w:color w:val="000000" w:themeColor="text1"/>
          <w:sz w:val="24"/>
          <w14:textFill>
            <w14:solidFill>
              <w14:schemeClr w14:val="tx1"/>
            </w14:solidFill>
          </w14:textFill>
        </w:rPr>
        <w:t>钻孔间距：强冲击危险区域1.6m，中等冲击危险区域2.4m，弱冲击危险区域3m。</w:t>
      </w:r>
      <w:r>
        <w:rPr>
          <w:rFonts w:ascii="仿宋" w:hAnsi="仿宋" w:eastAsia="仿宋"/>
          <w:color w:val="000000" w:themeColor="text1"/>
          <w:sz w:val="24"/>
          <w14:textFill>
            <w14:solidFill>
              <w14:schemeClr w14:val="tx1"/>
            </w14:solidFill>
          </w14:textFill>
        </w:rPr>
        <w:t>仰角0～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5°垂直巷帮单排施工，</w:t>
      </w:r>
      <w:r>
        <w:rPr>
          <w:rFonts w:hint="eastAsia" w:ascii="仿宋" w:hAnsi="仿宋" w:eastAsia="仿宋"/>
          <w:color w:val="000000" w:themeColor="text1"/>
          <w:sz w:val="24"/>
          <w14:textFill>
            <w14:solidFill>
              <w14:schemeClr w14:val="tx1"/>
            </w14:solidFill>
          </w14:textFill>
        </w:rPr>
        <w:t>钻孔示意如图16、17所示。</w:t>
      </w:r>
      <w:r>
        <w:rPr>
          <w:rFonts w:ascii="仿宋" w:hAnsi="仿宋" w:eastAsia="仿宋"/>
          <w:color w:val="000000" w:themeColor="text1"/>
          <w:sz w:val="24"/>
          <w14:textFill>
            <w14:solidFill>
              <w14:schemeClr w14:val="tx1"/>
            </w14:solidFill>
          </w14:textFill>
        </w:rPr>
        <w:t>施工过程中钻孔角度可根据煤层倾角变化做适当调整，确保卸压钻孔始终在煤层内钻进，帮部大直径卸压孔超前工作面不小于200m。</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风巷</w:t>
      </w:r>
      <w:r>
        <w:rPr>
          <w:rFonts w:hint="eastAsia" w:ascii="仿宋" w:hAnsi="仿宋" w:eastAsia="仿宋"/>
          <w:color w:val="000000" w:themeColor="text1"/>
          <w:sz w:val="24"/>
          <w14:textFill>
            <w14:solidFill>
              <w14:schemeClr w14:val="tx1"/>
            </w14:solidFill>
          </w14:textFill>
        </w:rPr>
        <w:t>、机巷</w:t>
      </w:r>
      <w:r>
        <w:rPr>
          <w:rFonts w:ascii="仿宋" w:hAnsi="仿宋" w:eastAsia="仿宋"/>
          <w:color w:val="000000" w:themeColor="text1"/>
          <w:sz w:val="24"/>
          <w14:textFill>
            <w14:solidFill>
              <w14:schemeClr w14:val="tx1"/>
            </w14:solidFill>
          </w14:textFill>
        </w:rPr>
        <w:t>帮部卸压钻孔施工参数：煤柱帮孔深25m，回采帮孔深25m。</w:t>
      </w:r>
    </w:p>
    <w:p>
      <w:pPr>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705100" cy="1441450"/>
            <wp:effectExtent l="0" t="0" r="0" b="635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41"/>
                    <a:stretch>
                      <a:fillRect/>
                    </a:stretch>
                  </pic:blipFill>
                  <pic:spPr>
                    <a:xfrm>
                      <a:off x="0" y="0"/>
                      <a:ext cx="2705100" cy="1441450"/>
                    </a:xfrm>
                    <a:prstGeom prst="rect">
                      <a:avLst/>
                    </a:prstGeom>
                  </pic:spPr>
                </pic:pic>
              </a:graphicData>
            </a:graphic>
          </wp:inline>
        </w:drawing>
      </w:r>
    </w:p>
    <w:p>
      <w:pPr>
        <w:pStyle w:val="12"/>
        <w:ind w:firstLine="422"/>
        <w:jc w:val="center"/>
        <w:rPr>
          <w:color w:val="000000" w:themeColor="text1"/>
          <w14:textFill>
            <w14:solidFill>
              <w14:schemeClr w14:val="tx1"/>
            </w14:solidFill>
          </w14:textFill>
        </w:rPr>
      </w:pPr>
      <w:r>
        <w:rPr>
          <w:b/>
          <w:color w:val="000000" w:themeColor="text1"/>
          <w:szCs w:val="21"/>
          <w14:textFill>
            <w14:solidFill>
              <w14:schemeClr w14:val="tx1"/>
            </w14:solidFill>
          </w14:textFill>
        </w:rPr>
        <w:t>图</w:t>
      </w:r>
      <w:r>
        <w:rPr>
          <w:rFonts w:hint="eastAsia"/>
          <w:b/>
          <w:color w:val="000000" w:themeColor="text1"/>
          <w:szCs w:val="21"/>
          <w14:textFill>
            <w14:solidFill>
              <w14:schemeClr w14:val="tx1"/>
            </w14:solidFill>
          </w14:textFill>
        </w:rPr>
        <w:t>16</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钻孔示意图</w:t>
      </w:r>
    </w:p>
    <w:p>
      <w:pPr>
        <w:pStyle w:val="12"/>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3760470" cy="8686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64069" cy="869972"/>
                    </a:xfrm>
                    <a:prstGeom prst="rect">
                      <a:avLst/>
                    </a:prstGeom>
                  </pic:spPr>
                </pic:pic>
              </a:graphicData>
            </a:graphic>
          </wp:inline>
        </w:drawing>
      </w:r>
    </w:p>
    <w:p>
      <w:pPr>
        <w:ind w:firstLine="422"/>
        <w:jc w:val="center"/>
        <w:rPr>
          <w:color w:val="000000" w:themeColor="text1"/>
          <w:sz w:val="24"/>
          <w14:textFill>
            <w14:solidFill>
              <w14:schemeClr w14:val="tx1"/>
            </w14:solidFill>
          </w14:textFill>
        </w:rPr>
      </w:pPr>
      <w:r>
        <w:rPr>
          <w:b/>
          <w:color w:val="000000" w:themeColor="text1"/>
          <w:szCs w:val="21"/>
          <w14:textFill>
            <w14:solidFill>
              <w14:schemeClr w14:val="tx1"/>
            </w14:solidFill>
          </w14:textFill>
        </w:rPr>
        <w:t>图</w:t>
      </w:r>
      <w:r>
        <w:rPr>
          <w:rFonts w:hint="eastAsia"/>
          <w:b/>
          <w:color w:val="000000" w:themeColor="text1"/>
          <w:szCs w:val="21"/>
          <w14:textFill>
            <w14:solidFill>
              <w14:schemeClr w14:val="tx1"/>
            </w14:solidFill>
          </w14:textFill>
        </w:rPr>
        <w:t>17</w:t>
      </w:r>
      <w:r>
        <w:rPr>
          <w:b/>
          <w:color w:val="000000" w:themeColor="text1"/>
          <w:szCs w:val="21"/>
          <w14:textFill>
            <w14:solidFill>
              <w14:schemeClr w14:val="tx1"/>
            </w14:solidFill>
          </w14:textFill>
        </w:rPr>
        <w:t xml:space="preserve">  风巷</w:t>
      </w:r>
      <w:r>
        <w:rPr>
          <w:rFonts w:hint="eastAsia"/>
          <w:b/>
          <w:color w:val="000000" w:themeColor="text1"/>
          <w:szCs w:val="21"/>
          <w14:textFill>
            <w14:solidFill>
              <w14:schemeClr w14:val="tx1"/>
            </w14:solidFill>
          </w14:textFill>
        </w:rPr>
        <w:t>、机巷</w:t>
      </w:r>
      <w:r>
        <w:rPr>
          <w:b/>
          <w:color w:val="000000" w:themeColor="text1"/>
          <w:szCs w:val="21"/>
          <w14:textFill>
            <w14:solidFill>
              <w14:schemeClr w14:val="tx1"/>
            </w14:solidFill>
          </w14:textFill>
        </w:rPr>
        <w:t>两帮卸压钻孔侧视图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帮部大直径卸压钻孔超前工作面不小于200</w:t>
      </w:r>
      <w:r>
        <w:rPr>
          <w:rFonts w:hint="eastAsia" w:ascii="仿宋" w:hAnsi="仿宋" w:eastAsia="仿宋"/>
          <w:color w:val="000000" w:themeColor="text1"/>
          <w14:textFill>
            <w14:solidFill>
              <w14:schemeClr w14:val="tx1"/>
            </w14:solidFill>
          </w14:textFill>
        </w:rPr>
        <w:t>m</w:t>
      </w:r>
      <w:r>
        <w:rPr>
          <w:rFonts w:ascii="仿宋" w:hAnsi="仿宋" w:eastAsia="仿宋"/>
          <w:color w:val="000000" w:themeColor="text1"/>
          <w14:textFill>
            <w14:solidFill>
              <w14:schemeClr w14:val="tx1"/>
            </w14:solidFill>
          </w14:textFill>
        </w:rPr>
        <w:t>，保持在采动影响范围之外。施工过程中，钻孔要避开掘进期间施工的大直径卸压钻孔和瓦斯抽放钻孔，以保证巷道两帮的卸压均匀程度，提高卸压效果。卸压钻孔间距可根据现场矿压显现情况略做调整。</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帮部大直径卸压钻工施工时，如遇到硐室、水仓、超前支护范围内等钻机无法施工的位置，可以改用煤体爆破进行卸压，</w:t>
      </w:r>
      <w:r>
        <w:rPr>
          <w:rFonts w:hint="eastAsia" w:ascii="仿宋" w:hAnsi="仿宋" w:eastAsia="仿宋"/>
          <w:color w:val="000000" w:themeColor="text1"/>
          <w14:textFill>
            <w14:solidFill>
              <w14:schemeClr w14:val="tx1"/>
            </w14:solidFill>
          </w14:textFill>
        </w:rPr>
        <w:t>爆破孔孔径45mm，</w:t>
      </w:r>
      <w:r>
        <w:rPr>
          <w:rFonts w:ascii="仿宋" w:hAnsi="仿宋" w:eastAsia="仿宋"/>
          <w:color w:val="000000" w:themeColor="text1"/>
          <w14:textFill>
            <w14:solidFill>
              <w14:schemeClr w14:val="tx1"/>
            </w14:solidFill>
          </w14:textFill>
        </w:rPr>
        <w:t>钻孔深度12m，</w:t>
      </w:r>
      <w:r>
        <w:rPr>
          <w:rFonts w:hint="eastAsia" w:ascii="仿宋" w:hAnsi="仿宋" w:eastAsia="仿宋"/>
          <w:color w:val="000000" w:themeColor="text1"/>
          <w14:textFill>
            <w14:solidFill>
              <w14:schemeClr w14:val="tx1"/>
            </w14:solidFill>
          </w14:textFill>
        </w:rPr>
        <w:t>孔间距5～20m</w:t>
      </w:r>
      <w:r>
        <w:rPr>
          <w:rFonts w:ascii="仿宋" w:hAnsi="仿宋" w:eastAsia="仿宋"/>
          <w:color w:val="000000" w:themeColor="text1"/>
          <w14:textFill>
            <w14:solidFill>
              <w14:schemeClr w14:val="tx1"/>
            </w14:solidFill>
          </w14:textFill>
        </w:rPr>
        <w:t>，单孔装药量不超过5kg，具体施工参数可根据现场实际情况确定</w:t>
      </w:r>
      <w:r>
        <w:rPr>
          <w:rFonts w:hint="eastAsia" w:ascii="仿宋" w:hAnsi="仿宋" w:eastAsia="仿宋"/>
          <w:color w:val="000000" w:themeColor="text1"/>
          <w14:textFill>
            <w14:solidFill>
              <w14:schemeClr w14:val="tx1"/>
            </w14:solidFill>
          </w14:textFill>
        </w:rPr>
        <w:t>，以防冲办业务联系单为准，编制安全技术措施</w:t>
      </w:r>
      <w:r>
        <w:rPr>
          <w:rFonts w:ascii="仿宋" w:hAnsi="仿宋" w:eastAsia="仿宋"/>
          <w:color w:val="000000" w:themeColor="text1"/>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仿宋" w:hAnsi="仿宋" w:eastAsia="仿宋"/>
          <w:color w:val="000000" w:themeColor="text1"/>
          <w14:textFill>
            <w14:solidFill>
              <w14:schemeClr w14:val="tx1"/>
            </w14:solidFill>
          </w14:textFill>
        </w:rPr>
      </w:pPr>
      <w:r>
        <w:rPr>
          <w:rFonts w:hint="eastAsia" w:ascii="仿宋" w:hAnsi="仿宋" w:eastAsia="仿宋"/>
          <w:bCs/>
          <w:color w:val="000000" w:themeColor="text1"/>
          <w14:textFill>
            <w14:solidFill>
              <w14:schemeClr w14:val="tx1"/>
            </w14:solidFill>
          </w14:textFill>
        </w:rPr>
        <w:t>（2）</w:t>
      </w:r>
      <w:r>
        <w:rPr>
          <w:rFonts w:ascii="仿宋" w:hAnsi="仿宋" w:eastAsia="仿宋"/>
          <w:bCs/>
          <w:color w:val="000000" w:themeColor="text1"/>
          <w14:textFill>
            <w14:solidFill>
              <w14:schemeClr w14:val="tx1"/>
            </w14:solidFill>
          </w14:textFill>
        </w:rPr>
        <w:t>底板卸压钻孔</w:t>
      </w:r>
    </w:p>
    <w:p>
      <w:pPr>
        <w:keepNext w:val="0"/>
        <w:keepLines w:val="0"/>
        <w:pageBreakBefore w:val="0"/>
        <w:widowControl w:val="0"/>
        <w:kinsoku/>
        <w:wordWrap/>
        <w:overflowPunct/>
        <w:topLinePunct w:val="0"/>
        <w:autoSpaceDE/>
        <w:autoSpaceDN/>
        <w:bidi w:val="0"/>
        <w:adjustRightInd/>
        <w:snapToGrid w:val="0"/>
        <w:ind w:firstLine="480"/>
        <w:jc w:val="left"/>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根据掘进期间地质剖面资料，对于机、风巷底煤区域施工底板卸压</w:t>
      </w:r>
      <w:r>
        <w:rPr>
          <w:rFonts w:hint="eastAsia" w:ascii="仿宋" w:hAnsi="仿宋" w:eastAsia="仿宋"/>
          <w:color w:val="000000" w:themeColor="text1"/>
          <w:sz w:val="24"/>
          <w14:textFill>
            <w14:solidFill>
              <w14:schemeClr w14:val="tx1"/>
            </w14:solidFill>
          </w14:textFill>
        </w:rPr>
        <w:t>钻</w:t>
      </w:r>
      <w:r>
        <w:rPr>
          <w:rFonts w:ascii="仿宋" w:hAnsi="仿宋" w:eastAsia="仿宋"/>
          <w:color w:val="000000" w:themeColor="text1"/>
          <w:sz w:val="24"/>
          <w14:textFill>
            <w14:solidFill>
              <w14:schemeClr w14:val="tx1"/>
            </w14:solidFill>
          </w14:textFill>
        </w:rPr>
        <w:t>孔。底板卸压孔排距与所在巷道帮部卸压孔间距一致，每排施工2个底板卸压钻孔</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卸压孔</w:t>
      </w:r>
      <w:r>
        <w:rPr>
          <w:rFonts w:hint="eastAsia" w:ascii="仿宋" w:hAnsi="仿宋" w:eastAsia="仿宋"/>
          <w:color w:val="000000" w:themeColor="text1"/>
          <w:sz w:val="24"/>
          <w14:textFill>
            <w14:solidFill>
              <w14:schemeClr w14:val="tx1"/>
            </w14:solidFill>
          </w14:textFill>
        </w:rPr>
        <w:t>靠近巷道两帮底角施工，有皮带机或链板机等设备时，靠</w:t>
      </w:r>
      <w:r>
        <w:rPr>
          <w:rFonts w:ascii="仿宋" w:hAnsi="仿宋" w:eastAsia="仿宋"/>
          <w:color w:val="000000" w:themeColor="text1"/>
          <w:sz w:val="24"/>
          <w14:textFill>
            <w14:solidFill>
              <w14:schemeClr w14:val="tx1"/>
            </w14:solidFill>
          </w14:textFill>
        </w:rPr>
        <w:t>皮带人行道侧与巷帮布置，孔深为穿过煤层进入底板1m止。底板大直径卸压钻孔超前工作面不小于200m。</w:t>
      </w:r>
    </w:p>
    <w:p>
      <w:pPr>
        <w:keepNext w:val="0"/>
        <w:keepLines w:val="0"/>
        <w:pageBreakBefore w:val="0"/>
        <w:widowControl w:val="0"/>
        <w:kinsoku/>
        <w:wordWrap/>
        <w:overflowPunct/>
        <w:topLinePunct w:val="0"/>
        <w:autoSpaceDE/>
        <w:autoSpaceDN/>
        <w:bidi w:val="0"/>
        <w:adjustRightInd/>
        <w:snapToGrid w:val="0"/>
        <w:ind w:firstLine="480"/>
        <w:jc w:val="left"/>
        <w:textAlignment w:val="auto"/>
        <w:rPr>
          <w:rFonts w:ascii="仿宋" w:hAnsi="仿宋" w:eastAsia="仿宋"/>
          <w:color w:val="000000" w:themeColor="text1"/>
          <w14:textFill>
            <w14:solidFill>
              <w14:schemeClr w14:val="tx1"/>
            </w14:solidFill>
          </w14:textFill>
        </w:rPr>
      </w:pPr>
      <w:r>
        <w:rPr>
          <w:rFonts w:ascii="仿宋" w:hAnsi="仿宋" w:eastAsia="仿宋"/>
          <w:color w:val="000000" w:themeColor="text1"/>
          <w:sz w:val="24"/>
          <w14:textFill>
            <w14:solidFill>
              <w14:schemeClr w14:val="tx1"/>
            </w14:solidFill>
          </w14:textFill>
        </w:rPr>
        <w:t>底板</w:t>
      </w:r>
      <w:r>
        <w:rPr>
          <w:rFonts w:hint="eastAsia" w:ascii="仿宋" w:hAnsi="仿宋" w:eastAsia="仿宋"/>
          <w:color w:val="000000" w:themeColor="text1"/>
          <w:sz w:val="24"/>
          <w14:textFill>
            <w14:solidFill>
              <w14:schemeClr w14:val="tx1"/>
            </w14:solidFill>
          </w14:textFill>
        </w:rPr>
        <w:t>大直径</w:t>
      </w:r>
      <w:r>
        <w:rPr>
          <w:rFonts w:ascii="仿宋" w:hAnsi="仿宋" w:eastAsia="仿宋"/>
          <w:color w:val="000000" w:themeColor="text1"/>
          <w:sz w:val="24"/>
          <w14:textFill>
            <w14:solidFill>
              <w14:schemeClr w14:val="tx1"/>
            </w14:solidFill>
          </w14:textFill>
        </w:rPr>
        <w:t>卸压孔</w:t>
      </w:r>
      <w:r>
        <w:rPr>
          <w:rFonts w:hint="eastAsia" w:ascii="仿宋" w:hAnsi="仿宋" w:eastAsia="仿宋"/>
          <w:color w:val="000000" w:themeColor="text1"/>
          <w:sz w:val="24"/>
          <w14:textFill>
            <w14:solidFill>
              <w14:schemeClr w14:val="tx1"/>
            </w14:solidFill>
          </w14:textFill>
        </w:rPr>
        <w:t>如因现场条件不具备</w:t>
      </w:r>
      <w:r>
        <w:rPr>
          <w:rFonts w:ascii="仿宋" w:hAnsi="仿宋" w:eastAsia="仿宋"/>
          <w:color w:val="000000" w:themeColor="text1"/>
          <w:sz w:val="24"/>
          <w14:textFill>
            <w14:solidFill>
              <w14:schemeClr w14:val="tx1"/>
            </w14:solidFill>
          </w14:textFill>
        </w:rPr>
        <w:t>无法施工时</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可改用底板爆破进行卸压</w:t>
      </w:r>
      <w:r>
        <w:rPr>
          <w:rFonts w:hint="eastAsia" w:ascii="仿宋" w:hAnsi="仿宋" w:eastAsia="仿宋"/>
          <w:color w:val="000000" w:themeColor="text1"/>
          <w:sz w:val="24"/>
          <w14:textFill>
            <w14:solidFill>
              <w14:schemeClr w14:val="tx1"/>
            </w14:solidFill>
          </w14:textFill>
        </w:rPr>
        <w:t>。爆破孔孔径45mm，</w:t>
      </w:r>
      <w:r>
        <w:rPr>
          <w:rFonts w:ascii="仿宋" w:hAnsi="仿宋" w:eastAsia="仿宋"/>
          <w:color w:val="000000" w:themeColor="text1"/>
          <w:sz w:val="24"/>
          <w14:textFill>
            <w14:solidFill>
              <w14:schemeClr w14:val="tx1"/>
            </w14:solidFill>
          </w14:textFill>
        </w:rPr>
        <w:t>钻孔深度进入煤层底板，单排巷中布置，</w:t>
      </w:r>
      <w:r>
        <w:rPr>
          <w:rFonts w:hint="eastAsia" w:ascii="仿宋" w:hAnsi="仿宋" w:eastAsia="仿宋"/>
          <w:color w:val="000000" w:themeColor="text1"/>
          <w:sz w:val="24"/>
          <w14:textFill>
            <w14:solidFill>
              <w14:schemeClr w14:val="tx1"/>
            </w14:solidFill>
          </w14:textFill>
        </w:rPr>
        <w:t>孔间距5～20m</w:t>
      </w:r>
      <w:r>
        <w:rPr>
          <w:rFonts w:ascii="仿宋" w:hAnsi="仿宋" w:eastAsia="仿宋"/>
          <w:color w:val="000000" w:themeColor="text1"/>
          <w:sz w:val="24"/>
          <w14:textFill>
            <w14:solidFill>
              <w14:schemeClr w14:val="tx1"/>
            </w14:solidFill>
          </w14:textFill>
        </w:rPr>
        <w:t>，单孔装药量不超过孔深的1/2</w:t>
      </w:r>
      <w:r>
        <w:rPr>
          <w:rFonts w:hint="eastAsia" w:ascii="仿宋" w:hAnsi="仿宋" w:eastAsia="仿宋"/>
          <w:color w:val="000000" w:themeColor="text1"/>
          <w:sz w:val="24"/>
          <w14:textFill>
            <w14:solidFill>
              <w14:schemeClr w14:val="tx1"/>
            </w14:solidFill>
          </w14:textFill>
        </w:rPr>
        <w:t>且不超过5Kg</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装药量可根据现场实际孔深调整。</w:t>
      </w:r>
      <w:r>
        <w:rPr>
          <w:rFonts w:hint="eastAsia" w:ascii="仿宋" w:hAnsi="仿宋" w:eastAsia="仿宋"/>
          <w:color w:val="000000" w:themeColor="text1"/>
          <w:sz w:val="24"/>
          <w14:textFill>
            <w14:solidFill>
              <w14:schemeClr w14:val="tx1"/>
            </w14:solidFill>
          </w14:textFill>
        </w:rPr>
        <w:t>底板爆破卸压</w:t>
      </w:r>
      <w:r>
        <w:rPr>
          <w:rFonts w:ascii="仿宋" w:hAnsi="仿宋" w:eastAsia="仿宋"/>
          <w:color w:val="000000" w:themeColor="text1"/>
          <w:sz w:val="24"/>
          <w14:textFill>
            <w14:solidFill>
              <w14:schemeClr w14:val="tx1"/>
            </w14:solidFill>
          </w14:textFill>
        </w:rPr>
        <w:t>超前工作面不小于200m。</w:t>
      </w:r>
    </w:p>
    <w:p>
      <w:pPr>
        <w:keepNext w:val="0"/>
        <w:keepLines w:val="0"/>
        <w:pageBreakBefore w:val="0"/>
        <w:widowControl w:val="0"/>
        <w:numPr>
          <w:ilvl w:val="1"/>
          <w:numId w:val="0"/>
        </w:numPr>
        <w:tabs>
          <w:tab w:val="left" w:pos="432"/>
          <w:tab w:val="left" w:pos="567"/>
          <w:tab w:val="left" w:pos="718"/>
          <w:tab w:val="left" w:pos="1002"/>
        </w:tabs>
        <w:kinsoku/>
        <w:wordWrap/>
        <w:overflowPunct/>
        <w:topLinePunct w:val="0"/>
        <w:autoSpaceDE/>
        <w:autoSpaceDN/>
        <w:bidi w:val="0"/>
        <w:adjustRightInd/>
        <w:snapToGrid w:val="0"/>
        <w:textAlignment w:val="auto"/>
        <w:outlineLvl w:val="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w:t>
      </w:r>
      <w:bookmarkEnd w:id="445"/>
      <w:r>
        <w:rPr>
          <w:rFonts w:ascii="仿宋" w:hAnsi="仿宋" w:eastAsia="仿宋"/>
          <w:b/>
          <w:color w:val="000000" w:themeColor="text1"/>
          <w:sz w:val="24"/>
          <w14:textFill>
            <w14:solidFill>
              <w14:schemeClr w14:val="tx1"/>
            </w14:solidFill>
          </w14:textFill>
        </w:rPr>
        <w:t>顶板预裂爆破</w:t>
      </w:r>
    </w:p>
    <w:p>
      <w:pPr>
        <w:keepNext w:val="0"/>
        <w:keepLines w:val="0"/>
        <w:pageBreakBefore w:val="0"/>
        <w:widowControl w:val="0"/>
        <w:kinsoku/>
        <w:wordWrap/>
        <w:overflowPunct/>
        <w:topLinePunct w:val="0"/>
        <w:autoSpaceDE/>
        <w:autoSpaceDN/>
        <w:bidi w:val="0"/>
        <w:adjustRightInd/>
        <w:snapToGrid w:val="0"/>
        <w:ind w:firstLine="464"/>
        <w:jc w:val="left"/>
        <w:textAlignment w:val="auto"/>
        <w:rPr>
          <w:rFonts w:ascii="仿宋" w:hAnsi="仿宋" w:eastAsia="仿宋" w:cs="仿宋"/>
          <w:color w:val="000000" w:themeColor="text1"/>
          <w:sz w:val="24"/>
          <w14:textFill>
            <w14:solidFill>
              <w14:schemeClr w14:val="tx1"/>
            </w14:solidFill>
          </w14:textFill>
        </w:rPr>
      </w:pPr>
      <w:r>
        <w:rPr>
          <w:rFonts w:ascii="仿宋" w:hAnsi="仿宋" w:eastAsia="仿宋"/>
          <w:color w:val="000000" w:themeColor="text1"/>
          <w:spacing w:val="-4"/>
          <w:sz w:val="24"/>
          <w14:textFill>
            <w14:solidFill>
              <w14:schemeClr w14:val="tx1"/>
            </w14:solidFill>
          </w14:textFill>
        </w:rPr>
        <w:t>1303工作面的</w:t>
      </w:r>
      <w:r>
        <w:rPr>
          <w:rFonts w:hint="eastAsia" w:ascii="仿宋" w:hAnsi="仿宋" w:eastAsia="仿宋"/>
          <w:color w:val="000000" w:themeColor="text1"/>
          <w:spacing w:val="-4"/>
          <w:sz w:val="24"/>
          <w:lang w:val="en-US" w:eastAsia="zh-CN"/>
          <w14:textFill>
            <w14:solidFill>
              <w14:schemeClr w14:val="tx1"/>
            </w14:solidFill>
          </w14:textFill>
        </w:rPr>
        <w:t>顶板预裂</w:t>
      </w:r>
      <w:r>
        <w:rPr>
          <w:rFonts w:ascii="仿宋" w:hAnsi="仿宋" w:eastAsia="仿宋"/>
          <w:color w:val="000000" w:themeColor="text1"/>
          <w:spacing w:val="-4"/>
          <w:sz w:val="24"/>
          <w14:textFill>
            <w14:solidFill>
              <w14:schemeClr w14:val="tx1"/>
            </w14:solidFill>
          </w14:textFill>
        </w:rPr>
        <w:t>方案采用</w:t>
      </w:r>
      <w:r>
        <w:rPr>
          <w:rFonts w:ascii="仿宋" w:hAnsi="仿宋" w:eastAsia="仿宋"/>
          <w:color w:val="000000" w:themeColor="text1"/>
          <w:sz w:val="24"/>
          <w14:textFill>
            <w14:solidFill>
              <w14:schemeClr w14:val="tx1"/>
            </w14:solidFill>
          </w14:textFill>
        </w:rPr>
        <w:t>平行工作面</w:t>
      </w:r>
      <w:r>
        <w:rPr>
          <w:rFonts w:ascii="仿宋" w:hAnsi="仿宋" w:eastAsia="仿宋"/>
          <w:color w:val="000000" w:themeColor="text1"/>
          <w:spacing w:val="-4"/>
          <w:sz w:val="24"/>
          <w14:textFill>
            <w14:solidFill>
              <w14:schemeClr w14:val="tx1"/>
            </w14:solidFill>
          </w14:textFill>
        </w:rPr>
        <w:t>顶板预裂爆破和</w:t>
      </w:r>
      <w:r>
        <w:rPr>
          <w:rFonts w:hint="eastAsia" w:ascii="仿宋" w:hAnsi="仿宋" w:eastAsia="仿宋"/>
          <w:color w:val="000000" w:themeColor="text1"/>
          <w:spacing w:val="-4"/>
          <w:sz w:val="24"/>
          <w14:textFill>
            <w14:solidFill>
              <w14:schemeClr w14:val="tx1"/>
            </w14:solidFill>
          </w14:textFill>
        </w:rPr>
        <w:t>风</w:t>
      </w:r>
      <w:r>
        <w:rPr>
          <w:rFonts w:ascii="仿宋" w:hAnsi="仿宋" w:eastAsia="仿宋"/>
          <w:color w:val="000000" w:themeColor="text1"/>
          <w:spacing w:val="-4"/>
          <w:sz w:val="24"/>
          <w14:textFill>
            <w14:solidFill>
              <w14:schemeClr w14:val="tx1"/>
            </w14:solidFill>
          </w14:textFill>
        </w:rPr>
        <w:t>巷</w:t>
      </w:r>
      <w:r>
        <w:rPr>
          <w:rFonts w:ascii="仿宋" w:hAnsi="仿宋" w:eastAsia="仿宋"/>
          <w:color w:val="000000" w:themeColor="text1"/>
          <w:sz w:val="24"/>
          <w14:textFill>
            <w14:solidFill>
              <w14:schemeClr w14:val="tx1"/>
            </w14:solidFill>
          </w14:textFill>
        </w:rPr>
        <w:t>走向方向切顶</w:t>
      </w:r>
      <w:r>
        <w:rPr>
          <w:rFonts w:ascii="仿宋" w:hAnsi="仿宋" w:eastAsia="仿宋"/>
          <w:color w:val="000000" w:themeColor="text1"/>
          <w:spacing w:val="-4"/>
          <w:sz w:val="24"/>
          <w14:textFill>
            <w14:solidFill>
              <w14:schemeClr w14:val="tx1"/>
            </w14:solidFill>
          </w14:textFill>
        </w:rPr>
        <w:t>预裂爆破相结合的方案。顶板预裂爆破根据顶板岩性情况而定，若个别区域煤层顶板50m范围内泥岩较厚或岩性破碎可不进行施工</w:t>
      </w:r>
      <w:r>
        <w:rPr>
          <w:rFonts w:ascii="仿宋" w:hAnsi="仿宋" w:eastAsia="仿宋" w:cs="仿宋"/>
          <w:color w:val="000000" w:themeColor="text1"/>
          <w:sz w:val="24"/>
          <w14:textFill>
            <w14:solidFill>
              <w14:schemeClr w14:val="tx1"/>
            </w14:solidFill>
          </w14:textFill>
        </w:rPr>
        <w:t>。</w:t>
      </w:r>
    </w:p>
    <w:p>
      <w:pPr>
        <w:keepNext w:val="0"/>
        <w:keepLines w:val="0"/>
        <w:pageBreakBefore w:val="0"/>
        <w:widowControl w:val="0"/>
        <w:tabs>
          <w:tab w:val="left" w:pos="432"/>
        </w:tabs>
        <w:kinsoku/>
        <w:wordWrap/>
        <w:overflowPunct/>
        <w:topLinePunct w:val="0"/>
        <w:autoSpaceDE/>
        <w:autoSpaceDN/>
        <w:bidi w:val="0"/>
        <w:adjustRightInd/>
        <w:snapToGrid w:val="0"/>
        <w:ind w:firstLine="0" w:firstLineChars="0"/>
        <w:textAlignment w:val="auto"/>
        <w:rPr>
          <w:rFonts w:ascii="仿宋" w:hAnsi="仿宋" w:eastAsia="仿宋"/>
          <w:b/>
          <w:bCs/>
          <w:color w:val="000000" w:themeColor="text1"/>
          <w:sz w:val="24"/>
          <w14:textFill>
            <w14:solidFill>
              <w14:schemeClr w14:val="tx1"/>
            </w14:solidFill>
          </w14:textFill>
        </w:rPr>
      </w:pPr>
      <w:bookmarkStart w:id="446" w:name="_Toc18127"/>
      <w:r>
        <w:rPr>
          <w:rFonts w:hint="eastAsia" w:ascii="仿宋" w:hAnsi="仿宋" w:eastAsia="仿宋"/>
          <w:b/>
          <w:bCs/>
          <w:color w:val="000000" w:themeColor="text1"/>
          <w:sz w:val="24"/>
          <w14:textFill>
            <w14:solidFill>
              <w14:schemeClr w14:val="tx1"/>
            </w14:solidFill>
          </w14:textFill>
        </w:rPr>
        <w:t>（1）</w:t>
      </w:r>
      <w:r>
        <w:rPr>
          <w:rFonts w:ascii="仿宋" w:hAnsi="仿宋" w:eastAsia="仿宋"/>
          <w:b/>
          <w:bCs/>
          <w:color w:val="000000" w:themeColor="text1"/>
          <w:sz w:val="24"/>
          <w14:textFill>
            <w14:solidFill>
              <w14:schemeClr w14:val="tx1"/>
            </w14:solidFill>
          </w14:textFill>
        </w:rPr>
        <w:t>平行工作面顶板预裂爆破</w:t>
      </w:r>
      <w:bookmarkEnd w:id="446"/>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pacing w:val="-4"/>
          <w:sz w:val="24"/>
          <w14:textFill>
            <w14:solidFill>
              <w14:schemeClr w14:val="tx1"/>
            </w14:solidFill>
          </w14:textFill>
        </w:rPr>
      </w:pPr>
      <w:bookmarkStart w:id="447" w:name="_Toc37933176"/>
      <w:bookmarkStart w:id="448" w:name="_Toc23682"/>
      <w:r>
        <w:rPr>
          <w:rFonts w:ascii="仿宋" w:hAnsi="仿宋" w:eastAsia="仿宋"/>
          <w:color w:val="000000" w:themeColor="text1"/>
          <w:sz w:val="24"/>
          <w14:textFill>
            <w14:solidFill>
              <w14:schemeClr w14:val="tx1"/>
            </w14:solidFill>
          </w14:textFill>
        </w:rPr>
        <w:t>平行工作面爆破孔布置旨在破坏上覆中高位厚硬顶板岩层的完整结构形态，通过预裂爆破方式，增加高位厚硬顶板岩层内部裂隙，破坏其完整性，并降低岩体强度，进而缩短中高位厚硬顶板断裂步距，减弱其垮落时动载荷和能量释放强度，避免对高应力区煤体和围岩的冲击诱发。</w:t>
      </w:r>
    </w:p>
    <w:p>
      <w:pPr>
        <w:pStyle w:val="82"/>
        <w:keepNext w:val="0"/>
        <w:keepLines w:val="0"/>
        <w:pageBreakBefore w:val="0"/>
        <w:widowControl w:val="0"/>
        <w:kinsoku/>
        <w:wordWrap/>
        <w:overflowPunct/>
        <w:topLinePunct w:val="0"/>
        <w:autoSpaceDE/>
        <w:autoSpaceDN/>
        <w:bidi w:val="0"/>
        <w:adjustRightInd/>
        <w:snapToGrid w:val="0"/>
        <w:ind w:firstLine="480"/>
        <w:jc w:val="left"/>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顶板弯曲弹性能与岩层悬伸长度的五次方成正比，厚度越大的坚硬岩层顶板不易冒落，形成悬顶长度越大，当顶板悬顶长度达到极限，聚集的能量突然释放，强大动载作用在处在高应力状态的煤体上极易发生冲击地压。现计划对该岩层采取预裂爆破措施，人为制造裂隙，减弱1303工作面矿压显现程度。顶板预裂爆破暂定爆破高度为</w:t>
      </w:r>
      <w:r>
        <w:rPr>
          <w:rFonts w:hint="eastAsia" w:ascii="仿宋" w:hAnsi="仿宋" w:eastAsia="仿宋"/>
          <w:color w:val="000000" w:themeColor="text1"/>
          <w:sz w:val="24"/>
          <w:lang w:val="en-US" w:eastAsia="zh-CN"/>
          <w14:textFill>
            <w14:solidFill>
              <w14:schemeClr w14:val="tx1"/>
            </w14:solidFill>
          </w14:textFill>
        </w:rPr>
        <w:t>57.5</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67</w:t>
      </w:r>
      <w:r>
        <w:rPr>
          <w:rFonts w:ascii="仿宋" w:hAnsi="仿宋" w:eastAsia="仿宋"/>
          <w:color w:val="000000" w:themeColor="text1"/>
          <w:sz w:val="24"/>
          <w14:textFill>
            <w14:solidFill>
              <w14:schemeClr w14:val="tx1"/>
            </w14:solidFill>
          </w14:textFill>
        </w:rPr>
        <w:t>m，具体依据煤层顶板岩性而定。</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超前深孔爆破长度与工作面长度和煤层倾角有关。一般工作面长度小于120m时，采用单向钻</w:t>
      </w:r>
      <w:r>
        <w:rPr>
          <w:rFonts w:hint="eastAsia" w:ascii="仿宋" w:hAnsi="仿宋" w:eastAsia="仿宋"/>
          <w:color w:val="000000" w:themeColor="text1"/>
          <w:sz w:val="24"/>
          <w14:textFill>
            <w14:solidFill>
              <w14:schemeClr w14:val="tx1"/>
            </w14:solidFill>
          </w14:textFill>
        </w:rPr>
        <w:t>孔</w:t>
      </w:r>
      <w:r>
        <w:rPr>
          <w:rFonts w:ascii="仿宋" w:hAnsi="仿宋" w:eastAsia="仿宋"/>
          <w:color w:val="000000" w:themeColor="text1"/>
          <w:sz w:val="24"/>
          <w14:textFill>
            <w14:solidFill>
              <w14:schemeClr w14:val="tx1"/>
            </w14:solidFill>
          </w14:textFill>
        </w:rPr>
        <w:t>，孔底距机巷的水平距离一般不小于20m。当工作面长度大于120m时，采用</w:t>
      </w:r>
      <w:r>
        <w:rPr>
          <w:rFonts w:hint="eastAsia" w:ascii="仿宋" w:hAnsi="仿宋" w:eastAsia="仿宋"/>
          <w:color w:val="000000" w:themeColor="text1"/>
          <w:sz w:val="24"/>
          <w14:textFill>
            <w14:solidFill>
              <w14:schemeClr w14:val="tx1"/>
            </w14:solidFill>
          </w14:textFill>
        </w:rPr>
        <w:t>两</w:t>
      </w:r>
      <w:r>
        <w:rPr>
          <w:rFonts w:ascii="仿宋" w:hAnsi="仿宋" w:eastAsia="仿宋"/>
          <w:color w:val="000000" w:themeColor="text1"/>
          <w:sz w:val="24"/>
          <w14:textFill>
            <w14:solidFill>
              <w14:schemeClr w14:val="tx1"/>
            </w14:solidFill>
          </w14:textFill>
        </w:rPr>
        <w:t>巷双向钻孔，两巷</w:t>
      </w:r>
      <w:r>
        <w:rPr>
          <w:rFonts w:hint="eastAsia" w:ascii="仿宋" w:hAnsi="仿宋" w:eastAsia="仿宋"/>
          <w:color w:val="000000" w:themeColor="text1"/>
          <w:sz w:val="24"/>
          <w14:textFill>
            <w14:solidFill>
              <w14:schemeClr w14:val="tx1"/>
            </w14:solidFill>
          </w14:textFill>
        </w:rPr>
        <w:t>钻孔</w:t>
      </w:r>
      <w:r>
        <w:rPr>
          <w:rFonts w:ascii="仿宋" w:hAnsi="仿宋" w:eastAsia="仿宋"/>
          <w:color w:val="000000" w:themeColor="text1"/>
          <w:sz w:val="24"/>
          <w14:textFill>
            <w14:solidFill>
              <w14:schemeClr w14:val="tx1"/>
            </w14:solidFill>
          </w14:textFill>
        </w:rPr>
        <w:t>孔底的水平距离应大于10m，钻孔示意图见图</w:t>
      </w:r>
      <w:r>
        <w:rPr>
          <w:rFonts w:hint="eastAsia" w:ascii="仿宋" w:hAnsi="仿宋" w:eastAsia="仿宋"/>
          <w:color w:val="000000" w:themeColor="text1"/>
          <w:sz w:val="24"/>
          <w14:textFill>
            <w14:solidFill>
              <w14:schemeClr w14:val="tx1"/>
            </w14:solidFill>
          </w14:textFill>
        </w:rPr>
        <w:t>18</w:t>
      </w:r>
      <w:r>
        <w:rPr>
          <w:rFonts w:ascii="仿宋" w:hAnsi="仿宋" w:eastAsia="仿宋"/>
          <w:color w:val="000000" w:themeColor="text1"/>
          <w:sz w:val="24"/>
          <w14:textFill>
            <w14:solidFill>
              <w14:schemeClr w14:val="tx1"/>
            </w14:solidFill>
          </w14:textFill>
        </w:rPr>
        <w:t>、图</w:t>
      </w:r>
      <w:r>
        <w:rPr>
          <w:rFonts w:hint="eastAsia" w:ascii="仿宋" w:hAnsi="仿宋" w:eastAsia="仿宋"/>
          <w:color w:val="000000" w:themeColor="text1"/>
          <w:sz w:val="24"/>
          <w14:textFill>
            <w14:solidFill>
              <w14:schemeClr w14:val="tx1"/>
            </w14:solidFill>
          </w14:textFill>
        </w:rPr>
        <w:t>19</w:t>
      </w:r>
      <w:r>
        <w:rPr>
          <w:rFonts w:ascii="仿宋" w:hAnsi="仿宋" w:eastAsia="仿宋"/>
          <w:color w:val="000000" w:themeColor="text1"/>
          <w:sz w:val="24"/>
          <w14:textFill>
            <w14:solidFill>
              <w14:schemeClr w14:val="tx1"/>
            </w14:solidFill>
          </w14:textFill>
        </w:rPr>
        <w:t>所示。1303工作面机、风巷两巷每组布置3个平行工作面炮孔，孔径94mm，组内钻孔间距不大于2m。炸药采用φ63×1000mm塑料被筒型煤矿许用水胶炸药，超前工作面不小于200m，具体装药量和封孔长度如表</w:t>
      </w:r>
      <w:r>
        <w:rPr>
          <w:rFonts w:hint="eastAsia" w:ascii="仿宋" w:hAnsi="仿宋" w:eastAsia="仿宋"/>
          <w:color w:val="000000" w:themeColor="text1"/>
          <w:sz w:val="24"/>
          <w14:textFill>
            <w14:solidFill>
              <w14:schemeClr w14:val="tx1"/>
            </w14:solidFill>
          </w14:textFill>
        </w:rPr>
        <w:t>29</w:t>
      </w:r>
      <w:r>
        <w:rPr>
          <w:rFonts w:ascii="仿宋" w:hAnsi="仿宋" w:eastAsia="仿宋"/>
          <w:color w:val="000000" w:themeColor="text1"/>
          <w:sz w:val="24"/>
          <w14:textFill>
            <w14:solidFill>
              <w14:schemeClr w14:val="tx1"/>
            </w14:solidFill>
          </w14:textFill>
        </w:rPr>
        <w:t>所示。</w:t>
      </w:r>
    </w:p>
    <w:p>
      <w:pPr>
        <w:pStyle w:val="82"/>
        <w:ind w:firstLine="0" w:firstLineChars="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114300" distR="114300">
            <wp:extent cx="3990975" cy="2143760"/>
            <wp:effectExtent l="0" t="0" r="952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3" cstate="print">
                      <a:extLst>
                        <a:ext uri="{28A0092B-C50C-407E-A947-70E740481C1C}">
                          <a14:useLocalDpi xmlns:a14="http://schemas.microsoft.com/office/drawing/2010/main" val="0"/>
                        </a:ext>
                      </a:extLst>
                    </a:blip>
                    <a:srcRect l="3639" t="2552" r="6113" b="2841"/>
                    <a:stretch>
                      <a:fillRect/>
                    </a:stretch>
                  </pic:blipFill>
                  <pic:spPr>
                    <a:xfrm>
                      <a:off x="0" y="0"/>
                      <a:ext cx="4004037" cy="2150555"/>
                    </a:xfrm>
                    <a:prstGeom prst="rect">
                      <a:avLst/>
                    </a:prstGeom>
                    <a:ln>
                      <a:noFill/>
                    </a:ln>
                  </pic:spPr>
                </pic:pic>
              </a:graphicData>
            </a:graphic>
          </wp:inline>
        </w:drawing>
      </w:r>
    </w:p>
    <w:p>
      <w:pPr>
        <w:pStyle w:val="82"/>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图</w:t>
      </w:r>
      <w:r>
        <w:rPr>
          <w:rFonts w:hint="eastAsia" w:ascii="仿宋" w:hAnsi="仿宋" w:eastAsia="仿宋"/>
          <w:color w:val="000000" w:themeColor="text1"/>
          <w:szCs w:val="21"/>
          <w14:textFill>
            <w14:solidFill>
              <w14:schemeClr w14:val="tx1"/>
            </w14:solidFill>
          </w14:textFill>
        </w:rPr>
        <w:t>18</w:t>
      </w:r>
      <w:r>
        <w:rPr>
          <w:rFonts w:ascii="仿宋" w:hAnsi="仿宋" w:eastAsia="仿宋"/>
          <w:color w:val="000000" w:themeColor="text1"/>
          <w:szCs w:val="21"/>
          <w14:textFill>
            <w14:solidFill>
              <w14:schemeClr w14:val="tx1"/>
            </w14:solidFill>
          </w14:textFill>
        </w:rPr>
        <w:t xml:space="preserve">  1303工作面机、风巷顶板预裂爆破钻孔综合剖面图</w:t>
      </w:r>
    </w:p>
    <w:p>
      <w:pPr>
        <w:pStyle w:val="82"/>
        <w:ind w:firstLine="422"/>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drawing>
          <wp:inline distT="0" distB="0" distL="114300" distR="114300">
            <wp:extent cx="3736975" cy="2710815"/>
            <wp:effectExtent l="0" t="0" r="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35987" cy="2710577"/>
                    </a:xfrm>
                    <a:prstGeom prst="rect">
                      <a:avLst/>
                    </a:prstGeom>
                  </pic:spPr>
                </pic:pic>
              </a:graphicData>
            </a:graphic>
          </wp:inline>
        </w:drawing>
      </w:r>
    </w:p>
    <w:p>
      <w:pPr>
        <w:pStyle w:val="82"/>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图</w:t>
      </w:r>
      <w:r>
        <w:rPr>
          <w:rFonts w:hint="eastAsia" w:ascii="仿宋" w:hAnsi="仿宋" w:eastAsia="仿宋"/>
          <w:color w:val="000000" w:themeColor="text1"/>
          <w:szCs w:val="21"/>
          <w14:textFill>
            <w14:solidFill>
              <w14:schemeClr w14:val="tx1"/>
            </w14:solidFill>
          </w14:textFill>
        </w:rPr>
        <w:t>19</w:t>
      </w:r>
      <w:r>
        <w:rPr>
          <w:rFonts w:ascii="仿宋" w:hAnsi="仿宋" w:eastAsia="仿宋"/>
          <w:color w:val="000000" w:themeColor="text1"/>
          <w:szCs w:val="21"/>
          <w14:textFill>
            <w14:solidFill>
              <w14:schemeClr w14:val="tx1"/>
            </w14:solidFill>
          </w14:textFill>
        </w:rPr>
        <w:t xml:space="preserve">  1303工作面顶板预裂爆破钻孔施工平面图</w:t>
      </w:r>
    </w:p>
    <w:p>
      <w:pPr>
        <w:pStyle w:val="12"/>
        <w:snapToGrid w:val="0"/>
        <w:spacing w:after="0" w:line="240" w:lineRule="atLeast"/>
        <w:ind w:firstLine="422"/>
        <w:rPr>
          <w:rFonts w:eastAsia="宋体"/>
          <w:color w:val="000000" w:themeColor="text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29</w:t>
      </w:r>
      <w:r>
        <w:rPr>
          <w:b/>
          <w:color w:val="000000" w:themeColor="text1"/>
          <w:szCs w:val="21"/>
          <w14:textFill>
            <w14:solidFill>
              <w14:schemeClr w14:val="tx1"/>
            </w14:solidFill>
          </w14:textFill>
        </w:rPr>
        <w:t xml:space="preserve">  1303工作面机巷、风巷双向爆破钻孔参数表</w:t>
      </w:r>
    </w:p>
    <w:tbl>
      <w:tblPr>
        <w:tblStyle w:val="37"/>
        <w:tblW w:w="4997"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1"/>
        <w:gridCol w:w="731"/>
        <w:gridCol w:w="1269"/>
        <w:gridCol w:w="895"/>
        <w:gridCol w:w="895"/>
        <w:gridCol w:w="986"/>
        <w:gridCol w:w="1470"/>
        <w:gridCol w:w="146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33" w:type="pct"/>
            <w:tcBorders>
              <w:bottom w:val="single" w:color="auto" w:sz="6" w:space="0"/>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巷道</w:t>
            </w:r>
          </w:p>
        </w:tc>
        <w:tc>
          <w:tcPr>
            <w:tcW w:w="433" w:type="pct"/>
            <w:tcBorders>
              <w:bottom w:val="single" w:color="auto" w:sz="6" w:space="0"/>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孔号</w:t>
            </w:r>
          </w:p>
        </w:tc>
        <w:tc>
          <w:tcPr>
            <w:tcW w:w="751" w:type="pct"/>
            <w:tcBorders>
              <w:bottom w:val="single" w:color="auto" w:sz="6" w:space="0"/>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孔径(mm)</w:t>
            </w:r>
          </w:p>
        </w:tc>
        <w:tc>
          <w:tcPr>
            <w:tcW w:w="530" w:type="pct"/>
            <w:tcBorders>
              <w:bottom w:val="single" w:color="auto" w:sz="6" w:space="0"/>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方位/°</w:t>
            </w:r>
          </w:p>
        </w:tc>
        <w:tc>
          <w:tcPr>
            <w:tcW w:w="530" w:type="pct"/>
            <w:tcBorders>
              <w:bottom w:val="single" w:color="auto" w:sz="6" w:space="0"/>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仰角/°</w:t>
            </w:r>
          </w:p>
        </w:tc>
        <w:tc>
          <w:tcPr>
            <w:tcW w:w="584" w:type="pct"/>
            <w:tcBorders>
              <w:bottom w:val="single" w:color="auto" w:sz="6" w:space="0"/>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孔深/m</w:t>
            </w:r>
          </w:p>
        </w:tc>
        <w:tc>
          <w:tcPr>
            <w:tcW w:w="870" w:type="pct"/>
            <w:tcBorders>
              <w:bottom w:val="single" w:color="auto" w:sz="6" w:space="0"/>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封孔长度/m</w:t>
            </w:r>
          </w:p>
        </w:tc>
        <w:tc>
          <w:tcPr>
            <w:tcW w:w="870" w:type="pct"/>
            <w:tcBorders>
              <w:bottom w:val="single" w:color="auto" w:sz="6" w:space="0"/>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装药长度/m</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3" w:type="pct"/>
            <w:vMerge w:val="restart"/>
            <w:tcBorders>
              <w:top w:val="single" w:color="auto" w:sz="6" w:space="0"/>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机巷</w:t>
            </w:r>
          </w:p>
        </w:tc>
        <w:tc>
          <w:tcPr>
            <w:tcW w:w="433" w:type="pct"/>
            <w:tcBorders>
              <w:top w:val="single" w:color="auto" w:sz="6" w:space="0"/>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14:textFill>
                  <w14:solidFill>
                    <w14:schemeClr w14:val="tx1"/>
                  </w14:solidFill>
                </w14:textFill>
              </w:rPr>
              <w:t>#</w:t>
            </w:r>
          </w:p>
        </w:tc>
        <w:tc>
          <w:tcPr>
            <w:tcW w:w="751" w:type="pct"/>
            <w:vMerge w:val="restart"/>
            <w:tcBorders>
              <w:top w:val="single" w:color="auto" w:sz="6" w:space="0"/>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94</w:t>
            </w:r>
          </w:p>
        </w:tc>
        <w:tc>
          <w:tcPr>
            <w:tcW w:w="530" w:type="pct"/>
            <w:tcBorders>
              <w:top w:val="single" w:color="auto" w:sz="6" w:space="0"/>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62</w:t>
            </w:r>
          </w:p>
        </w:tc>
        <w:tc>
          <w:tcPr>
            <w:tcW w:w="530" w:type="pct"/>
            <w:tcBorders>
              <w:top w:val="single" w:color="auto" w:sz="6" w:space="0"/>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54</w:t>
            </w:r>
          </w:p>
        </w:tc>
        <w:tc>
          <w:tcPr>
            <w:tcW w:w="584" w:type="pct"/>
            <w:tcBorders>
              <w:top w:val="single" w:color="auto" w:sz="6" w:space="0"/>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75</w:t>
            </w:r>
          </w:p>
        </w:tc>
        <w:tc>
          <w:tcPr>
            <w:tcW w:w="870" w:type="pct"/>
            <w:tcBorders>
              <w:top w:val="single" w:color="auto" w:sz="6" w:space="0"/>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30</w:t>
            </w:r>
          </w:p>
        </w:tc>
        <w:tc>
          <w:tcPr>
            <w:tcW w:w="870" w:type="pct"/>
            <w:tcBorders>
              <w:top w:val="single" w:color="auto" w:sz="6" w:space="0"/>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3" w:type="pct"/>
            <w:vMerge w:val="continue"/>
            <w:tcBorders>
              <w:tl2br w:val="nil"/>
              <w:tr2bl w:val="nil"/>
            </w:tcBorders>
            <w:vAlign w:val="center"/>
          </w:tcPr>
          <w:p>
            <w:pPr>
              <w:pStyle w:val="82"/>
              <w:snapToGrid w:val="0"/>
              <w:spacing w:line="240" w:lineRule="atLeast"/>
              <w:ind w:firstLine="0" w:firstLineChars="0"/>
              <w:jc w:val="center"/>
              <w:rPr>
                <w:rFonts w:ascii="仿宋" w:hAnsi="仿宋" w:eastAsia="仿宋"/>
                <w:b/>
                <w:color w:val="000000" w:themeColor="text1"/>
                <w:szCs w:val="21"/>
                <w14:textFill>
                  <w14:solidFill>
                    <w14:schemeClr w14:val="tx1"/>
                  </w14:solidFill>
                </w14:textFill>
              </w:rPr>
            </w:pPr>
          </w:p>
        </w:tc>
        <w:tc>
          <w:tcPr>
            <w:tcW w:w="433"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w:t>
            </w:r>
          </w:p>
        </w:tc>
        <w:tc>
          <w:tcPr>
            <w:tcW w:w="751" w:type="pct"/>
            <w:vMerge w:val="continue"/>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62</w:t>
            </w: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43</w:t>
            </w:r>
          </w:p>
        </w:tc>
        <w:tc>
          <w:tcPr>
            <w:tcW w:w="584"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90</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45</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3" w:type="pct"/>
            <w:vMerge w:val="continue"/>
            <w:tcBorders>
              <w:tl2br w:val="nil"/>
              <w:tr2bl w:val="nil"/>
            </w:tcBorders>
            <w:vAlign w:val="center"/>
          </w:tcPr>
          <w:p>
            <w:pPr>
              <w:pStyle w:val="82"/>
              <w:snapToGrid w:val="0"/>
              <w:spacing w:line="240" w:lineRule="atLeast"/>
              <w:ind w:firstLine="0" w:firstLineChars="0"/>
              <w:jc w:val="center"/>
              <w:rPr>
                <w:rFonts w:ascii="仿宋" w:hAnsi="仿宋" w:eastAsia="仿宋"/>
                <w:b/>
                <w:color w:val="000000" w:themeColor="text1"/>
                <w:szCs w:val="21"/>
                <w14:textFill>
                  <w14:solidFill>
                    <w14:schemeClr w14:val="tx1"/>
                  </w14:solidFill>
                </w14:textFill>
              </w:rPr>
            </w:pPr>
          </w:p>
        </w:tc>
        <w:tc>
          <w:tcPr>
            <w:tcW w:w="433"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3</w:t>
            </w:r>
            <w:r>
              <w:rPr>
                <w:rFonts w:hint="eastAsia" w:ascii="仿宋" w:hAnsi="仿宋" w:eastAsia="仿宋"/>
                <w:color w:val="000000" w:themeColor="text1"/>
                <w:szCs w:val="21"/>
                <w14:textFill>
                  <w14:solidFill>
                    <w14:schemeClr w14:val="tx1"/>
                  </w14:solidFill>
                </w14:textFill>
              </w:rPr>
              <w:t>#</w:t>
            </w:r>
          </w:p>
        </w:tc>
        <w:tc>
          <w:tcPr>
            <w:tcW w:w="751" w:type="pct"/>
            <w:vMerge w:val="continue"/>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62</w:t>
            </w: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35</w:t>
            </w:r>
          </w:p>
        </w:tc>
        <w:tc>
          <w:tcPr>
            <w:tcW w:w="584"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100</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45</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3" w:type="pct"/>
            <w:vMerge w:val="restar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风巷</w:t>
            </w:r>
          </w:p>
        </w:tc>
        <w:tc>
          <w:tcPr>
            <w:tcW w:w="433"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14:textFill>
                  <w14:solidFill>
                    <w14:schemeClr w14:val="tx1"/>
                  </w14:solidFill>
                </w14:textFill>
              </w:rPr>
              <w:t>#</w:t>
            </w:r>
          </w:p>
        </w:tc>
        <w:tc>
          <w:tcPr>
            <w:tcW w:w="751" w:type="pct"/>
            <w:vMerge w:val="continue"/>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342</w:t>
            </w: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63</w:t>
            </w:r>
          </w:p>
        </w:tc>
        <w:tc>
          <w:tcPr>
            <w:tcW w:w="584"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75</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30</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3" w:type="pct"/>
            <w:vMerge w:val="continue"/>
            <w:tcBorders>
              <w:tl2br w:val="nil"/>
              <w:tr2bl w:val="nil"/>
            </w:tcBorders>
            <w:vAlign w:val="center"/>
          </w:tcPr>
          <w:p>
            <w:pPr>
              <w:pStyle w:val="82"/>
              <w:snapToGrid w:val="0"/>
              <w:spacing w:line="240" w:lineRule="atLeast"/>
              <w:ind w:firstLine="0" w:firstLineChars="0"/>
              <w:jc w:val="center"/>
              <w:rPr>
                <w:rFonts w:ascii="仿宋" w:hAnsi="仿宋" w:eastAsia="仿宋"/>
                <w:b/>
                <w:color w:val="000000" w:themeColor="text1"/>
                <w:szCs w:val="21"/>
                <w14:textFill>
                  <w14:solidFill>
                    <w14:schemeClr w14:val="tx1"/>
                  </w14:solidFill>
                </w14:textFill>
              </w:rPr>
            </w:pPr>
          </w:p>
        </w:tc>
        <w:tc>
          <w:tcPr>
            <w:tcW w:w="433"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w:t>
            </w:r>
          </w:p>
        </w:tc>
        <w:tc>
          <w:tcPr>
            <w:tcW w:w="751" w:type="pct"/>
            <w:vMerge w:val="continue"/>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342</w:t>
            </w: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51</w:t>
            </w:r>
          </w:p>
        </w:tc>
        <w:tc>
          <w:tcPr>
            <w:tcW w:w="584"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87</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42</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3" w:type="pct"/>
            <w:vMerge w:val="continue"/>
            <w:tcBorders>
              <w:tl2br w:val="nil"/>
              <w:tr2bl w:val="nil"/>
            </w:tcBorders>
            <w:vAlign w:val="center"/>
          </w:tcPr>
          <w:p>
            <w:pPr>
              <w:pStyle w:val="82"/>
              <w:snapToGrid w:val="0"/>
              <w:spacing w:line="240" w:lineRule="atLeast"/>
              <w:ind w:firstLine="0" w:firstLineChars="0"/>
              <w:jc w:val="center"/>
              <w:rPr>
                <w:rFonts w:ascii="仿宋" w:hAnsi="仿宋" w:eastAsia="仿宋"/>
                <w:b/>
                <w:color w:val="000000" w:themeColor="text1"/>
                <w:szCs w:val="21"/>
                <w14:textFill>
                  <w14:solidFill>
                    <w14:schemeClr w14:val="tx1"/>
                  </w14:solidFill>
                </w14:textFill>
              </w:rPr>
            </w:pPr>
          </w:p>
        </w:tc>
        <w:tc>
          <w:tcPr>
            <w:tcW w:w="433"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3</w:t>
            </w:r>
            <w:r>
              <w:rPr>
                <w:rFonts w:hint="eastAsia" w:ascii="仿宋" w:hAnsi="仿宋" w:eastAsia="仿宋"/>
                <w:color w:val="000000" w:themeColor="text1"/>
                <w:szCs w:val="21"/>
                <w14:textFill>
                  <w14:solidFill>
                    <w14:schemeClr w14:val="tx1"/>
                  </w14:solidFill>
                </w14:textFill>
              </w:rPr>
              <w:t>#</w:t>
            </w:r>
          </w:p>
        </w:tc>
        <w:tc>
          <w:tcPr>
            <w:tcW w:w="751" w:type="pct"/>
            <w:vMerge w:val="continue"/>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342</w:t>
            </w:r>
          </w:p>
        </w:tc>
        <w:tc>
          <w:tcPr>
            <w:tcW w:w="53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42</w:t>
            </w:r>
          </w:p>
        </w:tc>
        <w:tc>
          <w:tcPr>
            <w:tcW w:w="584"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100</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45</w:t>
            </w:r>
          </w:p>
        </w:tc>
        <w:tc>
          <w:tcPr>
            <w:tcW w:w="870" w:type="pct"/>
            <w:tcBorders>
              <w:tl2br w:val="nil"/>
              <w:tr2bl w:val="nil"/>
            </w:tcBorders>
            <w:vAlign w:val="center"/>
          </w:tcPr>
          <w:p>
            <w:pPr>
              <w:pStyle w:val="82"/>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55</w:t>
            </w:r>
          </w:p>
        </w:tc>
      </w:tr>
    </w:tbl>
    <w:p>
      <w:pPr>
        <w:pStyle w:val="82"/>
        <w:keepNext w:val="0"/>
        <w:keepLines w:val="0"/>
        <w:pageBreakBefore w:val="0"/>
        <w:widowControl w:val="0"/>
        <w:kinsoku/>
        <w:wordWrap/>
        <w:overflowPunct/>
        <w:topLinePunct w:val="0"/>
        <w:autoSpaceDE/>
        <w:autoSpaceDN/>
        <w:bidi w:val="0"/>
        <w:adjustRightInd/>
        <w:snapToGrid w:val="0"/>
        <w:ind w:firstLine="480"/>
        <w:jc w:val="left"/>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施工时，根据现场顶板实际情况，需对顶板预裂孔参数做以优化，保证顶板预裂爆破效果，若施工地点岩性较破碎，经施工2个及以上补孔仍无法成孔可不再</w:t>
      </w:r>
      <w:r>
        <w:rPr>
          <w:rFonts w:hint="eastAsia" w:ascii="仿宋" w:hAnsi="仿宋" w:eastAsia="仿宋"/>
          <w:color w:val="000000" w:themeColor="text1"/>
          <w:sz w:val="24"/>
          <w14:textFill>
            <w14:solidFill>
              <w14:schemeClr w14:val="tx1"/>
            </w14:solidFill>
          </w14:textFill>
        </w:rPr>
        <w:t>继续</w:t>
      </w:r>
      <w:r>
        <w:rPr>
          <w:rFonts w:ascii="仿宋" w:hAnsi="仿宋" w:eastAsia="仿宋"/>
          <w:color w:val="000000" w:themeColor="text1"/>
          <w:sz w:val="24"/>
          <w14:textFill>
            <w14:solidFill>
              <w14:schemeClr w14:val="tx1"/>
            </w14:solidFill>
          </w14:textFill>
        </w:rPr>
        <w:t>施工。</w:t>
      </w:r>
    </w:p>
    <w:p>
      <w:pPr>
        <w:keepNext w:val="0"/>
        <w:keepLines w:val="0"/>
        <w:pageBreakBefore w:val="0"/>
        <w:widowControl w:val="0"/>
        <w:tabs>
          <w:tab w:val="left" w:pos="432"/>
        </w:tabs>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合理的深孔预裂爆破循环步距应小于采场支架可承受的中高位关键层的周期来压步距，以便使中高位坚硬顶板按循环步距有计划地断裂。预裂爆破循环步距与顶板的岩性、厚度、裂隙发育等情况有关。根据该工作面的岩石力学性质、砂岩厚度、顶板来压规律、微震监测分析数据等综合确定。根据1303工作面的具体情况，初步确定预裂爆破循环步距为</w:t>
      </w: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17</w:t>
      </w:r>
      <w:r>
        <w:rPr>
          <w:rFonts w:ascii="仿宋" w:hAnsi="仿宋" w:eastAsia="仿宋"/>
          <w:color w:val="000000" w:themeColor="text1"/>
          <w:sz w:val="24"/>
          <w14:textFill>
            <w14:solidFill>
              <w14:schemeClr w14:val="tx1"/>
            </w14:solidFill>
          </w14:textFill>
        </w:rPr>
        <w:t>米。从距工作面切眼约50m向外开始施工，后期可根据工作面周期来压步距进行优化。</w:t>
      </w:r>
    </w:p>
    <w:p>
      <w:pPr>
        <w:keepNext w:val="0"/>
        <w:keepLines w:val="0"/>
        <w:pageBreakBefore w:val="0"/>
        <w:widowControl w:val="0"/>
        <w:tabs>
          <w:tab w:val="left" w:pos="432"/>
        </w:tabs>
        <w:kinsoku/>
        <w:wordWrap/>
        <w:overflowPunct/>
        <w:topLinePunct w:val="0"/>
        <w:autoSpaceDE/>
        <w:autoSpaceDN/>
        <w:bidi w:val="0"/>
        <w:adjustRightInd/>
        <w:snapToGrid w:val="0"/>
        <w:ind w:firstLine="0" w:firstLineChars="0"/>
        <w:textAlignment w:val="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pacing w:val="-4"/>
          <w:sz w:val="24"/>
          <w14:textFill>
            <w14:solidFill>
              <w14:schemeClr w14:val="tx1"/>
            </w14:solidFill>
          </w14:textFill>
        </w:rPr>
        <w:t>（2）</w:t>
      </w:r>
      <w:bookmarkEnd w:id="447"/>
      <w:bookmarkEnd w:id="448"/>
      <w:r>
        <w:rPr>
          <w:rFonts w:hint="eastAsia" w:ascii="仿宋" w:hAnsi="仿宋" w:eastAsia="仿宋"/>
          <w:b/>
          <w:bCs/>
          <w:color w:val="000000" w:themeColor="text1"/>
          <w:spacing w:val="-4"/>
          <w:sz w:val="24"/>
          <w:lang w:val="en-US" w:eastAsia="zh-CN"/>
          <w14:textFill>
            <w14:solidFill>
              <w14:schemeClr w14:val="tx1"/>
            </w14:solidFill>
          </w14:textFill>
        </w:rPr>
        <w:t>侧</w:t>
      </w:r>
      <w:r>
        <w:rPr>
          <w:rFonts w:ascii="仿宋" w:hAnsi="仿宋" w:eastAsia="仿宋"/>
          <w:b/>
          <w:color w:val="000000" w:themeColor="text1"/>
          <w:sz w:val="24"/>
          <w14:textFill>
            <w14:solidFill>
              <w14:schemeClr w14:val="tx1"/>
            </w14:solidFill>
          </w14:textFill>
        </w:rPr>
        <w:t>向切顶预裂爆破</w:t>
      </w:r>
    </w:p>
    <w:p>
      <w:pPr>
        <w:keepNext w:val="0"/>
        <w:keepLines w:val="0"/>
        <w:pageBreakBefore w:val="0"/>
        <w:widowControl w:val="0"/>
        <w:kinsoku/>
        <w:wordWrap/>
        <w:overflowPunct/>
        <w:topLinePunct w:val="0"/>
        <w:autoSpaceDE/>
        <w:autoSpaceDN/>
        <w:bidi w:val="0"/>
        <w:adjustRightInd/>
        <w:snapToGrid w:val="0"/>
        <w:ind w:firstLine="48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走向切顶爆破孔布置方式旨在破坏1303工作面上方</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T</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型覆岩空间结构，切断与大煤柱上方高位厚硬顶板的联系，减弱其对煤柱侧应力集中效应。</w:t>
      </w:r>
      <w:r>
        <w:rPr>
          <w:rFonts w:hint="eastAsia" w:ascii="仿宋" w:hAnsi="仿宋" w:eastAsia="仿宋"/>
          <w:color w:val="000000" w:themeColor="text1"/>
          <w:sz w:val="24"/>
          <w14:textFill>
            <w14:solidFill>
              <w14:schemeClr w14:val="tx1"/>
            </w14:solidFill>
          </w14:textFill>
        </w:rPr>
        <w:t>因1303机巷外侧无设计工作面，外侧最近的DF7断层距机巷距离大于90m，对工作面回采无影响，</w:t>
      </w:r>
      <w:r>
        <w:rPr>
          <w:rFonts w:hint="eastAsia" w:ascii="仿宋" w:hAnsi="仿宋" w:eastAsia="仿宋"/>
          <w:color w:val="000000" w:themeColor="text1"/>
          <w:sz w:val="24"/>
          <w:lang w:val="en-US" w:eastAsia="zh-CN"/>
          <w14:textFill>
            <w14:solidFill>
              <w14:schemeClr w14:val="tx1"/>
            </w14:solidFill>
          </w14:textFill>
        </w:rPr>
        <w:t>走</w:t>
      </w:r>
      <w:r>
        <w:rPr>
          <w:rFonts w:hint="eastAsia" w:ascii="仿宋" w:hAnsi="仿宋" w:eastAsia="仿宋"/>
          <w:color w:val="000000" w:themeColor="text1"/>
          <w:sz w:val="24"/>
          <w14:textFill>
            <w14:solidFill>
              <w14:schemeClr w14:val="tx1"/>
            </w14:solidFill>
          </w14:textFill>
        </w:rPr>
        <w:t>向切顶预裂爆破工程仅在风巷进行施工。</w:t>
      </w:r>
    </w:p>
    <w:p>
      <w:pPr>
        <w:keepNext w:val="0"/>
        <w:keepLines w:val="0"/>
        <w:pageBreakBefore w:val="0"/>
        <w:widowControl w:val="0"/>
        <w:kinsoku/>
        <w:wordWrap/>
        <w:overflowPunct/>
        <w:topLinePunct w:val="0"/>
        <w:autoSpaceDE/>
        <w:autoSpaceDN/>
        <w:bidi w:val="0"/>
        <w:adjustRightInd/>
        <w:snapToGrid w:val="0"/>
        <w:ind w:firstLine="480"/>
        <w:jc w:val="left"/>
        <w:textAlignment w:val="auto"/>
        <w:rPr>
          <w:rFonts w:ascii="仿宋" w:hAnsi="仿宋" w:eastAsia="仿宋" w:cs="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钻机沿风巷走向单排布置，距煤柱帮</w:t>
      </w:r>
      <w:r>
        <w:rPr>
          <w:rFonts w:hint="eastAsia" w:ascii="仿宋" w:hAnsi="仿宋" w:eastAsia="仿宋"/>
          <w:color w:val="000000" w:themeColor="text1"/>
          <w:sz w:val="24"/>
          <w:lang w:val="en-US" w:eastAsia="zh-CN"/>
          <w14:textFill>
            <w14:solidFill>
              <w14:schemeClr w14:val="tx1"/>
            </w14:solidFill>
          </w14:textFill>
        </w:rPr>
        <w:t>0.5</w:t>
      </w:r>
      <w:r>
        <w:rPr>
          <w:rFonts w:ascii="仿宋" w:hAnsi="仿宋" w:eastAsia="仿宋"/>
          <w:color w:val="000000" w:themeColor="text1"/>
          <w:sz w:val="24"/>
          <w14:textFill>
            <w14:solidFill>
              <w14:schemeClr w14:val="tx1"/>
            </w14:solidFill>
          </w14:textFill>
        </w:rPr>
        <w:t>m顶板开孔，孔径94mm，钻孔间距10m，孔深70m，仰角60°施工，单孔装药35m，注浆封孔35m，钻孔方位N</w:t>
      </w:r>
      <w:r>
        <w:rPr>
          <w:rFonts w:hint="eastAsia" w:ascii="仿宋" w:hAnsi="仿宋" w:eastAsia="仿宋"/>
          <w:color w:val="000000" w:themeColor="text1"/>
          <w:sz w:val="24"/>
          <w:lang w:val="en-US" w:eastAsia="zh-CN"/>
          <w14:textFill>
            <w14:solidFill>
              <w14:schemeClr w14:val="tx1"/>
            </w14:solidFill>
          </w14:textFill>
        </w:rPr>
        <w:t>102</w:t>
      </w:r>
      <w:r>
        <w:rPr>
          <w:rFonts w:ascii="仿宋" w:hAnsi="仿宋" w:eastAsia="仿宋"/>
          <w:color w:val="000000" w:themeColor="text1"/>
          <w:sz w:val="24"/>
          <w14:textFill>
            <w14:solidFill>
              <w14:schemeClr w14:val="tx1"/>
            </w14:solidFill>
          </w14:textFill>
        </w:rPr>
        <w:t>°，超前工作面不小于200m，具体参数及施工位置如图</w:t>
      </w:r>
      <w:r>
        <w:rPr>
          <w:rFonts w:hint="eastAsia" w:ascii="仿宋" w:hAnsi="仿宋" w:eastAsia="仿宋"/>
          <w:color w:val="000000" w:themeColor="text1"/>
          <w:sz w:val="24"/>
          <w14:textFill>
            <w14:solidFill>
              <w14:schemeClr w14:val="tx1"/>
            </w14:solidFill>
          </w14:textFill>
        </w:rPr>
        <w:t>20</w:t>
      </w:r>
      <w:r>
        <w:rPr>
          <w:rFonts w:ascii="仿宋" w:hAnsi="仿宋" w:eastAsia="仿宋"/>
          <w:color w:val="000000" w:themeColor="text1"/>
          <w:sz w:val="24"/>
          <w14:textFill>
            <w14:solidFill>
              <w14:schemeClr w14:val="tx1"/>
            </w14:solidFill>
          </w14:textFill>
        </w:rPr>
        <w:t>所示，爆破孔参数见表</w:t>
      </w:r>
      <w:r>
        <w:rPr>
          <w:rFonts w:hint="eastAsia" w:ascii="仿宋" w:hAnsi="仿宋" w:eastAsia="仿宋"/>
          <w:color w:val="000000" w:themeColor="text1"/>
          <w:sz w:val="24"/>
          <w14:textFill>
            <w14:solidFill>
              <w14:schemeClr w14:val="tx1"/>
            </w14:solidFill>
          </w14:textFill>
        </w:rPr>
        <w:t>30。</w:t>
      </w:r>
    </w:p>
    <w:p>
      <w:pPr>
        <w:pStyle w:val="82"/>
        <w:ind w:firstLine="0" w:firstLineChars="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114300" distR="114300">
            <wp:extent cx="2273935" cy="2451100"/>
            <wp:effectExtent l="0" t="0" r="1206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73935" cy="2451100"/>
                    </a:xfrm>
                    <a:prstGeom prst="rect">
                      <a:avLst/>
                    </a:prstGeom>
                  </pic:spPr>
                </pic:pic>
              </a:graphicData>
            </a:graphic>
          </wp:inline>
        </w:drawing>
      </w:r>
    </w:p>
    <w:p>
      <w:pPr>
        <w:spacing w:line="400" w:lineRule="exact"/>
        <w:ind w:firstLine="420"/>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图20  1303风巷走向切顶钻孔示意图</w:t>
      </w:r>
    </w:p>
    <w:p>
      <w:pPr>
        <w:ind w:firstLine="420"/>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表30  1303  工作面风巷走向切顶钻孔爆破孔参数表</w:t>
      </w:r>
    </w:p>
    <w:tbl>
      <w:tblPr>
        <w:tblStyle w:val="36"/>
        <w:tblW w:w="4183"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4"/>
        <w:gridCol w:w="984"/>
        <w:gridCol w:w="932"/>
        <w:gridCol w:w="1028"/>
        <w:gridCol w:w="858"/>
        <w:gridCol w:w="1028"/>
        <w:gridCol w:w="125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696" w:type="pct"/>
            <w:tcBorders>
              <w:bottom w:val="single" w:color="auto" w:sz="6" w:space="0"/>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钻孔位置</w:t>
            </w:r>
          </w:p>
        </w:tc>
        <w:tc>
          <w:tcPr>
            <w:tcW w:w="696" w:type="pct"/>
            <w:tcBorders>
              <w:bottom w:val="single" w:color="auto" w:sz="6" w:space="0"/>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孔径/mm</w:t>
            </w:r>
          </w:p>
        </w:tc>
        <w:tc>
          <w:tcPr>
            <w:tcW w:w="659" w:type="pct"/>
            <w:tcBorders>
              <w:bottom w:val="single" w:color="auto" w:sz="6" w:space="0"/>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方位/°</w:t>
            </w:r>
          </w:p>
        </w:tc>
        <w:tc>
          <w:tcPr>
            <w:tcW w:w="727" w:type="pct"/>
            <w:tcBorders>
              <w:bottom w:val="single" w:color="auto" w:sz="6" w:space="0"/>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仰角/°</w:t>
            </w:r>
          </w:p>
        </w:tc>
        <w:tc>
          <w:tcPr>
            <w:tcW w:w="607" w:type="pct"/>
            <w:tcBorders>
              <w:bottom w:val="single" w:color="auto" w:sz="6" w:space="0"/>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孔深/m</w:t>
            </w:r>
          </w:p>
        </w:tc>
        <w:tc>
          <w:tcPr>
            <w:tcW w:w="727" w:type="pct"/>
            <w:tcBorders>
              <w:bottom w:val="single" w:color="auto" w:sz="6" w:space="0"/>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封孔长度/m</w:t>
            </w:r>
          </w:p>
        </w:tc>
        <w:tc>
          <w:tcPr>
            <w:tcW w:w="888" w:type="pct"/>
            <w:tcBorders>
              <w:bottom w:val="single" w:color="auto" w:sz="6" w:space="0"/>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装药长度/m</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696" w:type="pct"/>
            <w:tcBorders>
              <w:top w:val="single" w:color="auto" w:sz="6" w:space="0"/>
              <w:tl2br w:val="nil"/>
              <w:tr2bl w:val="nil"/>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bookmarkStart w:id="449" w:name="_Toc26053"/>
            <w:r>
              <w:rPr>
                <w:rFonts w:hint="eastAsia" w:ascii="仿宋" w:hAnsi="仿宋" w:eastAsia="仿宋"/>
                <w:color w:val="000000" w:themeColor="text1"/>
                <w:szCs w:val="21"/>
                <w14:textFill>
                  <w14:solidFill>
                    <w14:schemeClr w14:val="tx1"/>
                  </w14:solidFill>
                </w14:textFill>
              </w:rPr>
              <w:t>风巷</w:t>
            </w:r>
          </w:p>
        </w:tc>
        <w:tc>
          <w:tcPr>
            <w:tcW w:w="696" w:type="pct"/>
            <w:tcBorders>
              <w:top w:val="single" w:color="auto" w:sz="6" w:space="0"/>
              <w:tl2br w:val="nil"/>
              <w:tr2bl w:val="nil"/>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94</w:t>
            </w:r>
          </w:p>
        </w:tc>
        <w:tc>
          <w:tcPr>
            <w:tcW w:w="659" w:type="pct"/>
            <w:tcBorders>
              <w:top w:val="single" w:color="auto" w:sz="6" w:space="0"/>
              <w:tl2br w:val="nil"/>
              <w:tr2bl w:val="nil"/>
            </w:tcBorders>
            <w:vAlign w:val="center"/>
          </w:tcPr>
          <w:p>
            <w:pPr>
              <w:snapToGrid w:val="0"/>
              <w:spacing w:line="240" w:lineRule="atLeast"/>
              <w:ind w:firstLine="0" w:firstLineChars="0"/>
              <w:jc w:val="center"/>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N102</w:t>
            </w:r>
          </w:p>
        </w:tc>
        <w:tc>
          <w:tcPr>
            <w:tcW w:w="727" w:type="pct"/>
            <w:tcBorders>
              <w:top w:val="single" w:color="auto" w:sz="6" w:space="0"/>
              <w:tl2br w:val="nil"/>
              <w:tr2bl w:val="nil"/>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60</w:t>
            </w:r>
          </w:p>
        </w:tc>
        <w:tc>
          <w:tcPr>
            <w:tcW w:w="607" w:type="pct"/>
            <w:tcBorders>
              <w:top w:val="single" w:color="auto" w:sz="6" w:space="0"/>
              <w:tl2br w:val="nil"/>
              <w:tr2bl w:val="nil"/>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70</w:t>
            </w:r>
          </w:p>
        </w:tc>
        <w:tc>
          <w:tcPr>
            <w:tcW w:w="727" w:type="pct"/>
            <w:tcBorders>
              <w:top w:val="single" w:color="auto" w:sz="6" w:space="0"/>
              <w:tl2br w:val="nil"/>
              <w:tr2bl w:val="nil"/>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35</w:t>
            </w:r>
          </w:p>
        </w:tc>
        <w:tc>
          <w:tcPr>
            <w:tcW w:w="888" w:type="pct"/>
            <w:tcBorders>
              <w:top w:val="single" w:color="auto" w:sz="6" w:space="0"/>
              <w:tl2br w:val="nil"/>
              <w:tr2bl w:val="nil"/>
            </w:tcBorders>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35</w:t>
            </w:r>
          </w:p>
        </w:tc>
      </w:tr>
    </w:tbl>
    <w:p>
      <w:pPr>
        <w:pStyle w:val="82"/>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olor w:val="000000" w:themeColor="text1"/>
          <w:sz w:val="24"/>
          <w14:textFill>
            <w14:solidFill>
              <w14:schemeClr w14:val="tx1"/>
            </w14:solidFill>
          </w14:textFill>
        </w:rPr>
      </w:pPr>
      <w:bookmarkStart w:id="450" w:name="_Toc29326"/>
      <w:r>
        <w:rPr>
          <w:rFonts w:ascii="仿宋" w:hAnsi="仿宋" w:eastAsia="仿宋"/>
          <w:color w:val="000000" w:themeColor="text1"/>
          <w:sz w:val="24"/>
          <w14:textFill>
            <w14:solidFill>
              <w14:schemeClr w14:val="tx1"/>
            </w14:solidFill>
          </w14:textFill>
        </w:rPr>
        <w:t>施工</w:t>
      </w:r>
      <w:r>
        <w:rPr>
          <w:rFonts w:hint="eastAsia" w:ascii="仿宋" w:hAnsi="仿宋" w:eastAsia="仿宋"/>
          <w:color w:val="000000" w:themeColor="text1"/>
          <w:sz w:val="24"/>
          <w14:textFill>
            <w14:solidFill>
              <w14:schemeClr w14:val="tx1"/>
            </w14:solidFill>
          </w14:textFill>
        </w:rPr>
        <w:t>过程中</w:t>
      </w:r>
      <w:r>
        <w:rPr>
          <w:rFonts w:ascii="仿宋" w:hAnsi="仿宋" w:eastAsia="仿宋"/>
          <w:color w:val="000000" w:themeColor="text1"/>
          <w:sz w:val="24"/>
          <w14:textFill>
            <w14:solidFill>
              <w14:schemeClr w14:val="tx1"/>
            </w14:solidFill>
          </w14:textFill>
        </w:rPr>
        <w:t>，根据现场顶板</w:t>
      </w:r>
      <w:r>
        <w:rPr>
          <w:rFonts w:hint="eastAsia" w:ascii="仿宋" w:hAnsi="仿宋" w:eastAsia="仿宋"/>
          <w:color w:val="000000" w:themeColor="text1"/>
          <w:sz w:val="24"/>
          <w14:textFill>
            <w14:solidFill>
              <w14:schemeClr w14:val="tx1"/>
            </w14:solidFill>
          </w14:textFill>
        </w:rPr>
        <w:t>岩性</w:t>
      </w:r>
      <w:r>
        <w:rPr>
          <w:rFonts w:ascii="仿宋" w:hAnsi="仿宋" w:eastAsia="仿宋"/>
          <w:color w:val="000000" w:themeColor="text1"/>
          <w:sz w:val="24"/>
          <w14:textFill>
            <w14:solidFill>
              <w14:schemeClr w14:val="tx1"/>
            </w14:solidFill>
          </w14:textFill>
        </w:rPr>
        <w:t>情况，可对顶板预裂孔参数</w:t>
      </w:r>
      <w:r>
        <w:rPr>
          <w:rFonts w:hint="eastAsia" w:ascii="仿宋" w:hAnsi="仿宋" w:eastAsia="仿宋"/>
          <w:color w:val="000000" w:themeColor="text1"/>
          <w:sz w:val="24"/>
          <w14:textFill>
            <w14:solidFill>
              <w14:schemeClr w14:val="tx1"/>
            </w14:solidFill>
          </w14:textFill>
        </w:rPr>
        <w:t>进行</w:t>
      </w:r>
      <w:r>
        <w:rPr>
          <w:rFonts w:ascii="仿宋" w:hAnsi="仿宋" w:eastAsia="仿宋"/>
          <w:color w:val="000000" w:themeColor="text1"/>
          <w:sz w:val="24"/>
          <w14:textFill>
            <w14:solidFill>
              <w14:schemeClr w14:val="tx1"/>
            </w14:solidFill>
          </w14:textFill>
        </w:rPr>
        <w:t>优化，保证顶板预裂爆破效果。</w:t>
      </w:r>
      <w:r>
        <w:rPr>
          <w:rFonts w:hint="eastAsia" w:ascii="仿宋" w:hAnsi="仿宋" w:eastAsia="仿宋"/>
          <w:color w:val="000000" w:themeColor="text1"/>
          <w:sz w:val="24"/>
          <w14:textFill>
            <w14:solidFill>
              <w14:schemeClr w14:val="tx1"/>
            </w14:solidFill>
          </w14:textFill>
        </w:rPr>
        <w:t>若爆破段</w:t>
      </w:r>
      <w:r>
        <w:rPr>
          <w:rFonts w:ascii="仿宋" w:hAnsi="仿宋" w:eastAsia="仿宋"/>
          <w:color w:val="000000" w:themeColor="text1"/>
          <w:sz w:val="24"/>
          <w14:textFill>
            <w14:solidFill>
              <w14:schemeClr w14:val="tx1"/>
            </w14:solidFill>
          </w14:textFill>
        </w:rPr>
        <w:t>巷道高度较高</w:t>
      </w:r>
      <w:r>
        <w:rPr>
          <w:rFonts w:hint="eastAsia" w:ascii="仿宋" w:hAnsi="仿宋" w:eastAsia="仿宋"/>
          <w:color w:val="000000" w:themeColor="text1"/>
          <w:sz w:val="24"/>
          <w14:textFill>
            <w14:solidFill>
              <w14:schemeClr w14:val="tx1"/>
            </w14:solidFill>
          </w14:textFill>
        </w:rPr>
        <w:t>，施工及装药存在较大安全隐患、泥岩较多或孔内出水无法装药，可跳过或取消此段爆破钻孔施工</w:t>
      </w:r>
      <w:r>
        <w:rPr>
          <w:rFonts w:ascii="仿宋" w:hAnsi="仿宋" w:eastAsia="仿宋"/>
          <w:color w:val="000000" w:themeColor="text1"/>
          <w:sz w:val="24"/>
          <w14:textFill>
            <w14:solidFill>
              <w14:schemeClr w14:val="tx1"/>
            </w14:solidFill>
          </w14:textFill>
        </w:rPr>
        <w:t>。</w:t>
      </w:r>
    </w:p>
    <w:p>
      <w:pPr>
        <w:keepNext w:val="0"/>
        <w:keepLines w:val="0"/>
        <w:pageBreakBefore w:val="0"/>
        <w:widowControl w:val="0"/>
        <w:tabs>
          <w:tab w:val="left" w:pos="432"/>
          <w:tab w:val="left" w:pos="567"/>
          <w:tab w:val="left" w:pos="718"/>
          <w:tab w:val="left" w:pos="1002"/>
        </w:tabs>
        <w:kinsoku/>
        <w:wordWrap/>
        <w:overflowPunct/>
        <w:topLinePunct w:val="0"/>
        <w:autoSpaceDE/>
        <w:autoSpaceDN/>
        <w:bidi w:val="0"/>
        <w:adjustRightInd/>
        <w:snapToGrid w:val="0"/>
        <w:spacing w:line="360" w:lineRule="auto"/>
        <w:ind w:firstLine="0" w:firstLineChars="0"/>
        <w:textAlignment w:val="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w:t>
      </w:r>
      <w:r>
        <w:rPr>
          <w:rFonts w:ascii="仿宋" w:hAnsi="仿宋" w:eastAsia="仿宋"/>
          <w:b/>
          <w:color w:val="000000" w:themeColor="text1"/>
          <w:sz w:val="24"/>
          <w14:textFill>
            <w14:solidFill>
              <w14:schemeClr w14:val="tx1"/>
            </w14:solidFill>
          </w14:textFill>
        </w:rPr>
        <w:t>卸压解危方案</w:t>
      </w:r>
      <w:bookmarkEnd w:id="450"/>
      <w:bookmarkStart w:id="451" w:name="_Toc15062"/>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回采期间每天对监测数据进行分析，</w:t>
      </w:r>
      <w:r>
        <w:rPr>
          <w:rFonts w:hint="eastAsia" w:ascii="仿宋" w:hAnsi="仿宋" w:eastAsia="仿宋"/>
          <w:color w:val="000000" w:themeColor="text1"/>
          <w:sz w:val="24"/>
          <w14:textFill>
            <w14:solidFill>
              <w14:schemeClr w14:val="tx1"/>
            </w14:solidFill>
          </w14:textFill>
        </w:rPr>
        <w:t>经微震、地音、应力在线等监测方法综合判定为具有冲击危险的区域，应立即向矿调度室和</w:t>
      </w:r>
      <w:r>
        <w:rPr>
          <w:rFonts w:hint="eastAsia" w:ascii="仿宋" w:hAnsi="仿宋" w:eastAsia="仿宋"/>
          <w:color w:val="000000" w:themeColor="text1"/>
          <w:sz w:val="24"/>
          <w:lang w:val="en-US" w:eastAsia="zh-CN"/>
          <w14:textFill>
            <w14:solidFill>
              <w14:schemeClr w14:val="tx1"/>
            </w14:solidFill>
          </w14:textFill>
        </w:rPr>
        <w:t>防冲办</w:t>
      </w:r>
      <w:r>
        <w:rPr>
          <w:rFonts w:hint="eastAsia" w:ascii="仿宋" w:hAnsi="仿宋" w:eastAsia="仿宋"/>
          <w:color w:val="000000" w:themeColor="text1"/>
          <w:sz w:val="24"/>
          <w14:textFill>
            <w14:solidFill>
              <w14:schemeClr w14:val="tx1"/>
            </w14:solidFill>
          </w14:textFill>
        </w:rPr>
        <w:t>汇报，及时对危险区域进行解危处理，且解危卸压施工时应当撤出该区域内与解危卸压施工无关的人员，停止运转与解危卸压施工无关的设备；解危后经</w:t>
      </w:r>
      <w:r>
        <w:rPr>
          <w:rFonts w:hint="eastAsia" w:ascii="仿宋" w:hAnsi="仿宋" w:eastAsia="仿宋"/>
          <w:color w:val="000000" w:themeColor="text1"/>
          <w:sz w:val="24"/>
          <w:lang w:val="en-US" w:eastAsia="zh-CN"/>
          <w14:textFill>
            <w14:solidFill>
              <w14:schemeClr w14:val="tx1"/>
            </w14:solidFill>
          </w14:textFill>
        </w:rPr>
        <w:t>效果</w:t>
      </w:r>
      <w:r>
        <w:rPr>
          <w:rFonts w:hint="eastAsia" w:ascii="仿宋" w:hAnsi="仿宋" w:eastAsia="仿宋"/>
          <w:color w:val="000000" w:themeColor="text1"/>
          <w:sz w:val="24"/>
          <w14:textFill>
            <w14:solidFill>
              <w14:schemeClr w14:val="tx1"/>
            </w14:solidFill>
          </w14:textFill>
        </w:rPr>
        <w:t>检验，仍然存在冲击危险的区域，必须继续进行解危处理，直至冲击危险消除为止。</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卸压解危的手段主要包括采用大直径钻孔卸压、煤体爆破卸压等手段进行卸压解危处理，优先采用钻孔卸压，在钻孔卸压不能起到解危效果时，采用爆破卸压，并编制专项措施</w:t>
      </w:r>
      <w:r>
        <w:rPr>
          <w:rFonts w:ascii="仿宋" w:hAnsi="仿宋" w:eastAsia="仿宋"/>
          <w:color w:val="000000" w:themeColor="text1"/>
          <w:sz w:val="24"/>
          <w14:textFill>
            <w14:solidFill>
              <w14:schemeClr w14:val="tx1"/>
            </w14:solidFill>
          </w14:textFill>
        </w:rPr>
        <w:t>。</w:t>
      </w:r>
    </w:p>
    <w:p>
      <w:pPr>
        <w:keepNext w:val="0"/>
        <w:keepLines w:val="0"/>
        <w:pageBreakBefore w:val="0"/>
        <w:widowControl w:val="0"/>
        <w:numPr>
          <w:ilvl w:val="1"/>
          <w:numId w:val="0"/>
        </w:numPr>
        <w:tabs>
          <w:tab w:val="left" w:pos="432"/>
          <w:tab w:val="left" w:pos="567"/>
          <w:tab w:val="left" w:pos="718"/>
          <w:tab w:val="left" w:pos="1002"/>
        </w:tabs>
        <w:kinsoku/>
        <w:wordWrap/>
        <w:overflowPunct/>
        <w:topLinePunct w:val="0"/>
        <w:autoSpaceDE/>
        <w:autoSpaceDN/>
        <w:bidi w:val="0"/>
        <w:adjustRightInd/>
        <w:snapToGrid w:val="0"/>
        <w:spacing w:line="360" w:lineRule="auto"/>
        <w:textAlignment w:val="auto"/>
        <w:outlineLvl w:val="2"/>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w:t>
      </w:r>
      <w:bookmarkEnd w:id="440"/>
      <w:bookmarkEnd w:id="449"/>
      <w:bookmarkEnd w:id="451"/>
      <w:r>
        <w:rPr>
          <w:rFonts w:ascii="仿宋" w:hAnsi="仿宋" w:eastAsia="仿宋"/>
          <w:b/>
          <w:color w:val="000000" w:themeColor="text1"/>
          <w:sz w:val="24"/>
          <w14:textFill>
            <w14:solidFill>
              <w14:schemeClr w14:val="tx1"/>
            </w14:solidFill>
          </w14:textFill>
        </w:rPr>
        <w:t>大直径钻孔解危卸压</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如果监测到危险后，应对危险区域进行冲击地压解危处理。采用大直径钻孔进行卸压，钻孔参数：孔径不得大于125mm，孔深不小于25m，在预卸压孔中间进行加密卸压，卸压范围为异常区域前后</w:t>
      </w:r>
      <w:r>
        <w:rPr>
          <w:rFonts w:ascii="仿宋" w:hAnsi="仿宋" w:eastAsia="仿宋"/>
          <w:color w:val="000000" w:themeColor="text1"/>
          <w:sz w:val="24"/>
          <w14:textFill>
            <w14:solidFill>
              <w14:schemeClr w14:val="tx1"/>
            </w14:solidFill>
          </w14:textFill>
        </w:rPr>
        <w:t>15m位置</w:t>
      </w:r>
      <w:r>
        <w:rPr>
          <w:rFonts w:hint="eastAsia" w:ascii="仿宋" w:hAnsi="仿宋" w:eastAsia="仿宋"/>
          <w:color w:val="000000" w:themeColor="text1"/>
          <w:sz w:val="24"/>
          <w14:textFill>
            <w14:solidFill>
              <w14:schemeClr w14:val="tx1"/>
            </w14:solidFill>
          </w14:textFill>
        </w:rPr>
        <w:t>，垂直巷道走向、平行于煤层层面进行施工。卸压孔打完后，必须进行解危效果检验，检验手段可以采用钻屑法、微震法、地音、应力在线法等。经效果检验确认冲击危险消除后，下发预警解除通知单后方可恢复生产。如在解危过程中矿压显现明显，则撤至危险区域300m范围以外安全地带待矿压稳定后再继续解危卸压。</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由外向里施工，在距危险区域一侧15m位置，按照设计解危卸压钻孔间距逐渐向危险区域施工，直至冲击危险区域另一侧15m位置。若应力集中程度较高，大直径钻孔施工速度慢或解危效果不明显时，应当实施煤层爆破解危卸压措施</w:t>
      </w:r>
      <w:r>
        <w:rPr>
          <w:rFonts w:ascii="仿宋" w:hAnsi="仿宋" w:eastAsia="仿宋" w:cs="仿宋"/>
          <w:color w:val="000000" w:themeColor="text1"/>
          <w:sz w:val="24"/>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snapToGrid w:val="0"/>
        <w:spacing w:after="0" w:line="360" w:lineRule="auto"/>
        <w:ind w:firstLine="0" w:firstLineChars="0"/>
        <w:textAlignment w:val="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w:t>
      </w:r>
      <w:r>
        <w:rPr>
          <w:rFonts w:ascii="仿宋" w:hAnsi="仿宋" w:eastAsia="仿宋"/>
          <w:b/>
          <w:color w:val="000000" w:themeColor="text1"/>
          <w:sz w:val="24"/>
          <w14:textFill>
            <w14:solidFill>
              <w14:schemeClr w14:val="tx1"/>
            </w14:solidFill>
          </w14:textFill>
        </w:rPr>
        <w:t>煤体爆破解危卸压</w:t>
      </w:r>
    </w:p>
    <w:bookmarkEnd w:id="441"/>
    <w:bookmarkEnd w:id="442"/>
    <w:bookmarkEnd w:id="443"/>
    <w:bookmarkEnd w:id="444"/>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仿宋" w:hAnsi="仿宋" w:eastAsia="仿宋"/>
          <w:color w:val="000000" w:themeColor="text1"/>
          <w:sz w:val="24"/>
          <w14:textFill>
            <w14:solidFill>
              <w14:schemeClr w14:val="tx1"/>
            </w14:solidFill>
          </w14:textFill>
        </w:rPr>
      </w:pPr>
      <w:bookmarkStart w:id="452" w:name="_Toc10379"/>
      <w:bookmarkStart w:id="453" w:name="_Toc527720682"/>
      <w:bookmarkStart w:id="454" w:name="_Toc527720686"/>
      <w:bookmarkStart w:id="455" w:name="_Toc527643183"/>
      <w:bookmarkStart w:id="456" w:name="_Toc32695"/>
      <w:bookmarkStart w:id="457" w:name="_Toc23943"/>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煤体爆破原理</w:t>
      </w:r>
      <w:bookmarkEnd w:id="452"/>
      <w:bookmarkEnd w:id="453"/>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strike/>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煤体爆破卸压可以在煤岩体中形成卸压带，使支承压力峰值向煤岩体深部转移，并释放一部分积聚的弹性能，从而达到在巷道或工作面附近卸压，消除冲击地压危险的作用。</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仿宋" w:hAnsi="仿宋" w:eastAsia="仿宋"/>
          <w:color w:val="000000" w:themeColor="text1"/>
          <w:sz w:val="24"/>
          <w14:textFill>
            <w14:solidFill>
              <w14:schemeClr w14:val="tx1"/>
            </w14:solidFill>
          </w14:textFill>
        </w:rPr>
      </w:pPr>
      <w:bookmarkStart w:id="458" w:name="_Toc2510"/>
      <w:bookmarkStart w:id="459" w:name="_Toc527720683"/>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煤体爆破实施方法</w:t>
      </w:r>
      <w:bookmarkEnd w:id="458"/>
      <w:bookmarkEnd w:id="459"/>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bCs/>
          <w:color w:val="000000" w:themeColor="text1"/>
          <w:sz w:val="24"/>
          <w14:textFill>
            <w14:solidFill>
              <w14:schemeClr w14:val="tx1"/>
            </w14:solidFill>
          </w14:textFill>
        </w:rPr>
      </w:pPr>
      <w:bookmarkStart w:id="460" w:name="_Ref486410155"/>
      <w:r>
        <w:rPr>
          <w:rFonts w:hint="eastAsia" w:ascii="仿宋" w:hAnsi="仿宋" w:eastAsia="仿宋"/>
          <w:bCs/>
          <w:color w:val="000000" w:themeColor="text1"/>
          <w:sz w:val="24"/>
          <w14:textFill>
            <w14:solidFill>
              <w14:schemeClr w14:val="tx1"/>
            </w14:solidFill>
          </w14:textFill>
        </w:rPr>
        <w:t>①</w:t>
      </w:r>
      <w:r>
        <w:rPr>
          <w:rFonts w:ascii="仿宋" w:hAnsi="仿宋" w:eastAsia="仿宋"/>
          <w:bCs/>
          <w:color w:val="000000" w:themeColor="text1"/>
          <w:sz w:val="24"/>
          <w14:textFill>
            <w14:solidFill>
              <w14:schemeClr w14:val="tx1"/>
            </w14:solidFill>
          </w14:textFill>
        </w:rPr>
        <w:t>爆破孔布置参数</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kern w:val="0"/>
          <w:sz w:val="24"/>
          <w14:textFill>
            <w14:solidFill>
              <w14:schemeClr w14:val="tx1"/>
            </w14:solidFill>
          </w14:textFill>
        </w:rPr>
      </w:pPr>
      <w:r>
        <w:rPr>
          <w:rFonts w:ascii="仿宋" w:hAnsi="仿宋" w:eastAsia="仿宋"/>
          <w:color w:val="000000" w:themeColor="text1"/>
          <w:kern w:val="0"/>
          <w:sz w:val="24"/>
          <w14:textFill>
            <w14:solidFill>
              <w14:schemeClr w14:val="tx1"/>
            </w14:solidFill>
          </w14:textFill>
        </w:rPr>
        <w:t>分别在两帮</w:t>
      </w:r>
      <w:r>
        <w:rPr>
          <w:rFonts w:ascii="仿宋" w:hAnsi="仿宋" w:eastAsia="仿宋"/>
          <w:color w:val="000000" w:themeColor="text1"/>
          <w:sz w:val="24"/>
          <w14:textFill>
            <w14:solidFill>
              <w14:schemeClr w14:val="tx1"/>
            </w14:solidFill>
          </w14:textFill>
        </w:rPr>
        <w:t>监测</w:t>
      </w:r>
      <w:r>
        <w:rPr>
          <w:rFonts w:ascii="仿宋" w:hAnsi="仿宋" w:eastAsia="仿宋"/>
          <w:color w:val="000000" w:themeColor="text1"/>
          <w:kern w:val="0"/>
          <w:sz w:val="24"/>
          <w14:textFill>
            <w14:solidFill>
              <w14:schemeClr w14:val="tx1"/>
            </w14:solidFill>
          </w14:textFill>
        </w:rPr>
        <w:t>危险区域前后各20m进行爆破卸压，爆破孔深12m，孔径45mm，孔间距2</w:t>
      </w:r>
      <w:r>
        <w:rPr>
          <w:rFonts w:hint="eastAsia" w:ascii="仿宋" w:hAnsi="仿宋" w:eastAsia="仿宋"/>
          <w:color w:val="000000" w:themeColor="text1"/>
          <w:kern w:val="0"/>
          <w:sz w:val="24"/>
          <w:lang w:val="en-US" w:eastAsia="zh-CN"/>
          <w14:textFill>
            <w14:solidFill>
              <w14:schemeClr w14:val="tx1"/>
            </w14:solidFill>
          </w14:textFill>
        </w:rPr>
        <w:t>-</w:t>
      </w:r>
      <w:r>
        <w:rPr>
          <w:rFonts w:ascii="仿宋" w:hAnsi="仿宋" w:eastAsia="仿宋"/>
          <w:color w:val="000000" w:themeColor="text1"/>
          <w:kern w:val="0"/>
          <w:sz w:val="24"/>
          <w14:textFill>
            <w14:solidFill>
              <w14:schemeClr w14:val="tx1"/>
            </w14:solidFill>
          </w14:textFill>
        </w:rPr>
        <w:t>5m，单孔装药量</w:t>
      </w:r>
      <w:r>
        <w:rPr>
          <w:rFonts w:hint="eastAsia" w:ascii="仿宋" w:hAnsi="仿宋" w:eastAsia="仿宋"/>
          <w:color w:val="000000" w:themeColor="text1"/>
          <w:kern w:val="0"/>
          <w:sz w:val="24"/>
          <w14:textFill>
            <w14:solidFill>
              <w14:schemeClr w14:val="tx1"/>
            </w14:solidFill>
          </w14:textFill>
        </w:rPr>
        <w:t>不超过</w:t>
      </w:r>
      <w:r>
        <w:rPr>
          <w:rFonts w:ascii="仿宋" w:hAnsi="仿宋" w:eastAsia="仿宋"/>
          <w:color w:val="000000" w:themeColor="text1"/>
          <w:kern w:val="0"/>
          <w:sz w:val="24"/>
          <w14:textFill>
            <w14:solidFill>
              <w14:schemeClr w14:val="tx1"/>
            </w14:solidFill>
          </w14:textFill>
        </w:rPr>
        <w:t>5kg</w:t>
      </w:r>
      <w:r>
        <w:rPr>
          <w:rFonts w:ascii="仿宋" w:hAnsi="仿宋" w:eastAsia="仿宋"/>
          <w:color w:val="000000" w:themeColor="text1"/>
          <w:sz w:val="24"/>
          <w14:textFill>
            <w14:solidFill>
              <w14:schemeClr w14:val="tx1"/>
            </w14:solidFill>
          </w14:textFill>
        </w:rPr>
        <w:t>（可根据实际爆破效果动态调整），炸药使用普通矿用乳化炸药，</w:t>
      </w:r>
      <w:r>
        <w:rPr>
          <w:rFonts w:ascii="仿宋" w:hAnsi="仿宋" w:eastAsia="仿宋"/>
          <w:color w:val="000000" w:themeColor="text1"/>
          <w:kern w:val="0"/>
          <w:sz w:val="24"/>
          <w14:textFill>
            <w14:solidFill>
              <w14:schemeClr w14:val="tx1"/>
            </w14:solidFill>
          </w14:textFill>
        </w:rPr>
        <w:t>封孔长度不小于7m。</w:t>
      </w:r>
      <w:r>
        <w:rPr>
          <w:rFonts w:ascii="仿宋" w:hAnsi="仿宋" w:eastAsia="仿宋"/>
          <w:color w:val="000000" w:themeColor="text1"/>
          <w:sz w:val="24"/>
          <w14:textFill>
            <w14:solidFill>
              <w14:schemeClr w14:val="tx1"/>
            </w14:solidFill>
          </w14:textFill>
        </w:rPr>
        <w:t>正向装药，每孔2支雷管，利用黄泥和水泥药卷封孔，一次最多允许同时起爆3个孔。</w:t>
      </w:r>
      <w:r>
        <w:rPr>
          <w:rFonts w:ascii="仿宋" w:hAnsi="仿宋" w:eastAsia="仿宋"/>
          <w:color w:val="000000" w:themeColor="text1"/>
          <w:kern w:val="0"/>
          <w:sz w:val="24"/>
          <w14:textFill>
            <w14:solidFill>
              <w14:schemeClr w14:val="tx1"/>
            </w14:solidFill>
          </w14:textFill>
        </w:rPr>
        <w:t>煤体爆破钻孔布置图如图</w:t>
      </w:r>
      <w:r>
        <w:rPr>
          <w:rFonts w:hint="eastAsia" w:ascii="仿宋" w:hAnsi="仿宋" w:eastAsia="仿宋"/>
          <w:color w:val="000000" w:themeColor="text1"/>
          <w:kern w:val="0"/>
          <w:sz w:val="24"/>
          <w14:textFill>
            <w14:solidFill>
              <w14:schemeClr w14:val="tx1"/>
            </w14:solidFill>
          </w14:textFill>
        </w:rPr>
        <w:t>21</w:t>
      </w:r>
      <w:r>
        <w:rPr>
          <w:rFonts w:ascii="仿宋" w:hAnsi="仿宋" w:eastAsia="仿宋"/>
          <w:color w:val="000000" w:themeColor="text1"/>
          <w:kern w:val="0"/>
          <w:sz w:val="24"/>
          <w14:textFill>
            <w14:solidFill>
              <w14:schemeClr w14:val="tx1"/>
            </w14:solidFill>
          </w14:textFill>
        </w:rPr>
        <w:t>所示，具体参数如表</w:t>
      </w:r>
      <w:r>
        <w:rPr>
          <w:rFonts w:hint="eastAsia" w:ascii="仿宋" w:hAnsi="仿宋" w:eastAsia="仿宋"/>
          <w:color w:val="000000" w:themeColor="text1"/>
          <w:kern w:val="0"/>
          <w:sz w:val="24"/>
          <w14:textFill>
            <w14:solidFill>
              <w14:schemeClr w14:val="tx1"/>
            </w14:solidFill>
          </w14:textFill>
        </w:rPr>
        <w:t>31</w:t>
      </w:r>
      <w:r>
        <w:rPr>
          <w:rFonts w:ascii="仿宋" w:hAnsi="仿宋" w:eastAsia="仿宋"/>
          <w:color w:val="000000" w:themeColor="text1"/>
          <w:kern w:val="0"/>
          <w:sz w:val="24"/>
          <w14:textFill>
            <w14:solidFill>
              <w14:schemeClr w14:val="tx1"/>
            </w14:solidFill>
          </w14:textFill>
        </w:rPr>
        <w:t>所示。</w:t>
      </w:r>
    </w:p>
    <w:p>
      <w:pPr>
        <w:pStyle w:val="80"/>
        <w:ind w:firstLine="42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114300" distR="114300">
            <wp:extent cx="2623185" cy="1836420"/>
            <wp:effectExtent l="0" t="0" r="5715" b="0"/>
            <wp:docPr id="54" name="图片 54" descr="钻屑异常区域卸压爆破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钻屑异常区域卸压爆破布置图"/>
                    <pic:cNvPicPr>
                      <a:picLocks noChangeAspect="1"/>
                    </pic:cNvPicPr>
                  </pic:nvPicPr>
                  <pic:blipFill>
                    <a:blip r:embed="rId46"/>
                    <a:stretch>
                      <a:fillRect/>
                    </a:stretch>
                  </pic:blipFill>
                  <pic:spPr>
                    <a:xfrm>
                      <a:off x="0" y="0"/>
                      <a:ext cx="2627342" cy="1839518"/>
                    </a:xfrm>
                    <a:prstGeom prst="rect">
                      <a:avLst/>
                    </a:prstGeom>
                  </pic:spPr>
                </pic:pic>
              </a:graphicData>
            </a:graphic>
          </wp:inline>
        </w:drawing>
      </w:r>
    </w:p>
    <w:p>
      <w:pPr>
        <w:pStyle w:val="81"/>
        <w:spacing w:line="240" w:lineRule="atLeast"/>
        <w:ind w:firstLine="420"/>
        <w:rPr>
          <w:rFonts w:ascii="仿宋" w:hAnsi="仿宋" w:eastAsia="仿宋"/>
          <w:b w:val="0"/>
          <w:color w:val="000000" w:themeColor="text1"/>
          <w14:textFill>
            <w14:solidFill>
              <w14:schemeClr w14:val="tx1"/>
            </w14:solidFill>
          </w14:textFill>
        </w:rPr>
      </w:pPr>
      <w:bookmarkStart w:id="461" w:name="_Ref426718092"/>
      <w:r>
        <w:rPr>
          <w:rFonts w:ascii="仿宋" w:hAnsi="仿宋" w:eastAsia="仿宋"/>
          <w:b w:val="0"/>
          <w:color w:val="000000" w:themeColor="text1"/>
          <w14:textFill>
            <w14:solidFill>
              <w14:schemeClr w14:val="tx1"/>
            </w14:solidFill>
          </w14:textFill>
        </w:rPr>
        <w:t>图</w:t>
      </w:r>
      <w:bookmarkEnd w:id="461"/>
      <w:r>
        <w:rPr>
          <w:rFonts w:hint="eastAsia" w:ascii="仿宋" w:hAnsi="仿宋" w:eastAsia="仿宋"/>
          <w:b w:val="0"/>
          <w:color w:val="000000" w:themeColor="text1"/>
          <w14:textFill>
            <w14:solidFill>
              <w14:schemeClr w14:val="tx1"/>
            </w14:solidFill>
          </w14:textFill>
        </w:rPr>
        <w:t xml:space="preserve">21  </w:t>
      </w:r>
      <w:r>
        <w:rPr>
          <w:rFonts w:ascii="仿宋" w:hAnsi="仿宋" w:eastAsia="仿宋"/>
          <w:b w:val="0"/>
          <w:color w:val="000000" w:themeColor="text1"/>
          <w14:textFill>
            <w14:solidFill>
              <w14:schemeClr w14:val="tx1"/>
            </w14:solidFill>
          </w14:textFill>
        </w:rPr>
        <w:t>钻屑异常区域卸压爆破钻孔布置图</w:t>
      </w:r>
    </w:p>
    <w:p>
      <w:pPr>
        <w:pStyle w:val="80"/>
        <w:spacing w:line="240" w:lineRule="atLeast"/>
        <w:ind w:firstLine="420"/>
        <w:rPr>
          <w:rFonts w:ascii="仿宋" w:hAnsi="仿宋" w:eastAsia="仿宋"/>
          <w:color w:val="000000" w:themeColor="text1"/>
          <w:szCs w:val="21"/>
          <w14:textFill>
            <w14:solidFill>
              <w14:schemeClr w14:val="tx1"/>
            </w14:solidFill>
          </w14:textFill>
        </w:rPr>
      </w:pPr>
    </w:p>
    <w:p>
      <w:pPr>
        <w:pStyle w:val="81"/>
        <w:spacing w:line="240" w:lineRule="atLeast"/>
        <w:ind w:firstLine="420"/>
        <w:rPr>
          <w:rFonts w:ascii="仿宋" w:hAnsi="仿宋" w:eastAsia="仿宋"/>
          <w:b w:val="0"/>
          <w:color w:val="000000" w:themeColor="text1"/>
          <w14:textFill>
            <w14:solidFill>
              <w14:schemeClr w14:val="tx1"/>
            </w14:solidFill>
          </w14:textFill>
        </w:rPr>
      </w:pPr>
      <w:r>
        <w:rPr>
          <w:rFonts w:ascii="仿宋" w:hAnsi="仿宋" w:eastAsia="仿宋"/>
          <w:b w:val="0"/>
          <w:color w:val="000000" w:themeColor="text1"/>
          <w14:textFill>
            <w14:solidFill>
              <w14:schemeClr w14:val="tx1"/>
            </w14:solidFill>
          </w14:textFill>
        </w:rPr>
        <w:t>表</w:t>
      </w:r>
      <w:bookmarkEnd w:id="460"/>
      <w:r>
        <w:rPr>
          <w:rFonts w:hint="eastAsia" w:ascii="仿宋" w:hAnsi="仿宋" w:eastAsia="仿宋"/>
          <w:b w:val="0"/>
          <w:color w:val="000000" w:themeColor="text1"/>
          <w14:textFill>
            <w14:solidFill>
              <w14:schemeClr w14:val="tx1"/>
            </w14:solidFill>
          </w14:textFill>
        </w:rPr>
        <w:t xml:space="preserve">31  </w:t>
      </w:r>
      <w:r>
        <w:rPr>
          <w:rFonts w:ascii="仿宋" w:hAnsi="仿宋" w:eastAsia="仿宋"/>
          <w:b w:val="0"/>
          <w:color w:val="000000" w:themeColor="text1"/>
          <w14:textFill>
            <w14:solidFill>
              <w14:schemeClr w14:val="tx1"/>
            </w14:solidFill>
          </w14:textFill>
        </w:rPr>
        <w:t>巷道两帮煤体爆破卸压参数</w:t>
      </w:r>
    </w:p>
    <w:tbl>
      <w:tblPr>
        <w:tblStyle w:val="36"/>
        <w:tblW w:w="5007" w:type="pct"/>
        <w:tblInd w:w="0" w:type="dxa"/>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274"/>
        <w:gridCol w:w="1429"/>
        <w:gridCol w:w="1424"/>
        <w:gridCol w:w="1240"/>
        <w:gridCol w:w="1626"/>
        <w:gridCol w:w="1470"/>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87" w:hRule="atLeast"/>
        </w:trPr>
        <w:tc>
          <w:tcPr>
            <w:tcW w:w="752"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施工位置</w:t>
            </w:r>
          </w:p>
        </w:tc>
        <w:tc>
          <w:tcPr>
            <w:tcW w:w="844"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长度/m</w:t>
            </w:r>
          </w:p>
        </w:tc>
        <w:tc>
          <w:tcPr>
            <w:tcW w:w="841"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角度/°</w:t>
            </w:r>
          </w:p>
        </w:tc>
        <w:tc>
          <w:tcPr>
            <w:tcW w:w="732"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孔径/mm</w:t>
            </w:r>
          </w:p>
        </w:tc>
        <w:tc>
          <w:tcPr>
            <w:tcW w:w="960"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装药量</w:t>
            </w:r>
          </w:p>
        </w:tc>
        <w:tc>
          <w:tcPr>
            <w:tcW w:w="868"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封孔长度</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87" w:hRule="atLeast"/>
        </w:trPr>
        <w:tc>
          <w:tcPr>
            <w:tcW w:w="752"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煤体爆破孔</w:t>
            </w:r>
          </w:p>
        </w:tc>
        <w:tc>
          <w:tcPr>
            <w:tcW w:w="844"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12</w:t>
            </w:r>
          </w:p>
        </w:tc>
        <w:tc>
          <w:tcPr>
            <w:tcW w:w="841"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顺煤层布置</w:t>
            </w:r>
          </w:p>
        </w:tc>
        <w:tc>
          <w:tcPr>
            <w:tcW w:w="732"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45</w:t>
            </w:r>
          </w:p>
        </w:tc>
        <w:tc>
          <w:tcPr>
            <w:tcW w:w="960"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不超过</w:t>
            </w:r>
            <w:r>
              <w:rPr>
                <w:rFonts w:hint="eastAsia" w:ascii="仿宋" w:hAnsi="仿宋" w:eastAsia="仿宋"/>
                <w:color w:val="000000" w:themeColor="text1"/>
                <w:szCs w:val="21"/>
                <w14:textFill>
                  <w14:solidFill>
                    <w14:schemeClr w14:val="tx1"/>
                  </w14:solidFill>
                </w14:textFill>
              </w:rPr>
              <w:t>5kg</w:t>
            </w:r>
          </w:p>
        </w:tc>
        <w:tc>
          <w:tcPr>
            <w:tcW w:w="868" w:type="pct"/>
            <w:vAlign w:val="center"/>
          </w:tcPr>
          <w:p>
            <w:pPr>
              <w:snapToGrid w:val="0"/>
              <w:spacing w:line="240" w:lineRule="atLeast"/>
              <w:ind w:firstLine="0" w:firstLineChars="0"/>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≥7m</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具体要求</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bookmarkStart w:id="462" w:name="_Toc527720685"/>
      <w:bookmarkStart w:id="463" w:name="_Toc513023843"/>
      <w:bookmarkStart w:id="464" w:name="_Toc28071"/>
      <w:bookmarkStart w:id="465" w:name="_Toc523150487"/>
      <w:r>
        <w:rPr>
          <w:rFonts w:hint="eastAsia" w:ascii="仿宋" w:hAnsi="仿宋" w:eastAsia="仿宋"/>
          <w:color w:val="000000" w:themeColor="text1"/>
          <w:sz w:val="24"/>
          <w14:textFill>
            <w14:solidFill>
              <w14:schemeClr w14:val="tx1"/>
            </w14:solidFill>
          </w14:textFill>
        </w:rPr>
        <w:t>a、</w:t>
      </w:r>
      <w:r>
        <w:rPr>
          <w:rFonts w:ascii="仿宋" w:hAnsi="仿宋" w:eastAsia="仿宋"/>
          <w:color w:val="000000" w:themeColor="text1"/>
          <w:sz w:val="24"/>
          <w14:textFill>
            <w14:solidFill>
              <w14:schemeClr w14:val="tx1"/>
            </w14:solidFill>
          </w14:textFill>
        </w:rPr>
        <w:t>实施爆破时必须</w:t>
      </w:r>
      <w:r>
        <w:rPr>
          <w:rFonts w:hint="eastAsia" w:ascii="仿宋" w:hAnsi="仿宋" w:eastAsia="仿宋"/>
          <w:color w:val="000000" w:themeColor="text1"/>
          <w:sz w:val="24"/>
          <w14:textFill>
            <w14:solidFill>
              <w14:schemeClr w14:val="tx1"/>
            </w14:solidFill>
          </w14:textFill>
        </w:rPr>
        <w:t>编制安全技术措施，贯彻后</w:t>
      </w:r>
      <w:r>
        <w:rPr>
          <w:rFonts w:ascii="仿宋" w:hAnsi="仿宋" w:eastAsia="仿宋"/>
          <w:color w:val="000000" w:themeColor="text1"/>
          <w:sz w:val="24"/>
          <w14:textFill>
            <w14:solidFill>
              <w14:schemeClr w14:val="tx1"/>
            </w14:solidFill>
          </w14:textFill>
        </w:rPr>
        <w:t>严格执行。</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b、</w:t>
      </w:r>
      <w:r>
        <w:rPr>
          <w:rFonts w:ascii="仿宋" w:hAnsi="仿宋" w:eastAsia="仿宋"/>
          <w:color w:val="000000" w:themeColor="text1"/>
          <w:sz w:val="24"/>
          <w14:textFill>
            <w14:solidFill>
              <w14:schemeClr w14:val="tx1"/>
            </w14:solidFill>
          </w14:textFill>
        </w:rPr>
        <w:t>爆破施工的安全技术措施必须对孔深、孔径、孔距、药包制作方式及每孔装药量、联炮方式进行详细说明。</w:t>
      </w:r>
    </w:p>
    <w:bookmarkEnd w:id="462"/>
    <w:bookmarkEnd w:id="463"/>
    <w:bookmarkEnd w:id="464"/>
    <w:bookmarkEnd w:id="465"/>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四、</w:t>
      </w:r>
      <w:r>
        <w:rPr>
          <w:rFonts w:ascii="仿宋" w:hAnsi="仿宋" w:eastAsia="仿宋" w:cs="仿宋"/>
          <w:b/>
          <w:bCs/>
          <w:color w:val="000000" w:themeColor="text1"/>
          <w:sz w:val="24"/>
          <w14:textFill>
            <w14:solidFill>
              <w14:schemeClr w14:val="tx1"/>
            </w14:solidFill>
          </w14:textFill>
        </w:rPr>
        <w:t>防治解危措施的效果检验</w:t>
      </w:r>
      <w:bookmarkEnd w:id="454"/>
      <w:bookmarkEnd w:id="455"/>
      <w:bookmarkEnd w:id="456"/>
      <w:bookmarkEnd w:id="457"/>
    </w:p>
    <w:p>
      <w:pPr>
        <w:pStyle w:val="8"/>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《防治煤矿冲击地压细则》第七十五条，冲击地压危险工作面实施解危措施后，必须进行效果检验，确认检验结果小于临界值后，方可进行采掘作业。</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防冲效果检验可采用钻屑法、应力监测法或微震监测法等，防冲效果检验的指标参考监测预警的指标执行。</w:t>
      </w:r>
    </w:p>
    <w:p>
      <w:pPr>
        <w:pStyle w:val="119"/>
        <w:keepNext w:val="0"/>
        <w:keepLines w:val="0"/>
        <w:pageBreakBefore w:val="0"/>
        <w:widowControl w:val="0"/>
        <w:kinsoku/>
        <w:wordWrap/>
        <w:overflowPunct/>
        <w:topLinePunct w:val="0"/>
        <w:autoSpaceDE/>
        <w:autoSpaceDN/>
        <w:bidi w:val="0"/>
        <w:adjustRightInd/>
        <w:snapToGrid w:val="0"/>
        <w:spacing w:line="360" w:lineRule="auto"/>
        <w:textAlignment w:val="auto"/>
        <w:rPr>
          <w:rFonts w:ascii="仿宋" w:hAnsi="仿宋" w:eastAsia="仿宋"/>
          <w:color w:val="000000" w:themeColor="text1"/>
          <w:szCs w:val="24"/>
          <w:lang w:val="en-US"/>
          <w14:textFill>
            <w14:solidFill>
              <w14:schemeClr w14:val="tx1"/>
            </w14:solidFill>
          </w14:textFill>
        </w:rPr>
      </w:pPr>
      <w:r>
        <w:rPr>
          <w:rFonts w:ascii="仿宋" w:hAnsi="仿宋" w:eastAsia="仿宋"/>
          <w:color w:val="000000" w:themeColor="text1"/>
          <w:szCs w:val="24"/>
          <w:lang w:val="en-US"/>
          <w14:textFill>
            <w14:solidFill>
              <w14:schemeClr w14:val="tx1"/>
            </w14:solidFill>
          </w14:textFill>
        </w:rPr>
        <w:t>由于冲击地压的复杂性以及冲击危险区域的相对隐蔽性，冲击地压危险区域实施卸压措施后，冲击危险区域可能未完全消除，或由于应力转移使得邻近区域冲击危险性升高，因此必须及时对卸压效果进行检验。防冲措施的效果检验方法和指标可参照冲击地压危险的监测预警方法和指标。效果检验的方法主要有</w:t>
      </w:r>
      <w:r>
        <w:rPr>
          <w:rFonts w:hint="eastAsia" w:ascii="仿宋" w:hAnsi="仿宋" w:eastAsia="仿宋"/>
          <w:color w:val="000000" w:themeColor="text1"/>
          <w:szCs w:val="24"/>
          <w:lang w:val="en-US"/>
          <w14:textFill>
            <w14:solidFill>
              <w14:schemeClr w14:val="tx1"/>
            </w14:solidFill>
          </w14:textFill>
        </w:rPr>
        <w:t>微震、地音、应力、钻屑监测</w:t>
      </w:r>
      <w:r>
        <w:rPr>
          <w:rFonts w:ascii="仿宋" w:hAnsi="仿宋" w:eastAsia="仿宋"/>
          <w:color w:val="000000" w:themeColor="text1"/>
          <w:szCs w:val="24"/>
          <w:lang w:val="en-US"/>
          <w14:textFill>
            <w14:solidFill>
              <w14:schemeClr w14:val="tx1"/>
            </w14:solidFill>
          </w14:textFill>
        </w:rPr>
        <w:t>等。</w:t>
      </w:r>
      <w:r>
        <w:rPr>
          <w:rFonts w:hint="eastAsia" w:ascii="仿宋" w:hAnsi="仿宋" w:eastAsia="仿宋"/>
          <w:color w:val="000000" w:themeColor="text1"/>
          <w:szCs w:val="24"/>
          <w:lang w:val="en-US"/>
          <w14:textFill>
            <w14:solidFill>
              <w14:schemeClr w14:val="tx1"/>
            </w14:solidFill>
          </w14:textFill>
        </w:rPr>
        <w:t>1303</w:t>
      </w:r>
      <w:r>
        <w:rPr>
          <w:rFonts w:ascii="仿宋" w:hAnsi="仿宋" w:eastAsia="仿宋"/>
          <w:color w:val="000000" w:themeColor="text1"/>
          <w:szCs w:val="24"/>
          <w:lang w:val="en-US"/>
          <w14:textFill>
            <w14:solidFill>
              <w14:schemeClr w14:val="tx1"/>
            </w14:solidFill>
          </w14:textFill>
        </w:rPr>
        <w:t>工作面</w:t>
      </w:r>
      <w:r>
        <w:rPr>
          <w:rFonts w:hint="eastAsia" w:ascii="仿宋" w:hAnsi="仿宋" w:eastAsia="仿宋"/>
          <w:color w:val="000000" w:themeColor="text1"/>
          <w:szCs w:val="24"/>
          <w:lang w:val="en-US"/>
          <w14:textFill>
            <w14:solidFill>
              <w14:schemeClr w14:val="tx1"/>
            </w14:solidFill>
          </w14:textFill>
        </w:rPr>
        <w:t>回采</w:t>
      </w:r>
      <w:r>
        <w:rPr>
          <w:rFonts w:ascii="仿宋" w:hAnsi="仿宋" w:eastAsia="仿宋"/>
          <w:color w:val="000000" w:themeColor="text1"/>
          <w:szCs w:val="24"/>
          <w:lang w:val="en-US"/>
          <w14:textFill>
            <w14:solidFill>
              <w14:schemeClr w14:val="tx1"/>
            </w14:solidFill>
          </w14:textFill>
        </w:rPr>
        <w:t>期间可采用</w:t>
      </w:r>
      <w:r>
        <w:rPr>
          <w:rFonts w:hint="eastAsia" w:ascii="仿宋" w:hAnsi="仿宋" w:eastAsia="仿宋"/>
          <w:color w:val="000000" w:themeColor="text1"/>
          <w:szCs w:val="24"/>
          <w:lang w:val="en-US"/>
          <w14:textFill>
            <w14:solidFill>
              <w14:schemeClr w14:val="tx1"/>
            </w14:solidFill>
          </w14:textFill>
        </w:rPr>
        <w:t>微震、地音监测</w:t>
      </w:r>
      <w:r>
        <w:rPr>
          <w:rFonts w:ascii="仿宋" w:hAnsi="仿宋" w:eastAsia="仿宋"/>
          <w:color w:val="000000" w:themeColor="text1"/>
          <w:szCs w:val="24"/>
          <w:lang w:val="en-US"/>
          <w14:textFill>
            <w14:solidFill>
              <w14:schemeClr w14:val="tx1"/>
            </w14:solidFill>
          </w14:textFill>
        </w:rPr>
        <w:t>、</w:t>
      </w:r>
      <w:r>
        <w:rPr>
          <w:rFonts w:hint="eastAsia" w:ascii="仿宋" w:hAnsi="仿宋" w:eastAsia="仿宋"/>
          <w:color w:val="000000" w:themeColor="text1"/>
          <w:szCs w:val="24"/>
          <w:lang w:val="en-US"/>
          <w14:textFill>
            <w14:solidFill>
              <w14:schemeClr w14:val="tx1"/>
            </w14:solidFill>
          </w14:textFill>
        </w:rPr>
        <w:t>应力在线法等</w:t>
      </w:r>
      <w:r>
        <w:rPr>
          <w:rFonts w:ascii="仿宋" w:hAnsi="仿宋" w:eastAsia="仿宋"/>
          <w:color w:val="000000" w:themeColor="text1"/>
          <w:szCs w:val="24"/>
          <w:lang w:val="en-US"/>
          <w14:textFill>
            <w14:solidFill>
              <w14:schemeClr w14:val="tx1"/>
            </w14:solidFill>
          </w14:textFill>
        </w:rPr>
        <w:t>进行检验，至少选取两种手段进行效果检验。</w:t>
      </w:r>
      <w:r>
        <w:rPr>
          <w:rFonts w:hint="eastAsia" w:ascii="仿宋" w:hAnsi="仿宋" w:eastAsia="仿宋"/>
          <w:color w:val="000000" w:themeColor="text1"/>
          <w:szCs w:val="24"/>
          <w:lang w:val="en-US"/>
          <w14:textFill>
            <w14:solidFill>
              <w14:schemeClr w14:val="tx1"/>
            </w14:solidFill>
          </w14:textFill>
        </w:rPr>
        <w:t>采用钻屑法进行效果检验时需按要求进行临界值标定。</w:t>
      </w:r>
      <w:r>
        <w:rPr>
          <w:rFonts w:ascii="仿宋" w:hAnsi="仿宋" w:eastAsia="仿宋"/>
          <w:color w:val="000000" w:themeColor="text1"/>
          <w:szCs w:val="24"/>
          <w:lang w:val="en-US"/>
          <w14:textFill>
            <w14:solidFill>
              <w14:schemeClr w14:val="tx1"/>
            </w14:solidFill>
          </w14:textFill>
        </w:rPr>
        <w:t>如果所</w:t>
      </w:r>
      <w:r>
        <w:rPr>
          <w:rFonts w:hint="eastAsia" w:ascii="仿宋" w:hAnsi="仿宋" w:eastAsia="仿宋"/>
          <w:color w:val="000000" w:themeColor="text1"/>
          <w:szCs w:val="24"/>
          <w:lang w:val="en-US"/>
          <w14:textFill>
            <w14:solidFill>
              <w14:schemeClr w14:val="tx1"/>
            </w14:solidFill>
          </w14:textFill>
        </w:rPr>
        <w:t>采取</w:t>
      </w:r>
      <w:r>
        <w:rPr>
          <w:rFonts w:ascii="仿宋" w:hAnsi="仿宋" w:eastAsia="仿宋"/>
          <w:color w:val="000000" w:themeColor="text1"/>
          <w:szCs w:val="24"/>
          <w:lang w:val="en-US"/>
          <w14:textFill>
            <w14:solidFill>
              <w14:schemeClr w14:val="tx1"/>
            </w14:solidFill>
          </w14:textFill>
        </w:rPr>
        <w:t>检验方法均判定无冲击危险，则卸压区域的冲击危险性得到消除；当其中一种检验方法仍具有冲击地压危险时，需继续采取卸压措施，直到经检验冲击地压危险解除为止。</w:t>
      </w:r>
    </w:p>
    <w:p>
      <w:pPr>
        <w:pStyle w:val="3"/>
        <w:keepNext w:val="0"/>
        <w:keepLines w:val="0"/>
        <w:pageBreakBefore w:val="0"/>
        <w:widowControl w:val="0"/>
        <w:kinsoku/>
        <w:wordWrap/>
        <w:overflowPunct/>
        <w:topLinePunct w:val="0"/>
        <w:autoSpaceDE/>
        <w:autoSpaceDN/>
        <w:bidi w:val="0"/>
        <w:adjustRightInd/>
        <w:snapToGrid w:val="0"/>
        <w:spacing w:before="0" w:after="0" w:line="360" w:lineRule="auto"/>
        <w:ind w:firstLine="0" w:firstLineChars="0"/>
        <w:jc w:val="both"/>
        <w:textAlignment w:val="auto"/>
        <w:rPr>
          <w:rFonts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五、</w:t>
      </w:r>
      <w:r>
        <w:rPr>
          <w:rFonts w:ascii="仿宋" w:hAnsi="仿宋" w:eastAsia="仿宋" w:cs="仿宋"/>
          <w:color w:val="000000" w:themeColor="text1"/>
          <w:kern w:val="2"/>
          <w:sz w:val="24"/>
          <w:szCs w:val="24"/>
          <w14:textFill>
            <w14:solidFill>
              <w14:schemeClr w14:val="tx1"/>
            </w14:solidFill>
          </w14:textFill>
        </w:rPr>
        <w:t>工作面推进度</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olor w:val="000000" w:themeColor="text1"/>
          <w:sz w:val="24"/>
          <w14:textFill>
            <w14:solidFill>
              <w14:schemeClr w14:val="tx1"/>
            </w14:solidFill>
          </w14:textFill>
        </w:rPr>
      </w:pPr>
      <w:bookmarkStart w:id="466" w:name="_Toc17695"/>
      <w:bookmarkStart w:id="467" w:name="_Toc2420"/>
      <w:bookmarkStart w:id="468" w:name="_Toc527720692"/>
      <w:r>
        <w:rPr>
          <w:rFonts w:ascii="仿宋" w:hAnsi="仿宋" w:eastAsia="仿宋"/>
          <w:bCs/>
          <w:color w:val="000000" w:themeColor="text1"/>
          <w:sz w:val="24"/>
          <w14:textFill>
            <w14:solidFill>
              <w14:schemeClr w14:val="tx1"/>
            </w14:solidFill>
          </w14:textFill>
        </w:rPr>
        <w:t>根据1303工作面地质条件、生产技术条件以及实际</w:t>
      </w:r>
      <w:r>
        <w:rPr>
          <w:rFonts w:hint="eastAsia" w:ascii="仿宋" w:hAnsi="仿宋" w:eastAsia="仿宋"/>
          <w:bCs/>
          <w:color w:val="000000" w:themeColor="text1"/>
          <w:sz w:val="24"/>
          <w14:textFill>
            <w14:solidFill>
              <w14:schemeClr w14:val="tx1"/>
            </w14:solidFill>
          </w14:textFill>
        </w:rPr>
        <w:t>生产</w:t>
      </w:r>
      <w:r>
        <w:rPr>
          <w:rFonts w:ascii="仿宋" w:hAnsi="仿宋" w:eastAsia="仿宋"/>
          <w:bCs/>
          <w:color w:val="000000" w:themeColor="text1"/>
          <w:sz w:val="24"/>
          <w14:textFill>
            <w14:solidFill>
              <w14:schemeClr w14:val="tx1"/>
            </w14:solidFill>
          </w14:textFill>
        </w:rPr>
        <w:t>条件，</w:t>
      </w:r>
      <w:r>
        <w:rPr>
          <w:rFonts w:ascii="仿宋" w:hAnsi="仿宋" w:eastAsia="仿宋"/>
          <w:color w:val="000000" w:themeColor="text1"/>
          <w:sz w:val="24"/>
          <w14:textFill>
            <w14:solidFill>
              <w14:schemeClr w14:val="tx1"/>
            </w14:solidFill>
          </w14:textFill>
        </w:rPr>
        <w:t>1303工作面回采期间强冲击危险区域日推进速度不超过4m/d，中等冲击危险区域回采推进速度不超过5.6m/d，弱冲击危险区域回采推进速度不超过6.4m/d，工作面回采期间尽可能的保持匀速推进。</w:t>
      </w:r>
      <w:r>
        <w:rPr>
          <w:rFonts w:hint="eastAsia" w:ascii="仿宋" w:hAnsi="仿宋" w:eastAsia="仿宋"/>
          <w:bCs/>
          <w:color w:val="000000" w:themeColor="text1"/>
          <w:sz w:val="24"/>
          <w14:textFill>
            <w14:solidFill>
              <w14:schemeClr w14:val="tx1"/>
            </w14:solidFill>
          </w14:textFill>
        </w:rPr>
        <w:t>工作面在来压期间、地面长观孔水位急剧下降、瓦斯涌出异常、有自燃发火倾向等灾变特征明显时，为防止支架被压，可以采取快速推进模式，控制放煤量，最大推进速度不超过6.4m/d。</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六、</w:t>
      </w:r>
      <w:bookmarkEnd w:id="466"/>
      <w:bookmarkEnd w:id="467"/>
      <w:bookmarkEnd w:id="468"/>
      <w:r>
        <w:rPr>
          <w:rFonts w:hint="eastAsia" w:ascii="仿宋" w:hAnsi="仿宋" w:eastAsia="仿宋" w:cs="仿宋"/>
          <w:b/>
          <w:bCs/>
          <w:color w:val="000000" w:themeColor="text1"/>
          <w:sz w:val="24"/>
          <w14:textFill>
            <w14:solidFill>
              <w14:schemeClr w14:val="tx1"/>
            </w14:solidFill>
          </w14:textFill>
        </w:rPr>
        <w:t>冲击地压安全防护措施</w:t>
      </w:r>
    </w:p>
    <w:p>
      <w:pPr>
        <w:pStyle w:val="3"/>
        <w:keepNext w:val="0"/>
        <w:keepLines w:val="0"/>
        <w:pageBreakBefore w:val="0"/>
        <w:widowControl w:val="0"/>
        <w:kinsoku/>
        <w:wordWrap/>
        <w:overflowPunct/>
        <w:topLinePunct w:val="0"/>
        <w:autoSpaceDE/>
        <w:autoSpaceDN/>
        <w:bidi w:val="0"/>
        <w:adjustRightInd/>
        <w:snapToGrid w:val="0"/>
        <w:spacing w:before="0" w:after="0" w:line="360" w:lineRule="auto"/>
        <w:ind w:left="431" w:hanging="431" w:firstLineChars="0"/>
        <w:jc w:val="both"/>
        <w:textAlignment w:val="auto"/>
        <w:rPr>
          <w:rFonts w:ascii="仿宋" w:hAnsi="仿宋" w:eastAsia="仿宋" w:cs="仿宋"/>
          <w:color w:val="000000" w:themeColor="text1"/>
          <w:kern w:val="2"/>
          <w:sz w:val="24"/>
          <w:szCs w:val="24"/>
          <w14:textFill>
            <w14:solidFill>
              <w14:schemeClr w14:val="tx1"/>
            </w14:solidFill>
          </w14:textFill>
        </w:rPr>
      </w:pPr>
      <w:bookmarkStart w:id="469" w:name="_Toc523150500"/>
      <w:bookmarkStart w:id="470" w:name="_Toc432686220"/>
      <w:bookmarkStart w:id="471" w:name="_Toc34"/>
      <w:bookmarkStart w:id="472" w:name="_Toc22807"/>
      <w:bookmarkStart w:id="473" w:name="_Toc512495149"/>
      <w:bookmarkStart w:id="474" w:name="_Toc527720693"/>
      <w:bookmarkStart w:id="475" w:name="_Toc432672457"/>
      <w:bookmarkStart w:id="476" w:name="_Toc512294593"/>
      <w:bookmarkStart w:id="477" w:name="_Toc425089036"/>
      <w:bookmarkStart w:id="478" w:name="_Toc390246771"/>
      <w:bookmarkStart w:id="479" w:name="_Toc396209310"/>
      <w:r>
        <w:rPr>
          <w:rFonts w:hint="eastAsia" w:ascii="仿宋" w:hAnsi="仿宋" w:eastAsia="仿宋" w:cs="仿宋"/>
          <w:color w:val="000000" w:themeColor="text1"/>
          <w:kern w:val="2"/>
          <w:sz w:val="24"/>
          <w:szCs w:val="24"/>
          <w14:textFill>
            <w14:solidFill>
              <w14:schemeClr w14:val="tx1"/>
            </w14:solidFill>
          </w14:textFill>
        </w:rPr>
        <w:t>（一）</w:t>
      </w:r>
      <w:r>
        <w:rPr>
          <w:rFonts w:ascii="仿宋" w:hAnsi="仿宋" w:eastAsia="仿宋" w:cs="仿宋"/>
          <w:color w:val="000000" w:themeColor="text1"/>
          <w:kern w:val="2"/>
          <w:sz w:val="24"/>
          <w:szCs w:val="24"/>
          <w14:textFill>
            <w14:solidFill>
              <w14:schemeClr w14:val="tx1"/>
            </w14:solidFill>
          </w14:textFill>
        </w:rPr>
        <w:t xml:space="preserve"> 防冲管理制度</w:t>
      </w:r>
      <w:bookmarkEnd w:id="469"/>
      <w:bookmarkEnd w:id="470"/>
      <w:bookmarkEnd w:id="471"/>
      <w:bookmarkEnd w:id="472"/>
      <w:bookmarkEnd w:id="473"/>
      <w:bookmarkEnd w:id="474"/>
      <w:bookmarkEnd w:id="475"/>
      <w:bookmarkEnd w:id="476"/>
      <w:bookmarkStart w:id="480" w:name="_Toc523150503"/>
      <w:bookmarkStart w:id="481" w:name="_Toc18597"/>
      <w:bookmarkStart w:id="482" w:name="_Toc512495151"/>
      <w:bookmarkStart w:id="483" w:name="_Toc527720694"/>
      <w:bookmarkStart w:id="484" w:name="_Toc512294595"/>
    </w:p>
    <w:bookmarkEnd w:id="480"/>
    <w:bookmarkEnd w:id="481"/>
    <w:bookmarkEnd w:id="482"/>
    <w:bookmarkEnd w:id="483"/>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lang w:val="zh-CN"/>
          <w14:textFill>
            <w14:solidFill>
              <w14:schemeClr w14:val="tx1"/>
            </w14:solidFill>
          </w14:textFill>
        </w:rPr>
      </w:pPr>
      <w:bookmarkStart w:id="485" w:name="_Toc21926"/>
      <w:bookmarkStart w:id="486" w:name="_Toc527720695"/>
      <w:bookmarkStart w:id="487" w:name="_Toc18347"/>
      <w:bookmarkStart w:id="488" w:name="_Toc512495153"/>
      <w:bookmarkStart w:id="489" w:name="_Toc22650"/>
      <w:bookmarkStart w:id="490" w:name="_Toc523150512"/>
      <w:r>
        <w:rPr>
          <w:rFonts w:hint="eastAsia" w:ascii="仿宋" w:hAnsi="仿宋" w:eastAsia="仿宋" w:cs="仿宋"/>
          <w:color w:val="000000" w:themeColor="text1"/>
          <w:sz w:val="24"/>
          <w14:textFill>
            <w14:solidFill>
              <w14:schemeClr w14:val="tx1"/>
            </w14:solidFill>
          </w14:textFill>
        </w:rPr>
        <w:t>1、</w:t>
      </w:r>
      <w:r>
        <w:rPr>
          <w:rFonts w:ascii="仿宋" w:hAnsi="仿宋" w:eastAsia="仿宋" w:cs="仿宋"/>
          <w:color w:val="000000" w:themeColor="text1"/>
          <w:sz w:val="24"/>
          <w:lang w:val="zh-CN"/>
          <w14:textFill>
            <w14:solidFill>
              <w14:schemeClr w14:val="tx1"/>
            </w14:solidFill>
          </w14:textFill>
        </w:rPr>
        <w:t>设置冲击地压专门防治机构，成立专职防冲队伍，并按规定配备如下人员：（一）专职负责冲击地压防治工作的副总工程师。防冲副总工程师必须是中级及以上职称，且具有3年以上防冲技术或管理工作经验。（二）冲击地压矿井防治机构配备专职人员不少于8人，严重冲击地压矿井防治机构配备专职人员不少于10人，其中中级及以上职称不少于30％，高级职称不少于1人。（三）专职专业的施工队伍。解危卸压施工、钻屑法检测等工作应当由专职专业施工队伍负责，微震、地音及应力监测装备安装及日常维护应当由专职或专业的维护人员开展，人员数量根据矿井卸压工程量及监测装备现状确定。</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w:t>
      </w:r>
      <w:r>
        <w:rPr>
          <w:rFonts w:ascii="仿宋" w:hAnsi="仿宋" w:eastAsia="仿宋" w:cs="仿宋"/>
          <w:color w:val="000000" w:themeColor="text1"/>
          <w:sz w:val="24"/>
          <w:lang w:val="zh-CN"/>
          <w14:textFill>
            <w14:solidFill>
              <w14:schemeClr w14:val="tx1"/>
            </w14:solidFill>
          </w14:textFill>
        </w:rPr>
        <w:t>发生冲击地压</w:t>
      </w:r>
      <w:r>
        <w:rPr>
          <w:rFonts w:hint="eastAsia" w:ascii="仿宋" w:hAnsi="仿宋" w:eastAsia="仿宋" w:cs="仿宋"/>
          <w:color w:val="000000" w:themeColor="text1"/>
          <w:sz w:val="24"/>
          <w:lang w:val="zh-CN"/>
          <w14:textFill>
            <w14:solidFill>
              <w14:schemeClr w14:val="tx1"/>
            </w14:solidFill>
          </w14:textFill>
        </w:rPr>
        <w:t>后</w:t>
      </w:r>
      <w:r>
        <w:rPr>
          <w:rFonts w:ascii="仿宋" w:hAnsi="仿宋" w:eastAsia="仿宋" w:cs="仿宋"/>
          <w:color w:val="000000" w:themeColor="text1"/>
          <w:sz w:val="24"/>
          <w:lang w:val="zh-CN"/>
          <w14:textFill>
            <w14:solidFill>
              <w14:schemeClr w14:val="tx1"/>
            </w14:solidFill>
          </w14:textFill>
        </w:rPr>
        <w:t>，必须在1小时内上报监管监察机构。在确保安全前提下，针对冲击现场进行录像、拍照，详细记录冲击前周边作业情况、冲击的时间、破坏区域及特征等，绘制冲击显现素描图，结合监测数据分析原因并存档。</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3、</w:t>
      </w:r>
      <w:r>
        <w:rPr>
          <w:rFonts w:ascii="仿宋" w:hAnsi="仿宋" w:eastAsia="仿宋" w:cs="仿宋"/>
          <w:color w:val="000000" w:themeColor="text1"/>
          <w:sz w:val="24"/>
          <w:lang w:val="zh-CN"/>
          <w14:textFill>
            <w14:solidFill>
              <w14:schemeClr w14:val="tx1"/>
            </w14:solidFill>
          </w14:textFill>
        </w:rPr>
        <w:t>总工程师负责防治冲击地压技术方案制订，生产副矿长负责防冲技术措施落实，安全副矿长负责防冲措施竣工验收。防冲副总工程师协助负责防治冲击地压技术管理和防冲技术措施落实，防冲机构负责煤矿冲击地压防治日常管理工作。</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安全管理机构必须配备足够的防冲措施专职验收人员，验收人员必须客观的开展验收、签字工作，并对措施竣工落实的真实性负有直接责任，同时应制定保护验收员的措施。</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5、冲击地压危险区域的作业人员必须掌握作业地点发生冲击地压灾害的避灾路线以及被困时的自救常识。井下有危险情况时，</w:t>
      </w:r>
      <w:r>
        <w:rPr>
          <w:rFonts w:ascii="仿宋" w:hAnsi="仿宋" w:eastAsia="仿宋" w:cs="仿宋"/>
          <w:color w:val="000000" w:themeColor="text1"/>
          <w:sz w:val="24"/>
          <w:lang w:val="zh-CN"/>
          <w14:textFill>
            <w14:solidFill>
              <w14:schemeClr w14:val="tx1"/>
            </w14:solidFill>
          </w14:textFill>
        </w:rPr>
        <w:t>防冲机构、防冲措施验收员、调度员、安检员、井下带班人员、班组长等相关人员在矿井出现冲击地压紧急情况时，具有预警停产、紧急撤人的权力。</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w:t>
      </w:r>
      <w:r>
        <w:rPr>
          <w:rFonts w:ascii="仿宋" w:hAnsi="仿宋" w:eastAsia="仿宋" w:cs="仿宋"/>
          <w:color w:val="000000" w:themeColor="text1"/>
          <w:sz w:val="24"/>
          <w:lang w:val="zh-CN"/>
          <w14:textFill>
            <w14:solidFill>
              <w14:schemeClr w14:val="tx1"/>
            </w14:solidFill>
          </w14:textFill>
        </w:rPr>
        <w:t>加强冲击地压防治安全教育，对从业人员定期进行全员培训，教育培训情况应当记录备查。</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7、</w:t>
      </w:r>
      <w:r>
        <w:rPr>
          <w:rFonts w:ascii="仿宋" w:hAnsi="仿宋" w:eastAsia="仿宋" w:cs="仿宋"/>
          <w:color w:val="000000" w:themeColor="text1"/>
          <w:sz w:val="24"/>
          <w:lang w:val="zh-CN"/>
          <w14:textFill>
            <w14:solidFill>
              <w14:schemeClr w14:val="tx1"/>
            </w14:solidFill>
          </w14:textFill>
        </w:rPr>
        <w:t>冲击地压专职值班人员、监测检测人员、防冲措施验收人员、解危措施施工专职或者专业人员，应当按照特种作业人员管理，其冲击地压防治安全知识和技能培训时间每年不得少于24学时，其他作业人员每年不得少于12学时。</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8、</w:t>
      </w:r>
      <w:r>
        <w:rPr>
          <w:rFonts w:ascii="仿宋" w:hAnsi="仿宋" w:eastAsia="仿宋" w:cs="仿宋"/>
          <w:color w:val="000000" w:themeColor="text1"/>
          <w:sz w:val="24"/>
          <w:lang w:val="zh-CN"/>
          <w14:textFill>
            <w14:solidFill>
              <w14:schemeClr w14:val="tx1"/>
            </w14:solidFill>
          </w14:textFill>
        </w:rPr>
        <w:t>编制冲击地压事故应急预案和现场处置方案，并组织相关作业人员每年</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lang w:val="zh-CN"/>
          <w14:textFill>
            <w14:solidFill>
              <w14:schemeClr w14:val="tx1"/>
            </w14:solidFill>
          </w14:textFill>
        </w:rPr>
        <w:t>度至少开展一次应急演练。</w:t>
      </w:r>
      <w:r>
        <w:rPr>
          <w:rFonts w:hint="eastAsia" w:ascii="仿宋" w:hAnsi="仿宋" w:eastAsia="仿宋" w:cs="仿宋"/>
          <w:color w:val="000000" w:themeColor="text1"/>
          <w:sz w:val="24"/>
          <w:lang w:val="zh-CN"/>
          <w14:textFill>
            <w14:solidFill>
              <w14:schemeClr w14:val="tx1"/>
            </w14:solidFill>
          </w14:textFill>
        </w:rPr>
        <w:t>发生冲击地压后，必须迅速启动应急救援预案，防止发生次生灾害。恢复生产前，必须查清事故原因，制定恢复生产方案，通过专家论证，落实综合防冲措施，消除冲击地压危险后，方可恢复生产。</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w:t>
      </w:r>
      <w:r>
        <w:rPr>
          <w:rFonts w:ascii="仿宋" w:hAnsi="仿宋" w:eastAsia="仿宋" w:cs="仿宋"/>
          <w:b/>
          <w:bCs/>
          <w:color w:val="000000" w:themeColor="text1"/>
          <w:sz w:val="24"/>
          <w14:textFill>
            <w14:solidFill>
              <w14:schemeClr w14:val="tx1"/>
            </w14:solidFill>
          </w14:textFill>
        </w:rPr>
        <w:t xml:space="preserve"> </w:t>
      </w:r>
      <w:bookmarkEnd w:id="485"/>
      <w:bookmarkEnd w:id="486"/>
      <w:r>
        <w:rPr>
          <w:rFonts w:hint="eastAsia" w:ascii="仿宋" w:hAnsi="仿宋" w:eastAsia="仿宋" w:cs="仿宋"/>
          <w:b/>
          <w:bCs/>
          <w:color w:val="000000" w:themeColor="text1"/>
          <w:sz w:val="24"/>
          <w14:textFill>
            <w14:solidFill>
              <w14:schemeClr w14:val="tx1"/>
            </w14:solidFill>
          </w14:textFill>
        </w:rPr>
        <w:t>限员管理</w:t>
      </w:r>
      <w:bookmarkEnd w:id="487"/>
    </w:p>
    <w:bookmarkEnd w:id="488"/>
    <w:bookmarkEnd w:id="489"/>
    <w:bookmarkEnd w:id="490"/>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kern w:val="0"/>
          <w:sz w:val="24"/>
        </w:rPr>
      </w:pPr>
      <w:bookmarkStart w:id="491" w:name="_Toc15715"/>
      <w:bookmarkStart w:id="492" w:name="_Toc28434"/>
      <w:bookmarkStart w:id="493" w:name="_Toc522717724"/>
      <w:bookmarkStart w:id="494" w:name="_Toc523150514"/>
      <w:bookmarkStart w:id="495" w:name="_Toc17596"/>
      <w:bookmarkStart w:id="496" w:name="_Toc2596"/>
      <w:bookmarkStart w:id="497" w:name="_Toc527720697"/>
      <w:r>
        <w:rPr>
          <w:rFonts w:ascii="仿宋" w:hAnsi="仿宋" w:eastAsia="仿宋"/>
          <w:kern w:val="0"/>
          <w:sz w:val="24"/>
        </w:rPr>
        <w:t>为确保冲击危险区限员管理措施落实到位，按照《</w:t>
      </w:r>
      <w:r>
        <w:rPr>
          <w:rFonts w:hint="eastAsia" w:ascii="仿宋" w:hAnsi="仿宋" w:eastAsia="仿宋"/>
          <w:kern w:val="0"/>
          <w:sz w:val="24"/>
        </w:rPr>
        <w:t>煤安监技装﹝2019﹞21号</w:t>
      </w:r>
      <w:r>
        <w:rPr>
          <w:rFonts w:ascii="仿宋" w:hAnsi="仿宋" w:eastAsia="仿宋"/>
          <w:kern w:val="0"/>
          <w:sz w:val="24"/>
        </w:rPr>
        <w:t>》文件要求，冲击地压煤层的</w:t>
      </w:r>
      <w:r>
        <w:rPr>
          <w:rFonts w:hint="eastAsia" w:ascii="仿宋" w:hAnsi="仿宋" w:eastAsia="仿宋"/>
          <w:kern w:val="0"/>
          <w:sz w:val="24"/>
        </w:rPr>
        <w:t>回采</w:t>
      </w:r>
      <w:r>
        <w:rPr>
          <w:rFonts w:ascii="仿宋" w:hAnsi="仿宋" w:eastAsia="仿宋"/>
          <w:kern w:val="0"/>
          <w:sz w:val="24"/>
        </w:rPr>
        <w:t>工作面严格执行冲击危险区域限员管理制度：</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kern w:val="0"/>
          <w:sz w:val="24"/>
        </w:rPr>
      </w:pPr>
      <w:r>
        <w:rPr>
          <w:rFonts w:hint="eastAsia" w:ascii="仿宋" w:hAnsi="仿宋" w:eastAsia="仿宋"/>
          <w:kern w:val="0"/>
          <w:sz w:val="24"/>
          <w:lang w:val="en-US" w:eastAsia="zh-CN"/>
        </w:rPr>
        <w:t>1</w:t>
      </w:r>
      <w:r>
        <w:rPr>
          <w:rFonts w:hint="eastAsia" w:ascii="仿宋" w:hAnsi="仿宋" w:eastAsia="仿宋"/>
          <w:kern w:val="0"/>
          <w:sz w:val="24"/>
        </w:rPr>
        <w:t>、</w:t>
      </w:r>
      <w:r>
        <w:rPr>
          <w:rFonts w:hint="eastAsia" w:ascii="仿宋" w:hAnsi="仿宋" w:eastAsia="仿宋" w:cs="仿宋"/>
          <w:color w:val="000000" w:themeColor="text1"/>
          <w:sz w:val="24"/>
          <w14:textFill>
            <w14:solidFill>
              <w14:schemeClr w14:val="tx1"/>
            </w14:solidFill>
          </w14:textFill>
        </w:rPr>
        <w:t>回采工作面机巷超前工作面 120m、风巷超前</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00m 处设置管理站和电话（电话随管理站移动），悬挂防冲警示牌，放置人员登记台账，设专人对人员出入登记管理；在作业规程中明确规定人员进入的时间、区域和人数</w:t>
      </w:r>
      <w:r>
        <w:rPr>
          <w:rFonts w:ascii="仿宋" w:hAnsi="仿宋" w:eastAsia="仿宋"/>
          <w:kern w:val="0"/>
          <w:sz w:val="24"/>
        </w:rPr>
        <w:t>；工作面智能限员管理系统安装后可不安排人员进行出入管理和登记。</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kern w:val="0"/>
          <w:sz w:val="24"/>
        </w:rPr>
      </w:pPr>
      <w:r>
        <w:rPr>
          <w:rFonts w:hint="eastAsia" w:ascii="仿宋" w:hAnsi="仿宋" w:eastAsia="仿宋"/>
          <w:kern w:val="0"/>
          <w:sz w:val="24"/>
          <w:lang w:val="en-US" w:eastAsia="zh-CN"/>
        </w:rPr>
        <w:t>2</w:t>
      </w:r>
      <w:r>
        <w:rPr>
          <w:rFonts w:hint="eastAsia" w:ascii="仿宋" w:hAnsi="仿宋" w:eastAsia="仿宋"/>
          <w:kern w:val="0"/>
          <w:sz w:val="24"/>
        </w:rPr>
        <w:t>、</w:t>
      </w:r>
      <w:r>
        <w:rPr>
          <w:rFonts w:ascii="仿宋" w:hAnsi="仿宋" w:eastAsia="仿宋"/>
          <w:kern w:val="0"/>
          <w:sz w:val="24"/>
        </w:rPr>
        <w:t>限员管理区生产班进入人员班不得超过16人、检修班不得超过40人</w:t>
      </w:r>
      <w:r>
        <w:rPr>
          <w:rFonts w:hint="eastAsia" w:ascii="仿宋" w:hAnsi="仿宋" w:eastAsia="仿宋"/>
          <w:kern w:val="0"/>
          <w:sz w:val="24"/>
        </w:rPr>
        <w:t>。</w:t>
      </w:r>
      <w:r>
        <w:rPr>
          <w:rFonts w:ascii="仿宋" w:hAnsi="仿宋" w:eastAsia="仿宋"/>
          <w:kern w:val="0"/>
          <w:sz w:val="24"/>
        </w:rPr>
        <w:t>作业人员应分散作业，尽可能减少集中作业人数，严禁在限员管理区进行交接班。</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kern w:val="0"/>
          <w:sz w:val="24"/>
          <w14:textFill>
            <w14:solidFill>
              <w14:schemeClr w14:val="tx1"/>
            </w14:solidFill>
          </w14:textFill>
        </w:rPr>
      </w:pPr>
      <w:r>
        <w:rPr>
          <w:rFonts w:hint="eastAsia" w:ascii="仿宋" w:hAnsi="仿宋" w:eastAsia="仿宋"/>
          <w:kern w:val="0"/>
          <w:sz w:val="24"/>
          <w:lang w:val="en-US" w:eastAsia="zh-CN"/>
        </w:rPr>
        <w:t>3</w:t>
      </w:r>
      <w:r>
        <w:rPr>
          <w:rFonts w:hint="eastAsia" w:ascii="仿宋" w:hAnsi="仿宋" w:eastAsia="仿宋"/>
          <w:kern w:val="0"/>
          <w:sz w:val="24"/>
        </w:rPr>
        <w:t>、</w:t>
      </w:r>
      <w:r>
        <w:rPr>
          <w:rFonts w:ascii="仿宋" w:hAnsi="仿宋" w:eastAsia="仿宋"/>
          <w:kern w:val="0"/>
          <w:sz w:val="24"/>
        </w:rPr>
        <w:t>强冲击危险回采工作面限员管理站超前工作面距离必须大于矿井历史冲击显现波及到的最远距离且不得小于300m。</w:t>
      </w:r>
    </w:p>
    <w:p>
      <w:pPr>
        <w:pStyle w:val="3"/>
        <w:keepNext w:val="0"/>
        <w:keepLines w:val="0"/>
        <w:pageBreakBefore w:val="0"/>
        <w:widowControl w:val="0"/>
        <w:kinsoku/>
        <w:wordWrap/>
        <w:overflowPunct/>
        <w:topLinePunct w:val="0"/>
        <w:autoSpaceDE/>
        <w:autoSpaceDN/>
        <w:bidi w:val="0"/>
        <w:adjustRightInd/>
        <w:snapToGrid w:val="0"/>
        <w:spacing w:before="0" w:after="0" w:line="360" w:lineRule="auto"/>
        <w:ind w:firstLine="0" w:firstLineChars="0"/>
        <w:jc w:val="both"/>
        <w:textAlignment w:val="auto"/>
        <w:rPr>
          <w:rFonts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（三）</w:t>
      </w:r>
      <w:r>
        <w:rPr>
          <w:rFonts w:ascii="仿宋" w:hAnsi="仿宋" w:eastAsia="仿宋" w:cs="仿宋"/>
          <w:color w:val="000000" w:themeColor="text1"/>
          <w:kern w:val="2"/>
          <w:sz w:val="24"/>
          <w:szCs w:val="24"/>
          <w14:textFill>
            <w14:solidFill>
              <w14:schemeClr w14:val="tx1"/>
            </w14:solidFill>
          </w14:textFill>
        </w:rPr>
        <w:t>安全防护</w:t>
      </w:r>
      <w:bookmarkEnd w:id="491"/>
      <w:bookmarkEnd w:id="492"/>
    </w:p>
    <w:bookmarkEnd w:id="477"/>
    <w:bookmarkEnd w:id="478"/>
    <w:bookmarkEnd w:id="479"/>
    <w:bookmarkEnd w:id="484"/>
    <w:bookmarkEnd w:id="493"/>
    <w:bookmarkEnd w:id="494"/>
    <w:bookmarkEnd w:id="495"/>
    <w:bookmarkEnd w:id="496"/>
    <w:bookmarkEnd w:id="497"/>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1、进入冲击危险区域所有人员必须穿好防冲服，否则禁止入内。</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2、作业人员必须熟悉冲击地压发生的征兆、应急措施及避灾路线。</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仿宋" w:hAnsi="仿宋" w:eastAsia="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ascii="仿宋" w:hAnsi="仿宋" w:eastAsia="仿宋"/>
          <w:sz w:val="24"/>
        </w:rPr>
        <w:t>中等及强冲击危险工作面生产班，临空巷道超前300m必须实行封闭管</w:t>
      </w:r>
      <w:r>
        <w:rPr>
          <w:rFonts w:ascii="仿宋" w:hAnsi="仿宋" w:eastAsia="仿宋"/>
          <w:color w:val="000000" w:themeColor="text1"/>
          <w:sz w:val="24"/>
          <w14:textFill>
            <w14:solidFill>
              <w14:schemeClr w14:val="tx1"/>
            </w14:solidFill>
          </w14:textFill>
        </w:rPr>
        <w:t>理，</w:t>
      </w:r>
      <w:r>
        <w:rPr>
          <w:rFonts w:hint="eastAsia" w:ascii="仿宋" w:hAnsi="仿宋" w:eastAsia="仿宋"/>
          <w:color w:val="000000" w:themeColor="text1"/>
          <w:sz w:val="24"/>
          <w:lang w:val="en-US" w:eastAsia="zh-CN"/>
          <w14:textFill>
            <w14:solidFill>
              <w14:schemeClr w14:val="tx1"/>
            </w14:solidFill>
          </w14:textFill>
        </w:rPr>
        <w:t>现场挂牌、设警戒，防止人员进入</w:t>
      </w:r>
      <w:r>
        <w:rPr>
          <w:rFonts w:ascii="仿宋" w:hAnsi="仿宋" w:eastAsia="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评价为强冲击地压危险的区域不得存放备用材料和设备；巷道内杂物应当清理干净，保持行走路线畅通；对冲击地压危险区域内的在用设备、管线、物品等应当采取固定措施，管路应当吊挂在巷道腰线以下，高于1.2米的必须采取固定措施；电缆吊挂要有垂度。</w:t>
      </w:r>
      <w:r>
        <w:rPr>
          <w:rFonts w:hint="eastAsia" w:ascii="仿宋" w:hAnsi="仿宋" w:eastAsia="仿宋" w:cs="仿宋"/>
          <w:color w:val="000000" w:themeColor="text1"/>
          <w:sz w:val="24"/>
          <w:lang w:val="en-US" w:eastAsia="zh-CN"/>
          <w14:textFill>
            <w14:solidFill>
              <w14:schemeClr w14:val="tx1"/>
            </w14:solidFill>
          </w14:textFill>
        </w:rPr>
        <w:t>捆</w:t>
      </w:r>
      <w:r>
        <w:rPr>
          <w:rFonts w:hint="eastAsia" w:ascii="仿宋" w:hAnsi="仿宋" w:eastAsia="仿宋" w:cs="仿宋"/>
          <w:color w:val="000000" w:themeColor="text1"/>
          <w:sz w:val="24"/>
          <w14:textFill>
            <w14:solidFill>
              <w14:schemeClr w14:val="tx1"/>
            </w14:solidFill>
          </w14:textFill>
        </w:rPr>
        <w:t>扎固定使用不小于6mm钢丝绳（或不小于6mm直径钢筋做成的链条）牢固固定在帮部底板锚杆上，物料码放高度不得超过0.8m。</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5、作业前要检查作业地点的支护状况和安全防护设施，确保安全后方可施工作业。</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6、有冲击地压危险的工作面必须设置压风自救系统。应当在距工作面25至40米的巷道内、爆破地点、撤离人员与警戒人员所在位置、回风巷有人作业处等地点,至少设置１组压风自救装置。压风自</w:t>
      </w:r>
      <w:r>
        <w:rPr>
          <w:rFonts w:ascii="仿宋" w:hAnsi="仿宋" w:eastAsia="仿宋" w:cs="仿宋"/>
          <w:color w:val="000000" w:themeColor="text1"/>
          <w:sz w:val="24"/>
          <w14:textFill>
            <w14:solidFill>
              <w14:schemeClr w14:val="tx1"/>
            </w14:solidFill>
          </w14:textFill>
        </w:rPr>
        <w:t>救系统管路可以采用耐压胶管，每10至15米预留0.5至1.0米的延展长度。</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7、维护、保护好工作面两顺槽冲击地压避灾路线牌版，及压风自救、供水施救装置。</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8、停采3天及以上的冲击地压危险回采工作面恢复生产前，防冲专业人员应当根据钻屑法、应力监测法或微震监测法等检测监测情况对工作面冲击地压危险程度进行评价，并采取相应的安全措施。</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9、每班安检员或跟班队长必须对两端头面后悬顶情况进行观测，悬顶面积大于10m</w:t>
      </w:r>
      <w:r>
        <w:rPr>
          <w:rFonts w:hint="eastAsia" w:ascii="宋体" w:hAnsi="宋体" w:eastAsia="宋体" w:cs="宋体"/>
          <w:color w:val="000000" w:themeColor="text1"/>
          <w:sz w:val="24"/>
          <w14:textFill>
            <w14:solidFill>
              <w14:schemeClr w14:val="tx1"/>
            </w14:solidFill>
          </w14:textFill>
        </w:rPr>
        <w:t>²</w:t>
      </w:r>
      <w:r>
        <w:rPr>
          <w:rFonts w:hint="eastAsia" w:ascii="仿宋" w:hAnsi="仿宋" w:eastAsia="仿宋" w:cs="仿宋"/>
          <w:color w:val="000000" w:themeColor="text1"/>
          <w:sz w:val="24"/>
          <w14:textFill>
            <w14:solidFill>
              <w14:schemeClr w14:val="tx1"/>
            </w14:solidFill>
          </w14:textFill>
        </w:rPr>
        <w:t>时，及时采取强制放顶措施，避免大面积顶板夸落诱发冲击地压事故。</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10、冲击地压危险区域巷道扩修时，由施工单位制定专门的防冲措施，经审批后贯彻后实施。</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11、严格限制多工序平行作业，严禁多点作业，</w:t>
      </w:r>
      <w:r>
        <w:rPr>
          <w:rFonts w:ascii="仿宋" w:hAnsi="仿宋" w:eastAsia="仿宋" w:cs="仿宋_GB2312"/>
          <w:color w:val="000000" w:themeColor="text1"/>
          <w:sz w:val="24"/>
          <w14:textFill>
            <w14:solidFill>
              <w14:schemeClr w14:val="tx1"/>
            </w14:solidFill>
          </w14:textFill>
        </w:rPr>
        <w:t>严禁间距小于150m维修</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采动影响区域内严禁巷道扩修与回采平行作业。</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12、回采工作面防冲预卸压措施必须在超前两巷200m范围外进行，在冲击地压危险区进行解危卸压施工的，应当撤出该区域内与解危卸压施工无关的人员，停止运转与解危卸压施工无关的设备。</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采用煤层爆破卸压防治冲击地压时，依据冲击危险性评价结果、煤岩物理力学性质、开采布置等具体条件确定合理的爆破参数，包括孔深、孔径、孔距、装药量、封孔长度、起爆间隔时间、起爆方法、一次爆破的孔数。必须编制专项安全措施，起爆点及警戒点到爆破地点的直线距离不得小于300米，躲炮时间不得小于30分钟。</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14、严重（强）冲击地压危险区域防底鼓措施</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（1）严重（强）冲击地压危险区域严禁长流水；</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（2）严重（强）冲击地压危险区域底煤厚度超过0.5m时施工底板大直径卸压钻孔或煤体爆破孔，钻孔参数按照业务联系单执行。</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15、物料固定管理</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ascii="仿宋" w:hAnsi="仿宋" w:eastAsia="仿宋" w:cs="仿宋"/>
          <w:color w:val="000000" w:themeColor="text1"/>
          <w:sz w:val="24"/>
          <w14:textFill>
            <w14:solidFill>
              <w14:schemeClr w14:val="tx1"/>
            </w14:solidFill>
          </w14:textFill>
        </w:rPr>
        <w:t>工作面两</w:t>
      </w:r>
      <w:r>
        <w:rPr>
          <w:rFonts w:hint="eastAsia" w:ascii="仿宋" w:hAnsi="仿宋" w:eastAsia="仿宋" w:cs="仿宋"/>
          <w:color w:val="000000" w:themeColor="text1"/>
          <w:sz w:val="24"/>
          <w14:textFill>
            <w14:solidFill>
              <w14:schemeClr w14:val="tx1"/>
            </w14:solidFill>
          </w14:textFill>
        </w:rPr>
        <w:t>巷</w:t>
      </w:r>
      <w:r>
        <w:rPr>
          <w:rFonts w:ascii="仿宋" w:hAnsi="仿宋" w:eastAsia="仿宋" w:cs="仿宋"/>
          <w:color w:val="000000" w:themeColor="text1"/>
          <w:sz w:val="24"/>
          <w14:textFill>
            <w14:solidFill>
              <w14:schemeClr w14:val="tx1"/>
            </w14:solidFill>
          </w14:textFill>
        </w:rPr>
        <w:t xml:space="preserve">布置的冲击地压监测设备、线路等进行保护，不得随意破坏。 </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ascii="仿宋" w:hAnsi="仿宋" w:eastAsia="仿宋" w:cs="仿宋"/>
          <w:color w:val="000000" w:themeColor="text1"/>
          <w:sz w:val="24"/>
          <w14:textFill>
            <w14:solidFill>
              <w14:schemeClr w14:val="tx1"/>
            </w14:solidFill>
          </w14:textFill>
        </w:rPr>
        <w:t>评价为强冲击地压危险的区域不得存放备用材料和设备；有冲击地压危险的工作面，供电、供液等设备应当放置在采动应力集中影响区外，且距离工作面不小于500米；不能满足上述条件时，应当放置在无冲击地压危险区域。</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ascii="仿宋" w:hAnsi="仿宋" w:eastAsia="仿宋" w:cs="仿宋"/>
          <w:color w:val="000000" w:themeColor="text1"/>
          <w:sz w:val="24"/>
          <w14:textFill>
            <w14:solidFill>
              <w14:schemeClr w14:val="tx1"/>
            </w14:solidFill>
          </w14:textFill>
        </w:rPr>
        <w:t>瓦斯抽放管路、供风、供水管路、排水管路等应当吊挂在巷道腰线以下，高于1.2m 的必须采取固定措施；对使用的或备用的设备、开关等进行生根固定；两巷的液压单体、轨道、轨枕、方木等易受震移位、威胁人员安全的材料，必须在巷帮分类码放整齐，码放高度不得超过0.8m，并牢固固定在巷帮。所有固定用直径不小于6mm钢丝绳或采用专用链条固定。电缆吊挂要有垂度。</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14:textFill>
            <w14:solidFill>
              <w14:schemeClr w14:val="tx1"/>
            </w14:solidFill>
          </w14:textFill>
        </w:rPr>
        <w:t>锚杆、锚索防崩措施。工作面超前300m支护范围内锚杆、锚索采用 12#双股（或10#单股）铁丝缠绕进行防崩处理。</w:t>
      </w:r>
    </w:p>
    <w:p>
      <w:pPr>
        <w:pStyle w:val="12"/>
        <w:keepNext w:val="0"/>
        <w:keepLines w:val="0"/>
        <w:pageBreakBefore w:val="0"/>
        <w:widowControl w:val="0"/>
        <w:kinsoku/>
        <w:wordWrap/>
        <w:overflowPunct/>
        <w:topLinePunct w:val="0"/>
        <w:autoSpaceDE/>
        <w:autoSpaceDN/>
        <w:bidi w:val="0"/>
        <w:adjustRightInd/>
        <w:snapToGrid w:val="0"/>
        <w:spacing w:after="0" w:line="360" w:lineRule="auto"/>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七、预防操劳过度措施</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1、严格按照正规循环作业，严禁超循环，超负荷作业。</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2、严格执行“三</w:t>
      </w:r>
      <w:r>
        <w:rPr>
          <w:rFonts w:hint="eastAsia" w:ascii="仿宋" w:hAnsi="仿宋" w:eastAsia="仿宋" w:cs="仿宋"/>
          <w:color w:val="000000" w:themeColor="text1"/>
          <w:sz w:val="24"/>
          <w:lang w:val="en-US" w:eastAsia="zh-CN"/>
          <w14:textFill>
            <w14:solidFill>
              <w14:schemeClr w14:val="tx1"/>
            </w14:solidFill>
          </w14:textFill>
        </w:rPr>
        <w:t>八</w:t>
      </w:r>
      <w:r>
        <w:rPr>
          <w:rFonts w:hint="eastAsia" w:ascii="仿宋" w:hAnsi="仿宋" w:eastAsia="仿宋" w:cs="仿宋"/>
          <w:color w:val="000000" w:themeColor="text1"/>
          <w:sz w:val="24"/>
          <w14:textFill>
            <w14:solidFill>
              <w14:schemeClr w14:val="tx1"/>
            </w14:solidFill>
          </w14:textFill>
        </w:rPr>
        <w:t>”工作制，严禁超时作业。</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3、班中可适当组织员工进行集中休息，确保员工精力充沛。</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4、班队长应随时观察员工精神状态，如果员工体力不佳，应及时让其休息，严禁疲劳作业。</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5、班队长合理安排工作，确保员工有充分的休息时间，严禁超负荷、超能力组织生产。</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黑体" w:hAnsi="黑体" w:eastAsia="黑体" w:cs="黑体"/>
          <w:b/>
          <w:bCs/>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6、严禁硬压任务，应根据作业环境、生产条件合理安排工作。</w:t>
      </w:r>
    </w:p>
    <w:p>
      <w:pPr>
        <w:snapToGrid w:val="0"/>
        <w:ind w:firstLine="0" w:firstLineChars="0"/>
        <w:rPr>
          <w:rFonts w:hint="eastAsia" w:ascii="黑体" w:hAnsi="黑体" w:eastAsia="黑体" w:cs="黑体"/>
          <w:b/>
          <w:bCs/>
          <w:color w:val="FF0000"/>
          <w:sz w:val="28"/>
          <w:szCs w:val="28"/>
        </w:rPr>
      </w:pPr>
      <w:r>
        <w:rPr>
          <w:rFonts w:hint="eastAsia" w:ascii="黑体" w:hAnsi="黑体" w:eastAsia="黑体" w:cs="黑体"/>
          <w:b/>
          <w:bCs/>
          <w:color w:val="FF0000"/>
          <w:sz w:val="28"/>
          <w:szCs w:val="28"/>
        </w:rPr>
        <w:t xml:space="preserve"> </w:t>
      </w:r>
    </w:p>
    <w:p>
      <w:pPr>
        <w:pStyle w:val="12"/>
        <w:rPr>
          <w:rFonts w:hint="eastAsia" w:ascii="黑体" w:hAnsi="黑体" w:eastAsia="黑体" w:cs="黑体"/>
          <w:b/>
          <w:bCs/>
          <w:color w:val="FF0000"/>
          <w:sz w:val="28"/>
          <w:szCs w:val="28"/>
        </w:rPr>
      </w:pPr>
    </w:p>
    <w:p>
      <w:pPr>
        <w:pStyle w:val="13"/>
        <w:rPr>
          <w:rFonts w:hint="eastAsia" w:ascii="黑体" w:hAnsi="黑体" w:eastAsia="黑体" w:cs="黑体"/>
          <w:b/>
          <w:bCs/>
          <w:color w:val="FF0000"/>
          <w:sz w:val="28"/>
          <w:szCs w:val="28"/>
        </w:rPr>
      </w:pPr>
    </w:p>
    <w:p>
      <w:pPr>
        <w:pStyle w:val="13"/>
        <w:rPr>
          <w:rFonts w:hint="eastAsia" w:ascii="黑体" w:hAnsi="黑体" w:eastAsia="黑体" w:cs="黑体"/>
          <w:b/>
          <w:bCs/>
          <w:color w:val="FF0000"/>
          <w:sz w:val="28"/>
          <w:szCs w:val="28"/>
        </w:rPr>
      </w:pPr>
    </w:p>
    <w:p>
      <w:pPr>
        <w:pStyle w:val="13"/>
        <w:rPr>
          <w:rFonts w:hint="eastAsia" w:ascii="黑体" w:hAnsi="黑体" w:eastAsia="黑体" w:cs="黑体"/>
          <w:b/>
          <w:bCs/>
          <w:color w:val="FF0000"/>
          <w:sz w:val="28"/>
          <w:szCs w:val="28"/>
        </w:rPr>
      </w:pPr>
    </w:p>
    <w:p>
      <w:pPr>
        <w:pStyle w:val="13"/>
        <w:ind w:left="0" w:leftChars="0" w:firstLine="0" w:firstLineChars="0"/>
        <w:rPr>
          <w:rFonts w:hint="eastAsia" w:ascii="黑体" w:hAnsi="黑体" w:eastAsia="黑体" w:cs="黑体"/>
          <w:b/>
          <w:bCs/>
          <w:color w:val="FF0000"/>
          <w:sz w:val="28"/>
          <w:szCs w:val="28"/>
        </w:rPr>
      </w:pPr>
    </w:p>
    <w:p>
      <w:pPr>
        <w:pStyle w:val="13"/>
        <w:ind w:left="0" w:leftChars="0" w:firstLine="0" w:firstLineChars="0"/>
        <w:rPr>
          <w:rFonts w:hint="eastAsia" w:ascii="黑体" w:hAnsi="黑体" w:eastAsia="黑体" w:cs="黑体"/>
          <w:b/>
          <w:bCs/>
          <w:color w:val="FF0000"/>
          <w:sz w:val="28"/>
          <w:szCs w:val="28"/>
        </w:rPr>
      </w:pPr>
    </w:p>
    <w:p>
      <w:pPr>
        <w:pStyle w:val="13"/>
        <w:ind w:left="0" w:leftChars="0" w:firstLine="0" w:firstLineChars="0"/>
        <w:rPr>
          <w:rFonts w:hint="eastAsia" w:ascii="黑体" w:hAnsi="黑体" w:eastAsia="黑体" w:cs="黑体"/>
          <w:b/>
          <w:bCs/>
          <w:color w:val="FF0000"/>
          <w:sz w:val="28"/>
          <w:szCs w:val="28"/>
        </w:rPr>
      </w:pPr>
    </w:p>
    <w:p>
      <w:pPr>
        <w:pStyle w:val="13"/>
        <w:ind w:left="0" w:leftChars="0" w:firstLine="0" w:firstLineChars="0"/>
        <w:rPr>
          <w:rFonts w:hint="eastAsia" w:ascii="黑体" w:hAnsi="黑体" w:eastAsia="黑体" w:cs="黑体"/>
          <w:b/>
          <w:bCs/>
          <w:color w:val="FF0000"/>
          <w:sz w:val="28"/>
          <w:szCs w:val="28"/>
        </w:rPr>
      </w:pPr>
    </w:p>
    <w:p>
      <w:pPr>
        <w:pStyle w:val="13"/>
        <w:ind w:left="0" w:leftChars="0" w:firstLine="0" w:firstLineChars="0"/>
        <w:rPr>
          <w:rFonts w:hint="eastAsia" w:ascii="黑体" w:hAnsi="黑体" w:eastAsia="黑体" w:cs="黑体"/>
          <w:b/>
          <w:bCs/>
          <w:color w:val="FF0000"/>
          <w:sz w:val="28"/>
          <w:szCs w:val="28"/>
        </w:rPr>
      </w:pPr>
    </w:p>
    <w:p>
      <w:pPr>
        <w:pStyle w:val="13"/>
        <w:ind w:left="0" w:leftChars="0" w:firstLine="0" w:firstLineChars="0"/>
        <w:rPr>
          <w:rFonts w:hint="eastAsia" w:ascii="黑体" w:hAnsi="黑体" w:eastAsia="黑体" w:cs="黑体"/>
          <w:b/>
          <w:bCs/>
          <w:color w:val="FF0000"/>
          <w:sz w:val="28"/>
          <w:szCs w:val="28"/>
        </w:rPr>
      </w:pPr>
    </w:p>
    <w:p>
      <w:pPr>
        <w:keepNext w:val="0"/>
        <w:keepLines w:val="0"/>
        <w:pageBreakBefore w:val="0"/>
        <w:widowControl w:val="0"/>
        <w:kinsoku/>
        <w:wordWrap/>
        <w:overflowPunct/>
        <w:topLinePunct w:val="0"/>
        <w:bidi w:val="0"/>
        <w:snapToGrid w:val="0"/>
        <w:spacing w:line="420" w:lineRule="exact"/>
        <w:ind w:firstLine="0" w:firstLineChars="0"/>
        <w:jc w:val="center"/>
        <w:textAlignment w:val="auto"/>
        <w:rPr>
          <w:rFonts w:ascii="黑体" w:hAnsi="黑体" w:eastAsia="黑体" w:cs="黑体"/>
          <w:b/>
          <w:bCs/>
          <w:color w:val="000000" w:themeColor="text1"/>
          <w:sz w:val="28"/>
          <w:szCs w:val="28"/>
          <w14:textFill>
            <w14:solidFill>
              <w14:schemeClr w14:val="tx1"/>
            </w14:solidFill>
          </w14:textFill>
        </w:rPr>
      </w:pPr>
      <w:r>
        <w:rPr>
          <w:rFonts w:hint="eastAsia" w:ascii="黑体" w:hAnsi="黑体" w:eastAsia="黑体" w:cs="黑体"/>
          <w:b/>
          <w:bCs/>
          <w:color w:val="000000" w:themeColor="text1"/>
          <w:sz w:val="28"/>
          <w:szCs w:val="28"/>
          <w14:textFill>
            <w14:solidFill>
              <w14:schemeClr w14:val="tx1"/>
            </w14:solidFill>
          </w14:textFill>
        </w:rPr>
        <w:t>第八节  其它安全技术措施</w:t>
      </w:r>
    </w:p>
    <w:p>
      <w:pPr>
        <w:keepNext w:val="0"/>
        <w:keepLines w:val="0"/>
        <w:pageBreakBefore w:val="0"/>
        <w:widowControl w:val="0"/>
        <w:tabs>
          <w:tab w:val="left" w:pos="547"/>
        </w:tabs>
        <w:kinsoku/>
        <w:wordWrap/>
        <w:overflowPunct/>
        <w:topLinePunct w:val="0"/>
        <w:autoSpaceDE w:val="0"/>
        <w:autoSpaceDN w:val="0"/>
        <w:bidi w:val="0"/>
        <w:adjustRightInd w:val="0"/>
        <w:snapToGrid w:val="0"/>
        <w:spacing w:line="420" w:lineRule="exact"/>
        <w:ind w:firstLine="0" w:firstLineChars="0"/>
        <w:textAlignment w:val="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一、</w:t>
      </w:r>
      <w:r>
        <w:rPr>
          <w:rFonts w:hint="eastAsia" w:ascii="仿宋" w:hAnsi="仿宋" w:eastAsia="仿宋" w:cs="仿宋_GB2312"/>
          <w:b/>
          <w:color w:val="000000" w:themeColor="text1"/>
          <w:sz w:val="24"/>
          <w14:textFill>
            <w14:solidFill>
              <w14:schemeClr w14:val="tx1"/>
            </w14:solidFill>
          </w14:textFill>
        </w:rPr>
        <w:t>皮带机</w:t>
      </w:r>
      <w:r>
        <w:rPr>
          <w:rFonts w:ascii="仿宋" w:hAnsi="仿宋" w:eastAsia="仿宋" w:cs="仿宋_GB2312"/>
          <w:b/>
          <w:color w:val="000000" w:themeColor="text1"/>
          <w:sz w:val="24"/>
          <w14:textFill>
            <w14:solidFill>
              <w14:schemeClr w14:val="tx1"/>
            </w14:solidFill>
          </w14:textFill>
        </w:rPr>
        <w:t>转运</w:t>
      </w:r>
      <w:r>
        <w:rPr>
          <w:rFonts w:hint="eastAsia" w:ascii="仿宋" w:hAnsi="仿宋" w:eastAsia="仿宋" w:cs="仿宋_GB2312"/>
          <w:b/>
          <w:color w:val="000000" w:themeColor="text1"/>
          <w:sz w:val="24"/>
          <w14:textFill>
            <w14:solidFill>
              <w14:schemeClr w14:val="tx1"/>
            </w14:solidFill>
          </w14:textFill>
        </w:rPr>
        <w:t>物料安全技术</w:t>
      </w:r>
      <w:r>
        <w:rPr>
          <w:rFonts w:ascii="仿宋" w:hAnsi="仿宋" w:eastAsia="仿宋" w:cs="仿宋_GB2312"/>
          <w:b/>
          <w:color w:val="000000" w:themeColor="text1"/>
          <w:sz w:val="24"/>
          <w14:textFill>
            <w14:solidFill>
              <w14:schemeClr w14:val="tx1"/>
            </w14:solidFill>
          </w14:textFill>
        </w:rPr>
        <w:t>措施</w:t>
      </w:r>
    </w:p>
    <w:p>
      <w:pPr>
        <w:keepNext w:val="0"/>
        <w:keepLines w:val="0"/>
        <w:pageBreakBefore w:val="0"/>
        <w:widowControl w:val="0"/>
        <w:tabs>
          <w:tab w:val="left" w:pos="720"/>
        </w:tabs>
        <w:kinsoku/>
        <w:wordWrap/>
        <w:overflowPunct/>
        <w:topLinePunct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r>
        <w:rPr>
          <w:rFonts w:ascii="仿宋" w:hAnsi="仿宋" w:eastAsia="仿宋" w:cs="仿宋_GB2312"/>
          <w:color w:val="000000" w:themeColor="text1"/>
          <w:sz w:val="24"/>
          <w14:textFill>
            <w14:solidFill>
              <w14:schemeClr w14:val="tx1"/>
            </w14:solidFill>
          </w14:textFill>
        </w:rPr>
        <w:t>转运</w:t>
      </w:r>
      <w:r>
        <w:rPr>
          <w:rFonts w:hint="eastAsia" w:ascii="仿宋" w:hAnsi="仿宋" w:eastAsia="仿宋" w:cs="仿宋_GB2312"/>
          <w:color w:val="000000" w:themeColor="text1"/>
          <w:sz w:val="24"/>
          <w14:textFill>
            <w14:solidFill>
              <w14:schemeClr w14:val="tx1"/>
            </w14:solidFill>
          </w14:textFill>
        </w:rPr>
        <w:t>物料</w:t>
      </w:r>
      <w:r>
        <w:rPr>
          <w:rFonts w:ascii="仿宋" w:hAnsi="仿宋" w:eastAsia="仿宋" w:cs="仿宋_GB2312"/>
          <w:color w:val="000000" w:themeColor="text1"/>
          <w:sz w:val="24"/>
          <w14:textFill>
            <w14:solidFill>
              <w14:schemeClr w14:val="tx1"/>
            </w14:solidFill>
          </w14:textFill>
        </w:rPr>
        <w:t>必须指定一名</w:t>
      </w:r>
      <w:r>
        <w:rPr>
          <w:rFonts w:hint="eastAsia" w:ascii="仿宋" w:hAnsi="仿宋" w:eastAsia="仿宋" w:cs="仿宋_GB2312"/>
          <w:color w:val="000000" w:themeColor="text1"/>
          <w:sz w:val="24"/>
          <w14:textFill>
            <w14:solidFill>
              <w14:schemeClr w14:val="tx1"/>
            </w14:solidFill>
          </w14:textFill>
        </w:rPr>
        <w:t>班</w:t>
      </w:r>
      <w:r>
        <w:rPr>
          <w:rFonts w:ascii="仿宋" w:hAnsi="仿宋" w:eastAsia="仿宋" w:cs="仿宋_GB2312"/>
          <w:color w:val="000000" w:themeColor="text1"/>
          <w:sz w:val="24"/>
          <w14:textFill>
            <w14:solidFill>
              <w14:schemeClr w14:val="tx1"/>
            </w14:solidFill>
          </w14:textFill>
        </w:rPr>
        <w:t>队长现场统一指挥，协调工作</w:t>
      </w:r>
      <w:r>
        <w:rPr>
          <w:rFonts w:hint="eastAsia" w:ascii="仿宋" w:hAnsi="仿宋" w:eastAsia="仿宋" w:cs="仿宋_GB2312"/>
          <w:color w:val="000000" w:themeColor="text1"/>
          <w:sz w:val="24"/>
          <w14:textFill>
            <w14:solidFill>
              <w14:schemeClr w14:val="tx1"/>
            </w14:solidFill>
          </w14:textFill>
        </w:rPr>
        <w:t>，保证安全</w:t>
      </w:r>
      <w:r>
        <w:rPr>
          <w:rFonts w:ascii="仿宋" w:hAnsi="仿宋" w:eastAsia="仿宋" w:cs="仿宋_GB2312"/>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转运前，必须对整机进行检查，只有在托辊、皮带扣齐全完好，沿线急停装置、联络信号灵敏可靠，皮带机运转正常的情况下方可转运物料，皮带机</w:t>
      </w:r>
      <w:r>
        <w:rPr>
          <w:rFonts w:ascii="仿宋" w:hAnsi="仿宋" w:eastAsia="仿宋" w:cs="仿宋_GB2312"/>
          <w:color w:val="000000" w:themeColor="text1"/>
          <w:sz w:val="24"/>
          <w14:textFill>
            <w14:solidFill>
              <w14:schemeClr w14:val="tx1"/>
            </w14:solidFill>
          </w14:textFill>
        </w:rPr>
        <w:t>跑偏或有撕裂宽度超过150mm时禁止转运</w:t>
      </w:r>
      <w:r>
        <w:rPr>
          <w:rFonts w:hint="eastAsia" w:ascii="仿宋" w:hAnsi="仿宋" w:eastAsia="仿宋" w:cs="仿宋_GB2312"/>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r>
        <w:rPr>
          <w:rFonts w:ascii="仿宋" w:hAnsi="仿宋" w:eastAsia="仿宋" w:cs="仿宋_GB2312"/>
          <w:color w:val="000000" w:themeColor="text1"/>
          <w:sz w:val="24"/>
          <w14:textFill>
            <w14:solidFill>
              <w14:schemeClr w14:val="tx1"/>
            </w14:solidFill>
          </w14:textFill>
        </w:rPr>
        <w:t>转运前，要对</w:t>
      </w:r>
      <w:r>
        <w:rPr>
          <w:rFonts w:hint="eastAsia" w:ascii="仿宋" w:hAnsi="仿宋" w:eastAsia="仿宋" w:cs="仿宋_GB2312"/>
          <w:color w:val="000000" w:themeColor="text1"/>
          <w:sz w:val="24"/>
          <w14:textFill>
            <w14:solidFill>
              <w14:schemeClr w14:val="tx1"/>
            </w14:solidFill>
          </w14:textFill>
        </w:rPr>
        <w:t>皮带机</w:t>
      </w:r>
      <w:r>
        <w:rPr>
          <w:rFonts w:ascii="仿宋" w:hAnsi="仿宋" w:eastAsia="仿宋" w:cs="仿宋_GB2312"/>
          <w:color w:val="000000" w:themeColor="text1"/>
          <w:sz w:val="24"/>
          <w14:textFill>
            <w14:solidFill>
              <w14:schemeClr w14:val="tx1"/>
            </w14:solidFill>
          </w14:textFill>
        </w:rPr>
        <w:t>进行试运转，正常后方可进行转运。</w:t>
      </w:r>
      <w:r>
        <w:rPr>
          <w:rFonts w:hint="eastAsia" w:ascii="仿宋" w:hAnsi="仿宋" w:eastAsia="仿宋" w:cs="仿宋_GB2312"/>
          <w:color w:val="000000" w:themeColor="text1"/>
          <w:sz w:val="24"/>
          <w14:textFill>
            <w14:solidFill>
              <w14:schemeClr w14:val="tx1"/>
            </w14:solidFill>
          </w14:textFill>
        </w:rPr>
        <w:t>转运期间皮带速度不得超过1.5m/s。</w:t>
      </w:r>
    </w:p>
    <w:p>
      <w:pPr>
        <w:keepNext w:val="0"/>
        <w:keepLines w:val="0"/>
        <w:pageBreakBefore w:val="0"/>
        <w:widowControl w:val="0"/>
        <w:tabs>
          <w:tab w:val="left" w:pos="720"/>
        </w:tabs>
        <w:kinsoku/>
        <w:wordWrap/>
        <w:overflowPunct/>
        <w:topLinePunct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r>
        <w:rPr>
          <w:rFonts w:ascii="仿宋" w:hAnsi="仿宋" w:eastAsia="仿宋" w:cs="仿宋_GB2312"/>
          <w:color w:val="000000" w:themeColor="text1"/>
          <w:sz w:val="24"/>
          <w14:textFill>
            <w14:solidFill>
              <w14:schemeClr w14:val="tx1"/>
            </w14:solidFill>
          </w14:textFill>
        </w:rPr>
        <w:t>、转运前</w:t>
      </w:r>
      <w:r>
        <w:rPr>
          <w:rFonts w:hint="eastAsia" w:ascii="仿宋" w:hAnsi="仿宋" w:eastAsia="仿宋" w:cs="仿宋_GB2312"/>
          <w:color w:val="000000" w:themeColor="text1"/>
          <w:sz w:val="24"/>
          <w14:textFill>
            <w14:solidFill>
              <w14:schemeClr w14:val="tx1"/>
            </w14:solidFill>
          </w14:textFill>
        </w:rPr>
        <w:t>将皮带上煤溜空，</w:t>
      </w:r>
      <w:r>
        <w:rPr>
          <w:rFonts w:ascii="仿宋" w:hAnsi="仿宋" w:eastAsia="仿宋" w:cs="仿宋_GB2312"/>
          <w:color w:val="000000" w:themeColor="text1"/>
          <w:sz w:val="24"/>
          <w14:textFill>
            <w14:solidFill>
              <w14:schemeClr w14:val="tx1"/>
            </w14:solidFill>
          </w14:textFill>
        </w:rPr>
        <w:t>与</w:t>
      </w:r>
      <w:r>
        <w:rPr>
          <w:rFonts w:hint="eastAsia" w:ascii="仿宋" w:hAnsi="仿宋" w:eastAsia="仿宋" w:cs="仿宋_GB2312"/>
          <w:color w:val="000000" w:themeColor="text1"/>
          <w:sz w:val="24"/>
          <w14:textFill>
            <w14:solidFill>
              <w14:schemeClr w14:val="tx1"/>
            </w14:solidFill>
          </w14:textFill>
        </w:rPr>
        <w:t>皮带机相搭接的</w:t>
      </w:r>
      <w:r>
        <w:rPr>
          <w:rFonts w:ascii="仿宋" w:hAnsi="仿宋" w:eastAsia="仿宋" w:cs="仿宋_GB2312"/>
          <w:color w:val="000000" w:themeColor="text1"/>
          <w:sz w:val="24"/>
          <w14:textFill>
            <w14:solidFill>
              <w14:schemeClr w14:val="tx1"/>
            </w14:solidFill>
          </w14:textFill>
        </w:rPr>
        <w:t>各部车要停电闭锁，并在</w:t>
      </w:r>
      <w:r>
        <w:rPr>
          <w:rFonts w:hint="eastAsia" w:ascii="仿宋" w:hAnsi="仿宋" w:eastAsia="仿宋" w:cs="仿宋_GB2312"/>
          <w:color w:val="000000" w:themeColor="text1"/>
          <w:sz w:val="24"/>
          <w14:textFill>
            <w14:solidFill>
              <w14:schemeClr w14:val="tx1"/>
            </w14:solidFill>
          </w14:textFill>
        </w:rPr>
        <w:t>皮带机</w:t>
      </w:r>
      <w:r>
        <w:rPr>
          <w:rFonts w:ascii="仿宋" w:hAnsi="仿宋" w:eastAsia="仿宋" w:cs="仿宋_GB2312"/>
          <w:color w:val="000000" w:themeColor="text1"/>
          <w:sz w:val="24"/>
          <w14:textFill>
            <w14:solidFill>
              <w14:schemeClr w14:val="tx1"/>
            </w14:solidFill>
          </w14:textFill>
        </w:rPr>
        <w:t>的机头、机尾安排专人观察</w:t>
      </w:r>
      <w:r>
        <w:rPr>
          <w:rFonts w:hint="eastAsia" w:ascii="仿宋" w:hAnsi="仿宋" w:eastAsia="仿宋" w:cs="仿宋_GB2312"/>
          <w:color w:val="000000" w:themeColor="text1"/>
          <w:sz w:val="24"/>
          <w14:textFill>
            <w14:solidFill>
              <w14:schemeClr w14:val="tx1"/>
            </w14:solidFill>
          </w14:textFill>
        </w:rPr>
        <w:t>物料</w:t>
      </w:r>
      <w:r>
        <w:rPr>
          <w:rFonts w:ascii="仿宋" w:hAnsi="仿宋" w:eastAsia="仿宋" w:cs="仿宋_GB2312"/>
          <w:color w:val="000000" w:themeColor="text1"/>
          <w:sz w:val="24"/>
          <w14:textFill>
            <w14:solidFill>
              <w14:schemeClr w14:val="tx1"/>
            </w14:solidFill>
          </w14:textFill>
        </w:rPr>
        <w:t xml:space="preserve">的运行情况； </w:t>
      </w:r>
    </w:p>
    <w:p>
      <w:pPr>
        <w:keepNext w:val="0"/>
        <w:keepLines w:val="0"/>
        <w:pageBreakBefore w:val="0"/>
        <w:widowControl w:val="0"/>
        <w:tabs>
          <w:tab w:val="left" w:pos="720"/>
        </w:tabs>
        <w:kinsoku/>
        <w:wordWrap/>
        <w:overflowPunct/>
        <w:topLinePunct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r>
        <w:rPr>
          <w:rFonts w:ascii="仿宋" w:hAnsi="仿宋" w:eastAsia="仿宋" w:cs="仿宋_GB2312"/>
          <w:color w:val="000000" w:themeColor="text1"/>
          <w:sz w:val="24"/>
          <w14:textFill>
            <w14:solidFill>
              <w14:schemeClr w14:val="tx1"/>
            </w14:solidFill>
          </w14:textFill>
        </w:rPr>
        <w:t>、装、卸</w:t>
      </w:r>
      <w:r>
        <w:rPr>
          <w:rFonts w:hint="eastAsia" w:ascii="仿宋" w:hAnsi="仿宋" w:eastAsia="仿宋" w:cs="仿宋_GB2312"/>
          <w:color w:val="000000" w:themeColor="text1"/>
          <w:sz w:val="24"/>
          <w14:textFill>
            <w14:solidFill>
              <w14:schemeClr w14:val="tx1"/>
            </w14:solidFill>
          </w14:textFill>
        </w:rPr>
        <w:t>物料</w:t>
      </w:r>
      <w:r>
        <w:rPr>
          <w:rFonts w:hint="eastAsia" w:ascii="仿宋" w:hAnsi="仿宋" w:eastAsia="仿宋" w:cs="仿宋_GB2312"/>
          <w:color w:val="000000" w:themeColor="text1"/>
          <w:sz w:val="24"/>
          <w:lang w:eastAsia="zh-CN"/>
          <w14:textFill>
            <w14:solidFill>
              <w14:schemeClr w14:val="tx1"/>
            </w14:solidFill>
          </w14:textFill>
        </w:rPr>
        <w:t>（</w:t>
      </w:r>
      <w:r>
        <w:rPr>
          <w:rFonts w:hint="eastAsia" w:ascii="仿宋" w:hAnsi="仿宋" w:eastAsia="仿宋" w:cs="仿宋_GB2312"/>
          <w:color w:val="000000" w:themeColor="text1"/>
          <w:sz w:val="24"/>
          <w:lang w:val="en-US" w:eastAsia="zh-CN"/>
          <w14:textFill>
            <w14:solidFill>
              <w14:schemeClr w14:val="tx1"/>
            </w14:solidFill>
          </w14:textFill>
        </w:rPr>
        <w:t>道木、废旧锚杆、管路、轨道</w:t>
      </w:r>
      <w:r>
        <w:rPr>
          <w:rFonts w:hint="eastAsia" w:ascii="仿宋" w:hAnsi="仿宋" w:eastAsia="仿宋" w:cs="仿宋_GB2312"/>
          <w:color w:val="000000" w:themeColor="text1"/>
          <w:sz w:val="24"/>
          <w:lang w:eastAsia="zh-CN"/>
          <w14:textFill>
            <w14:solidFill>
              <w14:schemeClr w14:val="tx1"/>
            </w14:solidFill>
          </w14:textFill>
        </w:rPr>
        <w:t>）</w:t>
      </w:r>
      <w:r>
        <w:rPr>
          <w:rFonts w:ascii="仿宋" w:hAnsi="仿宋" w:eastAsia="仿宋" w:cs="仿宋_GB2312"/>
          <w:color w:val="000000" w:themeColor="text1"/>
          <w:sz w:val="24"/>
          <w14:textFill>
            <w14:solidFill>
              <w14:schemeClr w14:val="tx1"/>
            </w14:solidFill>
          </w14:textFill>
        </w:rPr>
        <w:t>时，</w:t>
      </w:r>
      <w:r>
        <w:rPr>
          <w:rFonts w:hint="eastAsia" w:ascii="仿宋" w:hAnsi="仿宋" w:eastAsia="仿宋" w:cs="仿宋_GB2312"/>
          <w:color w:val="000000" w:themeColor="text1"/>
          <w:sz w:val="24"/>
          <w14:textFill>
            <w14:solidFill>
              <w14:schemeClr w14:val="tx1"/>
            </w14:solidFill>
          </w14:textFill>
        </w:rPr>
        <w:t>皮带机</w:t>
      </w:r>
      <w:r>
        <w:rPr>
          <w:rFonts w:ascii="仿宋" w:hAnsi="仿宋" w:eastAsia="仿宋" w:cs="仿宋_GB2312"/>
          <w:color w:val="000000" w:themeColor="text1"/>
          <w:sz w:val="24"/>
          <w14:textFill>
            <w14:solidFill>
              <w14:schemeClr w14:val="tx1"/>
            </w14:solidFill>
          </w14:textFill>
        </w:rPr>
        <w:t>必须停电，否则不准装、卸。</w:t>
      </w:r>
    </w:p>
    <w:p>
      <w:pPr>
        <w:keepNext w:val="0"/>
        <w:keepLines w:val="0"/>
        <w:pageBreakBefore w:val="0"/>
        <w:widowControl w:val="0"/>
        <w:tabs>
          <w:tab w:val="left" w:pos="720"/>
        </w:tabs>
        <w:kinsoku/>
        <w:wordWrap/>
        <w:overflowPunct/>
        <w:topLinePunct w:val="0"/>
        <w:bidi w:val="0"/>
        <w:adjustRightInd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w:t>
      </w:r>
      <w:r>
        <w:rPr>
          <w:rFonts w:ascii="仿宋" w:hAnsi="仿宋" w:eastAsia="仿宋" w:cs="仿宋_GB2312"/>
          <w:color w:val="000000" w:themeColor="text1"/>
          <w:sz w:val="24"/>
          <w14:textFill>
            <w14:solidFill>
              <w14:schemeClr w14:val="tx1"/>
            </w14:solidFill>
          </w14:textFill>
        </w:rPr>
        <w:t>、在向</w:t>
      </w:r>
      <w:r>
        <w:rPr>
          <w:rFonts w:hint="eastAsia" w:ascii="仿宋" w:hAnsi="仿宋" w:eastAsia="仿宋" w:cs="仿宋_GB2312"/>
          <w:color w:val="000000" w:themeColor="text1"/>
          <w:sz w:val="24"/>
          <w14:textFill>
            <w14:solidFill>
              <w14:schemeClr w14:val="tx1"/>
            </w14:solidFill>
          </w14:textFill>
        </w:rPr>
        <w:t>皮带机</w:t>
      </w:r>
      <w:r>
        <w:rPr>
          <w:rFonts w:ascii="仿宋" w:hAnsi="仿宋" w:eastAsia="仿宋" w:cs="仿宋_GB2312"/>
          <w:color w:val="000000" w:themeColor="text1"/>
          <w:sz w:val="24"/>
          <w14:textFill>
            <w14:solidFill>
              <w14:schemeClr w14:val="tx1"/>
            </w14:solidFill>
          </w14:textFill>
        </w:rPr>
        <w:t>上装载</w:t>
      </w:r>
      <w:r>
        <w:rPr>
          <w:rFonts w:hint="eastAsia" w:ascii="仿宋" w:hAnsi="仿宋" w:eastAsia="仿宋" w:cs="仿宋_GB2312"/>
          <w:color w:val="000000" w:themeColor="text1"/>
          <w:sz w:val="24"/>
          <w14:textFill>
            <w14:solidFill>
              <w14:schemeClr w14:val="tx1"/>
            </w14:solidFill>
          </w14:textFill>
        </w:rPr>
        <w:t>物料</w:t>
      </w:r>
      <w:r>
        <w:rPr>
          <w:rFonts w:ascii="仿宋" w:hAnsi="仿宋" w:eastAsia="仿宋" w:cs="仿宋_GB2312"/>
          <w:color w:val="000000" w:themeColor="text1"/>
          <w:sz w:val="24"/>
          <w14:textFill>
            <w14:solidFill>
              <w14:schemeClr w14:val="tx1"/>
            </w14:solidFill>
          </w14:textFill>
        </w:rPr>
        <w:t>时，严禁乱扔乱放</w:t>
      </w:r>
      <w:r>
        <w:rPr>
          <w:rFonts w:hint="eastAsia" w:ascii="仿宋" w:hAnsi="仿宋" w:eastAsia="仿宋" w:cs="仿宋_GB2312"/>
          <w:color w:val="000000" w:themeColor="text1"/>
          <w:sz w:val="24"/>
          <w14:textFill>
            <w14:solidFill>
              <w14:schemeClr w14:val="tx1"/>
            </w14:solidFill>
          </w14:textFill>
        </w:rPr>
        <w:t>，必须遵守以下规定：</w:t>
      </w:r>
    </w:p>
    <w:p>
      <w:pPr>
        <w:keepNext w:val="0"/>
        <w:keepLines w:val="0"/>
        <w:pageBreakBefore w:val="0"/>
        <w:widowControl w:val="0"/>
        <w:tabs>
          <w:tab w:val="left" w:pos="720"/>
        </w:tabs>
        <w:kinsoku/>
        <w:wordWrap/>
        <w:overflowPunct/>
        <w:topLinePunct w:val="0"/>
        <w:bidi w:val="0"/>
        <w:snapToGrid w:val="0"/>
        <w:spacing w:line="420" w:lineRule="exact"/>
        <w:ind w:firstLine="480"/>
        <w:textAlignment w:val="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（1）物料</w:t>
      </w:r>
      <w:r>
        <w:rPr>
          <w:rFonts w:hint="eastAsia" w:ascii="仿宋" w:hAnsi="仿宋" w:eastAsia="仿宋" w:cs="仿宋_GB2312"/>
          <w:color w:val="000000" w:themeColor="text1"/>
          <w:kern w:val="0"/>
          <w:sz w:val="24"/>
          <w:lang w:val="zh-CN"/>
          <w14:textFill>
            <w14:solidFill>
              <w14:schemeClr w14:val="tx1"/>
            </w14:solidFill>
          </w14:textFill>
        </w:rPr>
        <w:t>不能存放在皮带接头处；</w:t>
      </w:r>
    </w:p>
    <w:p>
      <w:pPr>
        <w:keepNext w:val="0"/>
        <w:keepLines w:val="0"/>
        <w:pageBreakBefore w:val="0"/>
        <w:widowControl w:val="0"/>
        <w:tabs>
          <w:tab w:val="left" w:pos="720"/>
        </w:tabs>
        <w:kinsoku/>
        <w:wordWrap/>
        <w:overflowPunct/>
        <w:topLinePunct w:val="0"/>
        <w:bidi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（2）</w:t>
      </w:r>
      <w:r>
        <w:rPr>
          <w:rFonts w:ascii="仿宋" w:hAnsi="仿宋" w:eastAsia="仿宋" w:cs="仿宋_GB2312"/>
          <w:color w:val="000000" w:themeColor="text1"/>
          <w:sz w:val="24"/>
          <w14:textFill>
            <w14:solidFill>
              <w14:schemeClr w14:val="tx1"/>
            </w14:solidFill>
          </w14:textFill>
        </w:rPr>
        <w:t>要做到朝向机头的一端先放，另一端后放，</w:t>
      </w:r>
      <w:r>
        <w:rPr>
          <w:rFonts w:hint="eastAsia" w:ascii="仿宋" w:hAnsi="仿宋" w:eastAsia="仿宋" w:cs="仿宋_GB2312"/>
          <w:color w:val="000000" w:themeColor="text1"/>
          <w:sz w:val="24"/>
          <w14:textFill>
            <w14:solidFill>
              <w14:schemeClr w14:val="tx1"/>
            </w14:solidFill>
          </w14:textFill>
        </w:rPr>
        <w:t>物料</w:t>
      </w:r>
      <w:r>
        <w:rPr>
          <w:rFonts w:ascii="仿宋" w:hAnsi="仿宋" w:eastAsia="仿宋" w:cs="仿宋_GB2312"/>
          <w:color w:val="000000" w:themeColor="text1"/>
          <w:sz w:val="24"/>
          <w14:textFill>
            <w14:solidFill>
              <w14:schemeClr w14:val="tx1"/>
            </w14:solidFill>
          </w14:textFill>
        </w:rPr>
        <w:t>要平行于</w:t>
      </w:r>
      <w:r>
        <w:rPr>
          <w:rFonts w:hint="eastAsia" w:ascii="仿宋" w:hAnsi="仿宋" w:eastAsia="仿宋" w:cs="仿宋_GB2312"/>
          <w:color w:val="000000" w:themeColor="text1"/>
          <w:sz w:val="24"/>
          <w14:textFill>
            <w14:solidFill>
              <w14:schemeClr w14:val="tx1"/>
            </w14:solidFill>
          </w14:textFill>
        </w:rPr>
        <w:t>皮带机</w:t>
      </w:r>
      <w:r>
        <w:rPr>
          <w:rFonts w:ascii="仿宋" w:hAnsi="仿宋" w:eastAsia="仿宋" w:cs="仿宋_GB2312"/>
          <w:color w:val="000000" w:themeColor="text1"/>
          <w:sz w:val="24"/>
          <w14:textFill>
            <w14:solidFill>
              <w14:schemeClr w14:val="tx1"/>
            </w14:solidFill>
          </w14:textFill>
        </w:rPr>
        <w:t>的运行方向，</w:t>
      </w:r>
      <w:r>
        <w:rPr>
          <w:rFonts w:hint="eastAsia" w:ascii="仿宋" w:hAnsi="仿宋" w:eastAsia="仿宋" w:cs="仿宋_GB2312"/>
          <w:color w:val="000000" w:themeColor="text1"/>
          <w:sz w:val="24"/>
          <w14:textFill>
            <w14:solidFill>
              <w14:schemeClr w14:val="tx1"/>
            </w14:solidFill>
          </w14:textFill>
        </w:rPr>
        <w:t>放置稳固；</w:t>
      </w:r>
    </w:p>
    <w:p>
      <w:pPr>
        <w:keepNext w:val="0"/>
        <w:keepLines w:val="0"/>
        <w:pageBreakBefore w:val="0"/>
        <w:widowControl w:val="0"/>
        <w:tabs>
          <w:tab w:val="left" w:pos="720"/>
        </w:tabs>
        <w:kinsoku/>
        <w:wordWrap/>
        <w:overflowPunct/>
        <w:topLinePunct w:val="0"/>
        <w:bidi w:val="0"/>
        <w:snapToGrid w:val="0"/>
        <w:spacing w:line="420" w:lineRule="exact"/>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（3）各类物料不准码放成堆，每处所放物料并排宽度不得超过带宽的2/3，且每处物料在皮带上的间距不得少于3m；</w:t>
      </w:r>
      <w:r>
        <w:rPr>
          <w:rFonts w:hint="eastAsia" w:ascii="仿宋" w:hAnsi="仿宋" w:eastAsia="仿宋" w:cs="仿宋_GB2312"/>
          <w:color w:val="000000" w:themeColor="text1"/>
          <w:kern w:val="0"/>
          <w:sz w:val="24"/>
          <w14:textFill>
            <w14:solidFill>
              <w14:schemeClr w14:val="tx1"/>
            </w14:solidFill>
          </w14:textFill>
        </w:rPr>
        <w:t>底部皮带码放时，码放高度距上部托辊大于200mm。</w:t>
      </w:r>
    </w:p>
    <w:p>
      <w:pPr>
        <w:keepNext w:val="0"/>
        <w:keepLines w:val="0"/>
        <w:pageBreakBefore w:val="0"/>
        <w:widowControl w:val="0"/>
        <w:tabs>
          <w:tab w:val="left" w:pos="720"/>
        </w:tabs>
        <w:kinsoku/>
        <w:wordWrap/>
        <w:overflowPunct/>
        <w:topLinePunct w:val="0"/>
        <w:bidi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（4）码放物料要沿皮带中心线向两边均匀排放，不能使一侧偏重，以防造成跑偏；</w:t>
      </w:r>
    </w:p>
    <w:p>
      <w:pPr>
        <w:keepNext w:val="0"/>
        <w:keepLines w:val="0"/>
        <w:pageBreakBefore w:val="0"/>
        <w:widowControl w:val="0"/>
        <w:tabs>
          <w:tab w:val="left" w:pos="720"/>
        </w:tabs>
        <w:kinsoku/>
        <w:wordWrap/>
        <w:overflowPunct/>
        <w:topLinePunct w:val="0"/>
        <w:bidi w:val="0"/>
        <w:snapToGrid w:val="0"/>
        <w:spacing w:line="420" w:lineRule="exact"/>
        <w:ind w:firstLine="480"/>
        <w:textAlignment w:val="auto"/>
        <w:rPr>
          <w:rFonts w:hint="eastAsia"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（5）无法在皮带上放置稳固以及超宽超高的物料严禁转运，有锋利边角的</w:t>
      </w:r>
      <w:r>
        <w:rPr>
          <w:rFonts w:hint="eastAsia" w:ascii="仿宋" w:hAnsi="仿宋" w:eastAsia="仿宋" w:cs="仿宋_GB2312"/>
          <w:color w:val="000000" w:themeColor="text1"/>
          <w:kern w:val="0"/>
          <w:sz w:val="24"/>
          <w:lang w:val="zh-CN"/>
          <w14:textFill>
            <w14:solidFill>
              <w14:schemeClr w14:val="tx1"/>
            </w14:solidFill>
          </w14:textFill>
        </w:rPr>
        <w:t>物料必须进行妥善处理，否则严禁转运，防止割坏皮带。</w:t>
      </w:r>
    </w:p>
    <w:p>
      <w:pPr>
        <w:keepNext w:val="0"/>
        <w:keepLines w:val="0"/>
        <w:pageBreakBefore w:val="0"/>
        <w:widowControl w:val="0"/>
        <w:tabs>
          <w:tab w:val="left" w:pos="720"/>
        </w:tabs>
        <w:kinsoku/>
        <w:wordWrap/>
        <w:overflowPunct/>
        <w:topLinePunct w:val="0"/>
        <w:bidi w:val="0"/>
        <w:snapToGrid w:val="0"/>
        <w:spacing w:line="420" w:lineRule="exact"/>
        <w:ind w:firstLine="480"/>
        <w:textAlignment w:val="auto"/>
        <w:rPr>
          <w:rFonts w:hint="default" w:ascii="仿宋" w:hAnsi="仿宋" w:eastAsia="仿宋" w:cs="仿宋_GB2312"/>
          <w:color w:val="000000" w:themeColor="text1"/>
          <w:kern w:val="0"/>
          <w:sz w:val="24"/>
          <w:lang w:val="en-US" w:eastAsia="zh-CN"/>
          <w14:textFill>
            <w14:solidFill>
              <w14:schemeClr w14:val="tx1"/>
            </w14:solidFill>
          </w14:textFill>
        </w:rPr>
      </w:pPr>
      <w:r>
        <w:rPr>
          <w:rFonts w:hint="eastAsia" w:ascii="仿宋" w:hAnsi="仿宋" w:eastAsia="仿宋" w:cs="仿宋_GB2312"/>
          <w:color w:val="000000" w:themeColor="text1"/>
          <w:kern w:val="0"/>
          <w:sz w:val="24"/>
          <w:lang w:val="zh-CN" w:eastAsia="zh-CN"/>
          <w14:textFill>
            <w14:solidFill>
              <w14:schemeClr w14:val="tx1"/>
            </w14:solidFill>
          </w14:textFill>
        </w:rPr>
        <w:t>（</w:t>
      </w:r>
      <w:r>
        <w:rPr>
          <w:rFonts w:hint="eastAsia" w:ascii="仿宋" w:hAnsi="仿宋" w:eastAsia="仿宋" w:cs="仿宋_GB2312"/>
          <w:color w:val="000000" w:themeColor="text1"/>
          <w:kern w:val="0"/>
          <w:sz w:val="24"/>
          <w:lang w:val="en-US" w:eastAsia="zh-CN"/>
          <w14:textFill>
            <w14:solidFill>
              <w14:schemeClr w14:val="tx1"/>
            </w14:solidFill>
          </w14:textFill>
        </w:rPr>
        <w:t>6</w:t>
      </w:r>
      <w:r>
        <w:rPr>
          <w:rFonts w:hint="eastAsia" w:ascii="仿宋" w:hAnsi="仿宋" w:eastAsia="仿宋" w:cs="仿宋_GB2312"/>
          <w:color w:val="000000" w:themeColor="text1"/>
          <w:kern w:val="0"/>
          <w:sz w:val="24"/>
          <w:lang w:val="zh-CN" w:eastAsia="zh-CN"/>
          <w14:textFill>
            <w14:solidFill>
              <w14:schemeClr w14:val="tx1"/>
            </w14:solidFill>
          </w14:textFill>
        </w:rPr>
        <w:t>）</w:t>
      </w:r>
      <w:r>
        <w:rPr>
          <w:rFonts w:hint="eastAsia" w:ascii="仿宋" w:hAnsi="仿宋" w:eastAsia="仿宋" w:cs="仿宋_GB2312"/>
          <w:color w:val="000000" w:themeColor="text1"/>
          <w:kern w:val="0"/>
          <w:sz w:val="24"/>
          <w:lang w:val="en-US" w:eastAsia="zh-CN"/>
          <w14:textFill>
            <w14:solidFill>
              <w14:schemeClr w14:val="tx1"/>
            </w14:solidFill>
          </w14:textFill>
        </w:rPr>
        <w:t>装卸物料时，皮带机必须装设有沿线闭锁且动作灵敏，装卸专业前后5m范围设置警戒，人员不得随意通过。</w:t>
      </w:r>
    </w:p>
    <w:p>
      <w:pPr>
        <w:keepNext w:val="0"/>
        <w:keepLines w:val="0"/>
        <w:pageBreakBefore w:val="0"/>
        <w:widowControl w:val="0"/>
        <w:tabs>
          <w:tab w:val="left" w:pos="720"/>
        </w:tabs>
        <w:kinsoku/>
        <w:wordWrap/>
        <w:overflowPunct/>
        <w:topLinePunct w:val="0"/>
        <w:bidi w:val="0"/>
        <w:snapToGrid w:val="0"/>
        <w:spacing w:line="420" w:lineRule="exact"/>
        <w:ind w:firstLine="480"/>
        <w:textAlignment w:val="auto"/>
        <w:rPr>
          <w:rFonts w:hint="default"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7、转运物料期间皮带机转运段内</w:t>
      </w:r>
      <w:r>
        <w:rPr>
          <w:rFonts w:ascii="仿宋" w:hAnsi="仿宋" w:eastAsia="仿宋" w:cs="仿宋_GB2312"/>
          <w:color w:val="000000" w:themeColor="text1"/>
          <w:sz w:val="24"/>
          <w14:textFill>
            <w14:solidFill>
              <w14:schemeClr w14:val="tx1"/>
            </w14:solidFill>
          </w14:textFill>
        </w:rPr>
        <w:t>严禁进行与转运无关的</w:t>
      </w:r>
      <w:r>
        <w:rPr>
          <w:rFonts w:hint="eastAsia" w:ascii="仿宋" w:hAnsi="仿宋" w:eastAsia="仿宋" w:cs="仿宋_GB2312"/>
          <w:color w:val="000000" w:themeColor="text1"/>
          <w:sz w:val="24"/>
          <w14:textFill>
            <w14:solidFill>
              <w14:schemeClr w14:val="tx1"/>
            </w14:solidFill>
          </w14:textFill>
        </w:rPr>
        <w:t>其它</w:t>
      </w:r>
      <w:r>
        <w:rPr>
          <w:rFonts w:ascii="仿宋" w:hAnsi="仿宋" w:eastAsia="仿宋" w:cs="仿宋_GB2312"/>
          <w:color w:val="000000" w:themeColor="text1"/>
          <w:sz w:val="24"/>
          <w14:textFill>
            <w14:solidFill>
              <w14:schemeClr w14:val="tx1"/>
            </w14:solidFill>
          </w14:textFill>
        </w:rPr>
        <w:t>任何作业，并</w:t>
      </w:r>
      <w:r>
        <w:rPr>
          <w:rFonts w:hint="eastAsia" w:ascii="仿宋" w:hAnsi="仿宋" w:eastAsia="仿宋" w:cs="仿宋_GB2312"/>
          <w:color w:val="000000" w:themeColor="text1"/>
          <w:sz w:val="24"/>
          <w14:textFill>
            <w14:solidFill>
              <w14:schemeClr w14:val="tx1"/>
            </w14:solidFill>
          </w14:textFill>
        </w:rPr>
        <w:t>安排人员设好警戒</w:t>
      </w: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皮带机设置有压带轮装置处安排人员设置警戒。</w:t>
      </w:r>
      <w:r>
        <w:rPr>
          <w:rFonts w:hint="eastAsia" w:ascii="仿宋" w:hAnsi="仿宋" w:eastAsia="仿宋" w:cs="仿宋_GB2312"/>
          <w:color w:val="000000" w:themeColor="text1"/>
          <w:sz w:val="24"/>
          <w:lang w:val="en-US" w:eastAsia="zh-CN"/>
          <w14:textFill>
            <w14:solidFill>
              <w14:schemeClr w14:val="tx1"/>
            </w14:solidFill>
          </w14:textFill>
        </w:rPr>
        <w:t>严禁皮带机运行时装卸物料。</w:t>
      </w:r>
    </w:p>
    <w:p>
      <w:pPr>
        <w:keepNext w:val="0"/>
        <w:keepLines w:val="0"/>
        <w:pageBreakBefore w:val="0"/>
        <w:widowControl w:val="0"/>
        <w:tabs>
          <w:tab w:val="left" w:pos="720"/>
        </w:tabs>
        <w:kinsoku/>
        <w:wordWrap/>
        <w:overflowPunct/>
        <w:topLinePunct w:val="0"/>
        <w:bidi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w:t>
      </w:r>
      <w:r>
        <w:rPr>
          <w:rFonts w:ascii="仿宋" w:hAnsi="仿宋" w:eastAsia="仿宋" w:cs="仿宋_GB2312"/>
          <w:color w:val="000000" w:themeColor="text1"/>
          <w:sz w:val="24"/>
          <w14:textFill>
            <w14:solidFill>
              <w14:schemeClr w14:val="tx1"/>
            </w14:solidFill>
          </w14:textFill>
        </w:rPr>
        <w:t>、转运时</w:t>
      </w:r>
      <w:r>
        <w:rPr>
          <w:rFonts w:hint="eastAsia" w:ascii="仿宋" w:hAnsi="仿宋" w:eastAsia="仿宋" w:cs="仿宋_GB2312"/>
          <w:color w:val="000000" w:themeColor="text1"/>
          <w:sz w:val="24"/>
          <w14:textFill>
            <w14:solidFill>
              <w14:schemeClr w14:val="tx1"/>
            </w14:solidFill>
          </w14:textFill>
        </w:rPr>
        <w:t>皮带机</w:t>
      </w:r>
      <w:r>
        <w:rPr>
          <w:rFonts w:ascii="仿宋" w:hAnsi="仿宋" w:eastAsia="仿宋" w:cs="仿宋_GB2312"/>
          <w:color w:val="000000" w:themeColor="text1"/>
          <w:sz w:val="24"/>
          <w14:textFill>
            <w14:solidFill>
              <w14:schemeClr w14:val="tx1"/>
            </w14:solidFill>
          </w14:textFill>
        </w:rPr>
        <w:t>司机应站在机头安全地点，眼不离机头，手不离按钮，集中精力开车，且按规定联络信号开、停</w:t>
      </w:r>
      <w:r>
        <w:rPr>
          <w:rFonts w:hint="eastAsia" w:ascii="仿宋" w:hAnsi="仿宋" w:eastAsia="仿宋" w:cs="仿宋_GB2312"/>
          <w:color w:val="000000" w:themeColor="text1"/>
          <w:sz w:val="24"/>
          <w14:textFill>
            <w14:solidFill>
              <w14:schemeClr w14:val="tx1"/>
            </w14:solidFill>
          </w14:textFill>
        </w:rPr>
        <w:t>车</w:t>
      </w:r>
      <w:r>
        <w:rPr>
          <w:rFonts w:ascii="仿宋" w:hAnsi="仿宋" w:eastAsia="仿宋" w:cs="仿宋_GB2312"/>
          <w:color w:val="000000" w:themeColor="text1"/>
          <w:sz w:val="24"/>
          <w14:textFill>
            <w14:solidFill>
              <w14:schemeClr w14:val="tx1"/>
            </w14:solidFill>
          </w14:textFill>
        </w:rPr>
        <w:t>，发现异常情况及时停车处理。</w:t>
      </w:r>
    </w:p>
    <w:p>
      <w:pPr>
        <w:keepNext w:val="0"/>
        <w:keepLines w:val="0"/>
        <w:pageBreakBefore w:val="0"/>
        <w:widowControl w:val="0"/>
        <w:tabs>
          <w:tab w:val="left" w:pos="720"/>
        </w:tabs>
        <w:kinsoku/>
        <w:wordWrap/>
        <w:overflowPunct/>
        <w:topLinePunct w:val="0"/>
        <w:bidi w:val="0"/>
        <w:snapToGrid w:val="0"/>
        <w:spacing w:line="42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w:t>
      </w:r>
      <w:r>
        <w:rPr>
          <w:rFonts w:ascii="仿宋" w:hAnsi="仿宋" w:eastAsia="仿宋" w:cs="仿宋_GB2312"/>
          <w:color w:val="000000" w:themeColor="text1"/>
          <w:sz w:val="24"/>
          <w14:textFill>
            <w14:solidFill>
              <w14:schemeClr w14:val="tx1"/>
            </w14:solidFill>
          </w14:textFill>
        </w:rPr>
        <w:t>在转运过程中，</w:t>
      </w:r>
      <w:r>
        <w:rPr>
          <w:rFonts w:hint="eastAsia" w:ascii="仿宋" w:hAnsi="仿宋" w:eastAsia="仿宋" w:cs="仿宋_GB2312"/>
          <w:color w:val="000000" w:themeColor="text1"/>
          <w:sz w:val="24"/>
          <w14:textFill>
            <w14:solidFill>
              <w14:schemeClr w14:val="tx1"/>
            </w14:solidFill>
          </w14:textFill>
        </w:rPr>
        <w:t xml:space="preserve">设专人滞后转运物料点10m处进行看护，发现异常及时停机闭锁，待问题处理后方可通知皮带司机重新开启皮带。 </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hint="eastAsia" w:ascii="仿宋" w:hAnsi="仿宋" w:eastAsia="仿宋" w:cs="仿宋_GB2312"/>
          <w:color w:val="000000" w:themeColor="text1"/>
          <w:sz w:val="24"/>
          <w14:textFill>
            <w14:solidFill>
              <w14:schemeClr w14:val="tx1"/>
            </w14:solidFill>
          </w14:textFill>
        </w:rPr>
      </w:pP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10</w:t>
      </w:r>
      <w:r>
        <w:rPr>
          <w:rFonts w:ascii="仿宋" w:hAnsi="仿宋" w:eastAsia="仿宋" w:cs="仿宋_GB2312"/>
          <w:color w:val="000000" w:themeColor="text1"/>
          <w:sz w:val="24"/>
          <w14:textFill>
            <w14:solidFill>
              <w14:schemeClr w14:val="tx1"/>
            </w14:solidFill>
          </w14:textFill>
        </w:rPr>
        <w:t>、卸料点距</w:t>
      </w:r>
      <w:r>
        <w:rPr>
          <w:rFonts w:hint="eastAsia" w:ascii="仿宋" w:hAnsi="仿宋" w:eastAsia="仿宋" w:cs="仿宋_GB2312"/>
          <w:color w:val="000000" w:themeColor="text1"/>
          <w:sz w:val="24"/>
          <w14:textFill>
            <w14:solidFill>
              <w14:schemeClr w14:val="tx1"/>
            </w14:solidFill>
          </w14:textFill>
        </w:rPr>
        <w:t>皮带机</w:t>
      </w:r>
      <w:r>
        <w:rPr>
          <w:rFonts w:ascii="仿宋" w:hAnsi="仿宋" w:eastAsia="仿宋" w:cs="仿宋_GB2312"/>
          <w:color w:val="000000" w:themeColor="text1"/>
          <w:sz w:val="24"/>
          <w14:textFill>
            <w14:solidFill>
              <w14:schemeClr w14:val="tx1"/>
            </w14:solidFill>
          </w14:textFill>
        </w:rPr>
        <w:t>机头不得小于</w:t>
      </w:r>
      <w:r>
        <w:rPr>
          <w:rFonts w:hint="eastAsia" w:ascii="仿宋" w:hAnsi="仿宋" w:eastAsia="仿宋" w:cs="仿宋_GB2312"/>
          <w:color w:val="000000" w:themeColor="text1"/>
          <w:sz w:val="24"/>
          <w14:textFill>
            <w14:solidFill>
              <w14:schemeClr w14:val="tx1"/>
            </w14:solidFill>
          </w14:textFill>
        </w:rPr>
        <w:t>80</w:t>
      </w:r>
      <w:r>
        <w:rPr>
          <w:rFonts w:ascii="仿宋" w:hAnsi="仿宋" w:eastAsia="仿宋" w:cs="仿宋_GB2312"/>
          <w:color w:val="000000" w:themeColor="text1"/>
          <w:sz w:val="24"/>
          <w14:textFill>
            <w14:solidFill>
              <w14:schemeClr w14:val="tx1"/>
            </w14:solidFill>
          </w14:textFill>
        </w:rPr>
        <w:t>m</w:t>
      </w:r>
      <w:r>
        <w:rPr>
          <w:rFonts w:hint="eastAsia" w:ascii="仿宋" w:hAnsi="仿宋" w:eastAsia="仿宋" w:cs="仿宋_GB2312"/>
          <w:color w:val="000000" w:themeColor="text1"/>
          <w:sz w:val="24"/>
          <w14:textFill>
            <w14:solidFill>
              <w14:schemeClr w14:val="tx1"/>
            </w14:solidFill>
          </w14:textFill>
        </w:rPr>
        <w:t>，且必须位于皮带机平缓地段，安排</w:t>
      </w:r>
      <w:r>
        <w:rPr>
          <w:rFonts w:hint="eastAsia" w:ascii="仿宋" w:hAnsi="仿宋" w:eastAsia="仿宋" w:cs="仿宋_GB2312"/>
          <w:color w:val="000000" w:themeColor="text1"/>
          <w:kern w:val="0"/>
          <w:sz w:val="24"/>
          <w:lang w:val="zh-CN"/>
          <w14:textFill>
            <w14:solidFill>
              <w14:schemeClr w14:val="tx1"/>
            </w14:solidFill>
          </w14:textFill>
        </w:rPr>
        <w:t>专人站在距卸料点向外</w:t>
      </w:r>
      <w:r>
        <w:rPr>
          <w:rFonts w:hint="eastAsia" w:ascii="仿宋" w:hAnsi="仿宋" w:eastAsia="仿宋" w:cs="仿宋_GB2312"/>
          <w:color w:val="000000" w:themeColor="text1"/>
          <w:kern w:val="0"/>
          <w:sz w:val="24"/>
          <w14:textFill>
            <w14:solidFill>
              <w14:schemeClr w14:val="tx1"/>
            </w14:solidFill>
          </w14:textFill>
        </w:rPr>
        <w:t>20m</w:t>
      </w:r>
      <w:r>
        <w:rPr>
          <w:rFonts w:hint="eastAsia" w:ascii="仿宋" w:hAnsi="仿宋" w:eastAsia="仿宋" w:cs="仿宋_GB2312"/>
          <w:color w:val="000000" w:themeColor="text1"/>
          <w:kern w:val="0"/>
          <w:sz w:val="24"/>
          <w:lang w:val="zh-CN"/>
          <w14:textFill>
            <w14:solidFill>
              <w14:schemeClr w14:val="tx1"/>
            </w14:solidFill>
          </w14:textFill>
        </w:rPr>
        <w:t>左右的信号处观察物料，当物料运到时，及时停机闭锁，</w:t>
      </w:r>
      <w:r>
        <w:rPr>
          <w:rFonts w:ascii="仿宋" w:hAnsi="仿宋" w:eastAsia="仿宋" w:cs="仿宋_GB2312"/>
          <w:color w:val="000000" w:themeColor="text1"/>
          <w:sz w:val="24"/>
          <w14:textFill>
            <w14:solidFill>
              <w14:schemeClr w14:val="tx1"/>
            </w14:solidFill>
          </w14:textFill>
        </w:rPr>
        <w:t>卸料</w:t>
      </w:r>
      <w:r>
        <w:rPr>
          <w:rFonts w:hint="eastAsia" w:ascii="仿宋" w:hAnsi="仿宋" w:eastAsia="仿宋" w:cs="仿宋_GB2312"/>
          <w:color w:val="000000" w:themeColor="text1"/>
          <w:sz w:val="24"/>
          <w14:textFill>
            <w14:solidFill>
              <w14:schemeClr w14:val="tx1"/>
            </w14:solidFill>
          </w14:textFill>
        </w:rPr>
        <w:t>时人员</w:t>
      </w:r>
      <w:r>
        <w:rPr>
          <w:rFonts w:hint="eastAsia" w:ascii="仿宋" w:hAnsi="仿宋" w:eastAsia="仿宋" w:cs="仿宋_GB2312"/>
          <w:color w:val="000000" w:themeColor="text1"/>
          <w:kern w:val="0"/>
          <w:sz w:val="24"/>
          <w:lang w:val="zh-CN"/>
          <w14:textFill>
            <w14:solidFill>
              <w14:schemeClr w14:val="tx1"/>
            </w14:solidFill>
          </w14:textFill>
        </w:rPr>
        <w:t>抬放物料必须动作一致、抓稳抓牢，</w:t>
      </w:r>
      <w:r>
        <w:rPr>
          <w:rFonts w:ascii="仿宋" w:hAnsi="仿宋" w:eastAsia="仿宋" w:cs="仿宋_GB2312"/>
          <w:color w:val="000000" w:themeColor="text1"/>
          <w:sz w:val="24"/>
          <w14:textFill>
            <w14:solidFill>
              <w14:schemeClr w14:val="tx1"/>
            </w14:solidFill>
          </w14:textFill>
        </w:rPr>
        <w:t>协调统一将物料轻放牢稳，不可乱扔乱抛</w:t>
      </w:r>
      <w:r>
        <w:rPr>
          <w:rFonts w:hint="eastAsia" w:ascii="仿宋" w:hAnsi="仿宋" w:eastAsia="仿宋" w:cs="仿宋_GB2312"/>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11、转运结束后，必须安排专人沿运输路线查找是否有从皮带上掉下的物料以及皮带的完好情况，发现异常要及时处理。</w:t>
      </w:r>
    </w:p>
    <w:p>
      <w:pPr>
        <w:keepNext w:val="0"/>
        <w:keepLines w:val="0"/>
        <w:pageBreakBefore w:val="0"/>
        <w:widowControl w:val="0"/>
        <w:tabs>
          <w:tab w:val="left" w:pos="547"/>
        </w:tabs>
        <w:kinsoku/>
        <w:wordWrap/>
        <w:overflowPunct/>
        <w:topLinePunct w:val="0"/>
        <w:autoSpaceDE w:val="0"/>
        <w:autoSpaceDN w:val="0"/>
        <w:bidi w:val="0"/>
        <w:adjustRightInd w:val="0"/>
        <w:snapToGrid w:val="0"/>
        <w:spacing w:line="460" w:lineRule="exact"/>
        <w:ind w:firstLine="0" w:firstLineChars="0"/>
        <w:textAlignment w:val="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二、</w:t>
      </w:r>
      <w:r>
        <w:rPr>
          <w:rFonts w:hint="eastAsia" w:ascii="仿宋" w:hAnsi="仿宋" w:eastAsia="仿宋" w:cs="仿宋_GB2312"/>
          <w:b/>
          <w:color w:val="000000" w:themeColor="text1"/>
          <w:sz w:val="24"/>
          <w14:textFill>
            <w14:solidFill>
              <w14:schemeClr w14:val="tx1"/>
            </w14:solidFill>
          </w14:textFill>
        </w:rPr>
        <w:t>运输机</w:t>
      </w:r>
      <w:r>
        <w:rPr>
          <w:rFonts w:ascii="仿宋" w:hAnsi="仿宋" w:eastAsia="仿宋" w:cs="仿宋_GB2312"/>
          <w:b/>
          <w:color w:val="000000" w:themeColor="text1"/>
          <w:sz w:val="24"/>
          <w14:textFill>
            <w14:solidFill>
              <w14:schemeClr w14:val="tx1"/>
            </w14:solidFill>
          </w14:textFill>
        </w:rPr>
        <w:t>转运</w:t>
      </w:r>
      <w:r>
        <w:rPr>
          <w:rFonts w:hint="eastAsia" w:ascii="仿宋" w:hAnsi="仿宋" w:eastAsia="仿宋" w:cs="仿宋_GB2312"/>
          <w:b/>
          <w:color w:val="000000" w:themeColor="text1"/>
          <w:sz w:val="24"/>
          <w14:textFill>
            <w14:solidFill>
              <w14:schemeClr w14:val="tx1"/>
            </w14:solidFill>
          </w14:textFill>
        </w:rPr>
        <w:t>物料安全技术</w:t>
      </w:r>
      <w:r>
        <w:rPr>
          <w:rFonts w:ascii="仿宋" w:hAnsi="仿宋" w:eastAsia="仿宋" w:cs="仿宋_GB2312"/>
          <w:b/>
          <w:color w:val="000000" w:themeColor="text1"/>
          <w:sz w:val="24"/>
          <w14:textFill>
            <w14:solidFill>
              <w14:schemeClr w14:val="tx1"/>
            </w14:solidFill>
          </w14:textFill>
        </w:rPr>
        <w:t>措施</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1、转运时，必须指定一名</w:t>
      </w:r>
      <w:r>
        <w:rPr>
          <w:rFonts w:hint="eastAsia" w:ascii="仿宋" w:hAnsi="仿宋" w:eastAsia="仿宋" w:cs="仿宋_GB2312"/>
          <w:color w:val="000000" w:themeColor="text1"/>
          <w:sz w:val="24"/>
          <w14:textFill>
            <w14:solidFill>
              <w14:schemeClr w14:val="tx1"/>
            </w14:solidFill>
          </w14:textFill>
        </w:rPr>
        <w:t>班</w:t>
      </w:r>
      <w:r>
        <w:rPr>
          <w:rFonts w:ascii="仿宋" w:hAnsi="仿宋" w:eastAsia="仿宋" w:cs="仿宋_GB2312"/>
          <w:color w:val="000000" w:themeColor="text1"/>
          <w:sz w:val="24"/>
          <w14:textFill>
            <w14:solidFill>
              <w14:schemeClr w14:val="tx1"/>
            </w14:solidFill>
          </w14:textFill>
        </w:rPr>
        <w:t>队长现场统一指挥，协调工作</w:t>
      </w:r>
      <w:r>
        <w:rPr>
          <w:rFonts w:hint="eastAsia" w:ascii="仿宋" w:hAnsi="仿宋" w:eastAsia="仿宋" w:cs="仿宋_GB2312"/>
          <w:color w:val="000000" w:themeColor="text1"/>
          <w:sz w:val="24"/>
          <w14:textFill>
            <w14:solidFill>
              <w14:schemeClr w14:val="tx1"/>
            </w14:solidFill>
          </w14:textFill>
        </w:rPr>
        <w:t>，只允许使用前部运输机转运物料，严禁使用后部运输机转运</w:t>
      </w:r>
      <w:r>
        <w:rPr>
          <w:rFonts w:ascii="仿宋" w:hAnsi="仿宋" w:eastAsia="仿宋" w:cs="仿宋_GB2312"/>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2、转运前，采煤机要停在合适位置，以不影响转运为原则，同时要断开隔离开关、打开离合器，</w:t>
      </w:r>
      <w:r>
        <w:rPr>
          <w:rFonts w:ascii="仿宋" w:hAnsi="仿宋" w:eastAsia="仿宋" w:cs="仿宋_GB2312"/>
          <w:color w:val="000000" w:themeColor="text1"/>
          <w:sz w:val="24"/>
          <w14:textFill>
            <w14:solidFill>
              <w14:schemeClr w14:val="tx1"/>
            </w14:solidFill>
          </w14:textFill>
        </w:rPr>
        <w:t>并打开其磁力启动器的隔离开关</w:t>
      </w:r>
      <w:r>
        <w:rPr>
          <w:rFonts w:hint="eastAsia" w:ascii="仿宋" w:hAnsi="仿宋" w:eastAsia="仿宋" w:cs="仿宋_GB2312"/>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转运前必须检查工作面沿线通讯闭锁装置，确保齐全完好，</w:t>
      </w:r>
      <w:r>
        <w:rPr>
          <w:rFonts w:ascii="仿宋" w:hAnsi="仿宋" w:eastAsia="仿宋" w:cs="仿宋_GB2312"/>
          <w:color w:val="000000" w:themeColor="text1"/>
          <w:sz w:val="24"/>
          <w14:textFill>
            <w14:solidFill>
              <w14:schemeClr w14:val="tx1"/>
            </w14:solidFill>
          </w14:textFill>
        </w:rPr>
        <w:t>装卸时，</w:t>
      </w:r>
      <w:r>
        <w:rPr>
          <w:rFonts w:hint="eastAsia" w:ascii="仿宋" w:hAnsi="仿宋" w:eastAsia="仿宋" w:cs="仿宋_GB2312"/>
          <w:color w:val="000000" w:themeColor="text1"/>
          <w:sz w:val="24"/>
          <w14:textFill>
            <w14:solidFill>
              <w14:schemeClr w14:val="tx1"/>
            </w14:solidFill>
          </w14:textFill>
        </w:rPr>
        <w:t>运输机</w:t>
      </w:r>
      <w:r>
        <w:rPr>
          <w:rFonts w:ascii="仿宋" w:hAnsi="仿宋" w:eastAsia="仿宋" w:cs="仿宋_GB2312"/>
          <w:color w:val="000000" w:themeColor="text1"/>
          <w:sz w:val="24"/>
          <w14:textFill>
            <w14:solidFill>
              <w14:schemeClr w14:val="tx1"/>
            </w14:solidFill>
          </w14:textFill>
        </w:rPr>
        <w:t>必须停</w:t>
      </w:r>
      <w:r>
        <w:rPr>
          <w:rFonts w:hint="eastAsia" w:ascii="仿宋" w:hAnsi="仿宋" w:eastAsia="仿宋" w:cs="仿宋_GB2312"/>
          <w:color w:val="000000" w:themeColor="text1"/>
          <w:sz w:val="24"/>
          <w14:textFill>
            <w14:solidFill>
              <w14:schemeClr w14:val="tx1"/>
            </w14:solidFill>
          </w14:textFill>
        </w:rPr>
        <w:t>车</w:t>
      </w:r>
      <w:r>
        <w:rPr>
          <w:rFonts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并安排专人看护，</w:t>
      </w:r>
      <w:r>
        <w:rPr>
          <w:rFonts w:ascii="仿宋" w:hAnsi="仿宋" w:eastAsia="仿宋" w:cs="仿宋_GB2312"/>
          <w:color w:val="000000" w:themeColor="text1"/>
          <w:sz w:val="24"/>
          <w14:textFill>
            <w14:solidFill>
              <w14:schemeClr w14:val="tx1"/>
            </w14:solidFill>
          </w14:textFill>
        </w:rPr>
        <w:t>否则不准装卸。</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4、将需转运物料平稳牢固的放置在运输机上，</w:t>
      </w:r>
      <w:r>
        <w:rPr>
          <w:rFonts w:ascii="仿宋" w:hAnsi="仿宋" w:eastAsia="仿宋" w:cs="仿宋_GB2312"/>
          <w:color w:val="000000" w:themeColor="text1"/>
          <w:sz w:val="24"/>
          <w14:textFill>
            <w14:solidFill>
              <w14:schemeClr w14:val="tx1"/>
            </w14:solidFill>
          </w14:textFill>
        </w:rPr>
        <w:t>要把其固定在运输机刮板或链条上，防止上窜下滑</w:t>
      </w:r>
      <w:r>
        <w:rPr>
          <w:rFonts w:hint="eastAsia" w:ascii="仿宋" w:hAnsi="仿宋" w:eastAsia="仿宋" w:cs="仿宋_GB2312"/>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5、所装物料严禁超出运输机溜槽以外，且应和运输机链条方向保持平行，防止物料顶支架、采煤机等设备。</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6、安排专人观察转运情况，观察人员应滞后物料5m以外，且在架档内行走，发现异常情况时应立即停车处理，处理时必须要有专人看护运输机，防止误操作伤人。</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7、转运前安排专人警戒，转运影响范围内除观察人员外，严禁有其他人员，警戒人员应站在转运影响范围外的安全地点，防止被物料顶伤。</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8、转运时，应先点动一下输送机，观察物料放置是否平稳牢固，确认安全后方可继续点动开车转运物料，严禁运输机连续运行转运物料。</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9、物料必须和运输机机头、机尾及采煤机保持5m以上的安全距离。</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10、严禁使用运输机转运爆破材料。</w:t>
      </w:r>
    </w:p>
    <w:p>
      <w:pPr>
        <w:keepNext w:val="0"/>
        <w:keepLines w:val="0"/>
        <w:pageBreakBefore w:val="0"/>
        <w:widowControl w:val="0"/>
        <w:tabs>
          <w:tab w:val="left" w:pos="547"/>
        </w:tabs>
        <w:kinsoku/>
        <w:wordWrap/>
        <w:overflowPunct/>
        <w:topLinePunct w:val="0"/>
        <w:autoSpaceDE w:val="0"/>
        <w:autoSpaceDN w:val="0"/>
        <w:bidi w:val="0"/>
        <w:adjustRightInd w:val="0"/>
        <w:snapToGrid w:val="0"/>
        <w:spacing w:line="460" w:lineRule="exact"/>
        <w:ind w:firstLine="0" w:firstLineChars="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三、液压单体抵转载机、运输机、调架等安全技术措施</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1、抵运输机、转载机等时，该部车及与其相搭接的所有车都必须停车闭锁，单体的柱头打在运输机或转载机侧面上，刚性接触面上要加垫木，确保牢固可靠。</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2、液压单体必须在单体柱头、柱根处均拴紧拴牢防倒绳，方可供液。</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液时，施工人员不得少于2人，1人稳单体，1人供液，并观察升柱情况及作业地点附近环境安全状况，发现问题及时处理，确认无危险后，方可继续操作。单体点上劲后，所有人员撤至安全地点，供液人员应在距单体5m以外的安全地点进行远程供液，供液时必须平缓进行，且要避开单体滑脱的方向，严禁急松急供，防止单体打飞伤人。</w:t>
      </w:r>
    </w:p>
    <w:p>
      <w:pPr>
        <w:keepNext w:val="0"/>
        <w:keepLines w:val="0"/>
        <w:pageBreakBefore w:val="0"/>
        <w:widowControl w:val="0"/>
        <w:tabs>
          <w:tab w:val="left" w:pos="720"/>
        </w:tabs>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4、放液时，人员应使用长柄工具站在安全地点操作，防止单体回弹伤人。</w:t>
      </w:r>
    </w:p>
    <w:p>
      <w:pPr>
        <w:pStyle w:val="60"/>
        <w:keepNext w:val="0"/>
        <w:keepLines w:val="0"/>
        <w:pageBreakBefore w:val="0"/>
        <w:widowControl w:val="0"/>
        <w:kinsoku/>
        <w:wordWrap/>
        <w:overflowPunct/>
        <w:topLinePunct w:val="0"/>
        <w:bidi w:val="0"/>
        <w:snapToGrid w:val="0"/>
        <w:spacing w:line="460" w:lineRule="exac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四、工作面放顶煤安全技术措施</w:t>
      </w:r>
    </w:p>
    <w:p>
      <w:pPr>
        <w:keepNext w:val="0"/>
        <w:keepLines w:val="0"/>
        <w:pageBreakBefore w:val="0"/>
        <w:widowControl w:val="0"/>
        <w:tabs>
          <w:tab w:val="left" w:pos="0"/>
          <w:tab w:val="left" w:pos="720"/>
        </w:tabs>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1、正常情况下放煤范围、高度和放煤步距要严格按照作业规程要求认真执行。</w:t>
      </w:r>
    </w:p>
    <w:p>
      <w:pPr>
        <w:keepNext w:val="0"/>
        <w:keepLines w:val="0"/>
        <w:pageBreakBefore w:val="0"/>
        <w:widowControl w:val="0"/>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放煤工应与煤机司机、支架工协调配合作业，割煤、放煤可平行作业，正常情况下，放顶煤应滞后煤机后滚筒8～10架，当滞后煤机后滚筒超过30架的顶煤没有放完时，必须停止割煤进行放顶煤；当煤机在机头（尾）返刀时，必须先停机将该处的顶煤放完，方可开机割三角煤。</w:t>
      </w:r>
    </w:p>
    <w:p>
      <w:pPr>
        <w:keepNext w:val="0"/>
        <w:keepLines w:val="0"/>
        <w:pageBreakBefore w:val="0"/>
        <w:widowControl w:val="0"/>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3、采用下行推溜的时候，放煤工可从工作面上部开始多轮顺序放煤，采用上行推溜的时候，放煤工可从工作面下部开始多轮顺序放煤。</w:t>
      </w:r>
    </w:p>
    <w:p>
      <w:pPr>
        <w:keepNext w:val="0"/>
        <w:keepLines w:val="0"/>
        <w:pageBreakBefore w:val="0"/>
        <w:widowControl w:val="0"/>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4、放煤时，工作人员必须在本架</w:t>
      </w:r>
      <w:r>
        <w:rPr>
          <w:rFonts w:hint="eastAsia" w:ascii="仿宋" w:hAnsi="仿宋" w:eastAsia="仿宋" w:cs="仿宋"/>
          <w:color w:val="000000" w:themeColor="text1"/>
          <w:sz w:val="24"/>
          <w:lang w:val="en-US" w:eastAsia="zh-CN"/>
          <w14:textFill>
            <w14:solidFill>
              <w14:schemeClr w14:val="tx1"/>
            </w14:solidFill>
          </w14:textFill>
        </w:rPr>
        <w:t>架档内</w:t>
      </w:r>
      <w:r>
        <w:rPr>
          <w:rFonts w:hint="eastAsia" w:ascii="仿宋" w:hAnsi="仿宋" w:eastAsia="仿宋" w:cs="仿宋"/>
          <w:color w:val="000000" w:themeColor="text1"/>
          <w:sz w:val="24"/>
          <w14:textFill>
            <w14:solidFill>
              <w14:schemeClr w14:val="tx1"/>
            </w14:solidFill>
          </w14:textFill>
        </w:rPr>
        <w:t>操作</w:t>
      </w:r>
      <w:r>
        <w:rPr>
          <w:rFonts w:hint="eastAsia" w:ascii="仿宋" w:hAnsi="仿宋" w:eastAsia="仿宋" w:cs="仿宋"/>
          <w:color w:val="000000" w:themeColor="text1"/>
          <w:sz w:val="24"/>
          <w:lang w:val="en-US" w:eastAsia="zh-CN"/>
          <w14:textFill>
            <w14:solidFill>
              <w14:schemeClr w14:val="tx1"/>
            </w14:solidFill>
          </w14:textFill>
        </w:rPr>
        <w:t>电液控</w:t>
      </w:r>
      <w:r>
        <w:rPr>
          <w:rFonts w:hint="eastAsia" w:ascii="仿宋" w:hAnsi="仿宋" w:eastAsia="仿宋" w:cs="仿宋"/>
          <w:color w:val="000000" w:themeColor="text1"/>
          <w:sz w:val="24"/>
          <w14:textFill>
            <w14:solidFill>
              <w14:schemeClr w14:val="tx1"/>
            </w14:solidFill>
          </w14:textFill>
        </w:rPr>
        <w:t>放煤</w:t>
      </w:r>
      <w:r>
        <w:rPr>
          <w:rFonts w:hint="eastAsia" w:ascii="仿宋" w:hAnsi="仿宋" w:eastAsia="仿宋" w:cs="仿宋"/>
          <w:color w:val="000000" w:themeColor="text1"/>
          <w:sz w:val="24"/>
          <w:lang w:val="en-US" w:eastAsia="zh-CN"/>
          <w14:textFill>
            <w14:solidFill>
              <w14:schemeClr w14:val="tx1"/>
            </w14:solidFill>
          </w14:textFill>
        </w:rPr>
        <w:t>按钮</w:t>
      </w:r>
      <w:r>
        <w:rPr>
          <w:rFonts w:hint="eastAsia" w:ascii="仿宋" w:hAnsi="仿宋" w:eastAsia="仿宋" w:cs="仿宋"/>
          <w:color w:val="000000" w:themeColor="text1"/>
          <w:sz w:val="24"/>
          <w14:textFill>
            <w14:solidFill>
              <w14:schemeClr w14:val="tx1"/>
            </w14:solidFill>
          </w14:textFill>
        </w:rPr>
        <w:t>；放煤时，人员不得从支架间往里探身。</w:t>
      </w:r>
    </w:p>
    <w:p>
      <w:pPr>
        <w:keepNext w:val="0"/>
        <w:keepLines w:val="0"/>
        <w:pageBreakBefore w:val="0"/>
        <w:widowControl w:val="0"/>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5、放煤时，放煤工要注意观察尾梁和插板的位置，防止尾梁插板插入后部运输机损坏设备。</w:t>
      </w:r>
    </w:p>
    <w:p>
      <w:pPr>
        <w:keepNext w:val="0"/>
        <w:keepLines w:val="0"/>
        <w:pageBreakBefore w:val="0"/>
        <w:widowControl w:val="0"/>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放煤工应加强责任心，放煤时，两眼应紧盯放煤口，注意观察后部运输机的煤流情况，放煤工必须根据后部运输机煤量控制放煤速度及煤量，后部运输机连续堆煤长度不超过10架支架，否则必须停止放煤，防止压死后部运输机；放顶煤时，必须同时进行后部运输机的喷雾降尘工作。</w:t>
      </w:r>
    </w:p>
    <w:p>
      <w:pPr>
        <w:keepNext w:val="0"/>
        <w:keepLines w:val="0"/>
        <w:pageBreakBefore w:val="0"/>
        <w:widowControl w:val="0"/>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7、顶煤放不下来时，可反复伸缩插板或上下摆动尾梁将大块煤挤碎，将煤放下；或采取小幅度动作支架立柱，小范围内反复升降，以破碎顶煤，然后按照正常的放煤顺序进行放煤。</w:t>
      </w:r>
    </w:p>
    <w:p>
      <w:pPr>
        <w:keepNext w:val="0"/>
        <w:keepLines w:val="0"/>
        <w:pageBreakBefore w:val="0"/>
        <w:widowControl w:val="0"/>
        <w:kinsoku/>
        <w:wordWrap/>
        <w:overflowPunct/>
        <w:topLinePunct w:val="0"/>
        <w:bidi w:val="0"/>
        <w:snapToGrid w:val="0"/>
        <w:spacing w:line="46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8、放煤过程中遇见大块煤，利用支架尾梁将大块煤击碎或利用插板将大块煤捣碎；当放煤口出现矸石时，应立即关闭放煤口，结束本架放煤，并及时对</w:t>
      </w:r>
    </w:p>
    <w:p>
      <w:pPr>
        <w:keepNext w:val="0"/>
        <w:keepLines w:val="0"/>
        <w:pageBreakBefore w:val="0"/>
        <w:widowControl w:val="0"/>
        <w:kinsoku/>
        <w:wordWrap/>
        <w:overflowPunct/>
        <w:topLinePunct w:val="0"/>
        <w:bidi w:val="0"/>
        <w:snapToGrid w:val="0"/>
        <w:spacing w:line="460" w:lineRule="exact"/>
        <w:ind w:firstLine="480"/>
        <w:textAlignment w:val="auto"/>
        <w:rPr>
          <w:rFonts w:hint="eastAsia" w:ascii="仿宋" w:hAnsi="仿宋" w:eastAsia="仿宋" w:cs="仿宋"/>
          <w:color w:val="000000" w:themeColor="text1"/>
          <w:sz w:val="24"/>
          <w14:textFill>
            <w14:solidFill>
              <w14:schemeClr w14:val="tx1"/>
            </w14:solidFill>
          </w14:textFill>
        </w:rPr>
      </w:pPr>
    </w:p>
    <w:p>
      <w:pPr>
        <w:keepNext w:val="0"/>
        <w:keepLines w:val="0"/>
        <w:pageBreakBefore w:val="0"/>
        <w:widowControl w:val="0"/>
        <w:kinsoku/>
        <w:wordWrap/>
        <w:overflowPunct/>
        <w:topLinePunct w:val="0"/>
        <w:bidi w:val="0"/>
        <w:snapToGrid w:val="0"/>
        <w:spacing w:line="460" w:lineRule="exact"/>
        <w:ind w:left="0" w:leftChars="0"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液压支架进行补液。</w:t>
      </w:r>
    </w:p>
    <w:p>
      <w:pPr>
        <w:keepNext w:val="0"/>
        <w:keepLines w:val="0"/>
        <w:pageBreakBefore w:val="0"/>
        <w:widowControl w:val="0"/>
        <w:kinsoku/>
        <w:wordWrap/>
        <w:overflowPunct/>
        <w:topLinePunct w:val="0"/>
        <w:bidi w:val="0"/>
        <w:snapToGrid w:val="0"/>
        <w:spacing w:line="46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9、不放煤时，支架尾梁要升起，插板及时插到位，插板末端距后部车垂距控制在200～300mm，减少矸石滚入后部车，同时防止插板插入后部车内损坏设备。</w:t>
      </w:r>
    </w:p>
    <w:p>
      <w:pPr>
        <w:keepNext w:val="0"/>
        <w:keepLines w:val="0"/>
        <w:pageBreakBefore w:val="0"/>
        <w:widowControl w:val="0"/>
        <w:tabs>
          <w:tab w:val="left" w:pos="0"/>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10、严禁漏架不放，不得随意丢失顶煤，以加强顶煤的回收率，提高回采率。</w:t>
      </w:r>
    </w:p>
    <w:p>
      <w:pPr>
        <w:keepNext w:val="0"/>
        <w:keepLines w:val="0"/>
        <w:pageBreakBefore w:val="0"/>
        <w:widowControl w:val="0"/>
        <w:tabs>
          <w:tab w:val="left" w:pos="0"/>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11、放煤时，必须逐架进行，严禁相邻2架及以上同时放煤。</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12、大块煤或矸石卡死后部运输机时，不得强行开启，不得将后部运输机打倒车，防止造成更大的机电事故，必须采取适当的措施进行处理。</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13、工作面上下端头特别是转载机尾顶板条件不好时，放煤应从第10架以后开始按顺序放煤，以免发生漏顶压死后部运输机或转载机。</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14、工作面距设计收作线50m范围内，停止放煤。</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15、工作面顶板破碎时，可视情况少放煤或不放煤。</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为防止工作面见方来压时出现顶板压力过大、片帮掉顶、出水压架、溃砂等情况，在工作面临近见方来压时，少放煤或停止放煤，实现工作面快速推进，确保每天推进度不少于4.8m，直到工作面推出见方来压影响范围以外。</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17、出现下列情形之一时，禁止放煤：</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（1）工作面片帮冒顶严重的地段；</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（2）支架超高、接顶不实的地段；</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（3）后部运输机瓦斯浓度超过1.5%时；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（4）工作面有突水征兆时；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（5）工作面CO浓度超标，有自然发火征兆时；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（6）工作面见方来压或周期来压显现剧烈时，禁止放煤。</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（7）在放煤过程中发现淋水增大、泥沙涌出、瓦斯增大、温度增高等异常情况时，应立即停止放煤。</w:t>
      </w:r>
    </w:p>
    <w:p>
      <w:pPr>
        <w:pStyle w:val="60"/>
        <w:keepNext w:val="0"/>
        <w:keepLines w:val="0"/>
        <w:pageBreakBefore w:val="0"/>
        <w:widowControl w:val="0"/>
        <w:kinsoku/>
        <w:wordWrap/>
        <w:overflowPunct/>
        <w:topLinePunct w:val="0"/>
        <w:bidi w:val="0"/>
        <w:snapToGrid w:val="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五、退锚剪网安全技术措施</w:t>
      </w:r>
    </w:p>
    <w:p>
      <w:pPr>
        <w:keepNext w:val="0"/>
        <w:keepLines w:val="0"/>
        <w:pageBreakBefore w:val="0"/>
        <w:widowControl w:val="0"/>
        <w:tabs>
          <w:tab w:val="left" w:pos="720"/>
        </w:tabs>
        <w:kinsoku/>
        <w:wordWrap/>
        <w:overflowPunct/>
        <w:topLinePunct w:val="0"/>
        <w:bidi w:val="0"/>
        <w:snapToGrid w:val="0"/>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（一）机风巷回采侧巷帮退锚剪网</w:t>
      </w:r>
    </w:p>
    <w:p>
      <w:pPr>
        <w:keepNext w:val="0"/>
        <w:keepLines w:val="0"/>
        <w:pageBreakBefore w:val="0"/>
        <w:widowControl w:val="0"/>
        <w:tabs>
          <w:tab w:val="left" w:pos="720"/>
        </w:tabs>
        <w:kinsoku/>
        <w:wordWrap/>
        <w:overflowPunct/>
        <w:topLinePunct w:val="0"/>
        <w:bidi w:val="0"/>
        <w:snapToGrid w:val="0"/>
        <w:ind w:right="55" w:rightChars="26"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1、要提前将上下端头回采侧煤帮的支护网片剪开并取掉回收，提前剪开取掉的网片范围不超过当班推进度0.8m（沿工作面推进方向），高度从巷道顶板至底板。 </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采煤机割煤运行至上下端头10m范围内时要减速（不超过3m/min），采煤机司机必须在距滚筒5m以外的架档内使用遥控器远程操作，且要避开滚筒转动方向，集中注意力，密切观察，其他人员应在距煤机上下滚筒至少10m以外的安全地点；当采煤机割煤运行至距端头巷帮3m处时，应将采煤机停电闭锁，人工将松动的锚杆等拉出取掉；再次启动采煤机，采煤机在截割端头煤壁时如发现松动锚杆可以取掉的，应立即停电闭锁取出。人员进入运输机必须在无片帮危险危险并背严煤帮的情况下方可作业。</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3、采煤机在端头割煤结束后牵引至无片帮掉顶的安全地点停机闭锁，对采煤机、运输机停电闭锁，人工取掉缠绕在采煤机滚筒上的锚杆、网片等杂物。</w:t>
      </w:r>
    </w:p>
    <w:p>
      <w:pPr>
        <w:keepNext w:val="0"/>
        <w:keepLines w:val="0"/>
        <w:pageBreakBefore w:val="0"/>
        <w:widowControl w:val="0"/>
        <w:tabs>
          <w:tab w:val="left" w:pos="720"/>
        </w:tabs>
        <w:kinsoku/>
        <w:wordWrap/>
        <w:overflowPunct/>
        <w:topLinePunct w:val="0"/>
        <w:bidi w:val="0"/>
        <w:snapToGrid w:val="0"/>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（二）机风巷非回采侧巷帮退锚</w:t>
      </w:r>
    </w:p>
    <w:p>
      <w:pPr>
        <w:keepNext w:val="0"/>
        <w:keepLines w:val="0"/>
        <w:pageBreakBefore w:val="0"/>
        <w:widowControl w:val="0"/>
        <w:tabs>
          <w:tab w:val="left" w:pos="720"/>
        </w:tabs>
        <w:kinsoku/>
        <w:wordWrap/>
        <w:overflowPunct/>
        <w:topLinePunct w:val="0"/>
        <w:bidi w:val="0"/>
        <w:snapToGrid w:val="0"/>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在距放顶线3m以内时方可进行退锚，且退锚长度（沿巷道走向）不超过当班推进度。</w:t>
      </w:r>
    </w:p>
    <w:p>
      <w:pPr>
        <w:keepNext w:val="0"/>
        <w:keepLines w:val="0"/>
        <w:pageBreakBefore w:val="0"/>
        <w:widowControl w:val="0"/>
        <w:tabs>
          <w:tab w:val="left" w:pos="720"/>
        </w:tabs>
        <w:kinsoku/>
        <w:wordWrap/>
        <w:overflowPunct/>
        <w:topLinePunct w:val="0"/>
        <w:bidi w:val="0"/>
        <w:snapToGrid w:val="0"/>
        <w:ind w:right="199" w:rightChars="95"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（三）上下隅角顶板剪网</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在距放顶线3m以内时方可进行剪网，且剪网长度（沿巷道走向）不超过当班推进度。</w:t>
      </w:r>
    </w:p>
    <w:p>
      <w:pPr>
        <w:keepNext w:val="0"/>
        <w:keepLines w:val="0"/>
        <w:pageBreakBefore w:val="0"/>
        <w:widowControl w:val="0"/>
        <w:tabs>
          <w:tab w:val="left" w:pos="720"/>
        </w:tabs>
        <w:kinsoku/>
        <w:wordWrap/>
        <w:overflowPunct/>
        <w:topLinePunct w:val="0"/>
        <w:bidi w:val="0"/>
        <w:snapToGrid w:val="0"/>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（四）安全技术措施</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1、施工前，安全负责人必须对施工区域的顶帮支护等情况进行全面检查，发现安全隐患必须及时处理，隐患未排除不得进行其它作业，时刻保持退路畅通。</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2、施工期间，必须严格执行经常性的敲帮问顶制度，找净活矸危岩。</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3、施工前，必须保证端头支护及超前支护正规有劲、支护良好，支架初撑力达标。</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4、施工期间至少2人一组，严禁单人操作，必须有专人观察顶帮，发现异常时，立即通知所有人员撤至安全地点，妥善处理后方可继续施工。</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5、退锚（剪网）时，由已退锚（剪网）地点开始，向未退锚（剪网）地点进行，退锚（剪网）施工人员必须站在支护良好地点进行操作，确保自己始终位于安全位置，严禁空顶作业。</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6、退锚（剪网）时，施工地点附近严禁其它人员逗留或进行其它作业，确需通过施工地点时，必须经过施工安全负责人同意，并确认安全后方可通过，通过时要迅速。</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7、必须在顶板稳定时方可进行退锚（剪网），严禁在来压期间或采空区冒落期间进行施工。</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8、在前部运输机头附近进行退锚（剪网）施工时，三机必须停电闭锁。 </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9、人员在端头处作业时，应提前打开超前支架及端头支架侧护板，护住巷帮。</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10、人员在端头处作业时，严禁操作端头支架、过渡支架、超前支架，将施工地点附近3架进液截止阀关闭；确需操作支架时，所有人员必须撤至安全地点。</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11、人员在端头处作业时，采煤机割煤距作业地点不得少于30m，否则必须停止割煤或撤出端头施工人员。</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12、人员在老塘侧退锚（剪网）时，还必须遵守以下规定：</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（1）只有在采空区顶板及顶煤稳定时方可施工，要时刻注意采空区情况，发现顶板或顶煤冒落时，人员要立即撤至安全地点，防止大块煤矸窜出伤人。</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（2）老塘侧退锚（剪网）时，必须坚持由里向外逐步进行的原则，严禁任何人员进入已退锚（剪网）区域。</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（3）在机巷内退锚（剪网）时，必须将后部运输机停电闭锁。</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13、以下情形之一，可不进行退锚（剪网）：</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（1）端头顶板破碎、压力较大时，可以不退锚（剪网），确保安全出口畅通；</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（2）上下隅角采空区能够充分冒落；</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（3）若锚索钢绞线被压散、弯曲，确实无法退锚时，可以不退锚；</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（4）过巷道超高接顶段时；</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（5）过地质构造带或构造影响区域，顶板异常破碎时。</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14、回收的锚杆、托盘、金属网等要及时转运出去，严禁乱扔乱放，严禁进入出煤系统。</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15、退锚机使用应遵守以下规定：</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（1）确保油管及接头处无污物后，将油管与泵和退锚机连接牢固，随时检查油管及其连接处有无漏油迹象，确保软管无任何损伤、千斤顶的各部位无漏油现象后方可使用；</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（2）高压胶管及零部件必须符合标准，其安全性能符合要求。 </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（3）将退锚机的中缸退回到最低位置，到底后油压显示增高时要立即停止供油并卸载。</w:t>
      </w:r>
    </w:p>
    <w:p>
      <w:pPr>
        <w:keepNext w:val="0"/>
        <w:keepLines w:val="0"/>
        <w:pageBreakBefore w:val="0"/>
        <w:widowControl w:val="0"/>
        <w:tabs>
          <w:tab w:val="left" w:pos="720"/>
        </w:tabs>
        <w:kinsoku/>
        <w:wordWrap/>
        <w:overflowPunct/>
        <w:topLinePunct w:val="0"/>
        <w:autoSpaceDE/>
        <w:autoSpaceDN/>
        <w:bidi w:val="0"/>
        <w:adjustRightInd/>
        <w:snapToGrid w:val="0"/>
        <w:spacing w:line="40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（4）把钢绞线插入退锚机的顶孔内约20cm，使锥顶顶紧外置锚具。</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使中缸顶出，当中缸顶到接近最长位置时应停止供油并卸载，使中缸退回到最低位置；如没有达到预定的预紧力，将千斤顶推进的锥顶再次顶紧外置的锚具，继续加载使中缸顶出，直到达到预定载荷时，卸载并使中缸退出，取下千斤顶。</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（6）退锚时，应使钢绞线与千斤顶处在同轴的位置。</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（7）锥顶必须与中缸拧紧到底，松动时不得工作。</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（8）避免退锚机在过高压力下工作，特别是在回程中中缸已退回，或升缸中中缸已升到位的情况下。</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（9）操作人员必须站立稳固，退锚机由专人操作，与液压泵的操作人员密切配合。</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（10）退锚时，千斤顶下方45°范围内严禁站人，防止千斤顶意外碰撞摔落伤人。</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（11）拆除油管后，外置油嘴要立刻戴上防尘帽。</w:t>
      </w:r>
    </w:p>
    <w:p>
      <w:pPr>
        <w:pStyle w:val="60"/>
        <w:keepNext w:val="0"/>
        <w:keepLines w:val="0"/>
        <w:pageBreakBefore w:val="0"/>
        <w:widowControl w:val="0"/>
        <w:kinsoku/>
        <w:wordWrap/>
        <w:overflowPunct/>
        <w:topLinePunct w:val="0"/>
        <w:autoSpaceDE/>
        <w:autoSpaceDN/>
        <w:bidi w:val="0"/>
        <w:adjustRightInd/>
        <w:snapToGrid w:val="0"/>
        <w:spacing w:line="390" w:lineRule="exac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六、人员进入煤壁作业安全技术措施</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1、要有班队长现场统一指挥，施工前，班队长必须对施工区域的顶板、煤帮、支护等情况进行全面检查，发现安全隐患必须及时处理，处理时确保安全，隐患未排除不得进行其它作业。</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2、在煤壁附近作业人员必须严格执行经常性的敲帮问顶制度，找净活矸危岩，防止片帮掉顶伤人。</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3、所有人员必须站在支护良好地点施工，严禁空顶作业。</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4、每组作业人员不得少于2人，严禁单人操作，且有一人观察顶板与煤壁，要时刻注意顶帮附近支护状况，发现异常立即撤至安全地点。</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人员进入煤壁作业应遵守下列规定：</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）进入煤壁作业前，必须对刮板输送机停电、闭锁、挂牌；作业地点距采煤机15m以内时，必须对采煤机停电、闭锁、挂牌，并脱开截割离合器；作业地点距离转载机5m以内时，必须对转载机停电、闭锁。</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）进入煤壁作业前，将作业地点及上下各5架范围内的液压支架伸缩梁伸出、护帮板打开进行控顶护帮；当伸缩梁、护帮板不能有效支护顶帮时，必须使用单体、半圆木、金属网等过顶背帮。</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）进入煤壁作业前，将作业地点及上下各3架范围内的液压支架电液控控制器闭锁；并关闭作业地点及上下3架液压支架进液截止阀。</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）进入煤壁作业前，用长柄工具找净顶帮危岩浮矸；留有伞檐地段严禁进入煤壁作业。</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）作业地点附近支架架间有空隙且顶板破碎时，必须对架间空隙进行防护。</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）进入煤壁刷帮、架棚等作业时，必须编制专项安全技术措施，各茬安全间距必须在规程措施中明确；架棚时原则上由高到低施工。</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）工作面倾角≥15°时，原则上只允许单茬作业，确需多茬同时作业时，相邻两茬之间不小于10m，并设置牢固可靠的防护措施。</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）进入煤壁作业时，必须确保退路畅通，并安专人监护，现场必须有班队长及以上管理人员指挥。</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9</w:t>
      </w:r>
      <w:r>
        <w:rPr>
          <w:rFonts w:hint="eastAsia" w:ascii="仿宋" w:hAnsi="仿宋" w:eastAsia="仿宋" w:cs="仿宋"/>
          <w:color w:val="000000" w:themeColor="text1"/>
          <w:sz w:val="24"/>
          <w14:textFill>
            <w14:solidFill>
              <w14:schemeClr w14:val="tx1"/>
            </w14:solidFill>
          </w14:textFill>
        </w:rPr>
        <w:t>）未经作业人员同意，严禁操作或检修、解锁作业地点支架；停送乳化液泵必须经施工负责人同意。</w:t>
      </w:r>
    </w:p>
    <w:p>
      <w:pPr>
        <w:pStyle w:val="60"/>
        <w:keepNext w:val="0"/>
        <w:keepLines w:val="0"/>
        <w:pageBreakBefore w:val="0"/>
        <w:widowControl w:val="0"/>
        <w:kinsoku/>
        <w:wordWrap/>
        <w:overflowPunct/>
        <w:topLinePunct w:val="0"/>
        <w:autoSpaceDE/>
        <w:autoSpaceDN/>
        <w:bidi w:val="0"/>
        <w:adjustRightInd/>
        <w:snapToGrid w:val="0"/>
        <w:spacing w:line="390" w:lineRule="exac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七、工作面探煤层厚度安全技术措施</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1、为保证资源充分回收，在回采期间采用打眼的方式探查工作面顶底煤厚度，准确掌握工作面煤层厚度。</w:t>
      </w:r>
    </w:p>
    <w:p>
      <w:pPr>
        <w:keepNext w:val="0"/>
        <w:keepLines w:val="0"/>
        <w:pageBreakBefore w:val="0"/>
        <w:widowControl w:val="0"/>
        <w:tabs>
          <w:tab w:val="left" w:pos="0"/>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2、工作面分别探查顶、底煤厚度，在煤层变化较大的地点，可根据现场情况，适当增加打眼数量，对于探测数据要进行详细、如实记录，及时反馈到生产班。</w:t>
      </w:r>
    </w:p>
    <w:p>
      <w:pPr>
        <w:keepNext w:val="0"/>
        <w:keepLines w:val="0"/>
        <w:pageBreakBefore w:val="0"/>
        <w:widowControl w:val="0"/>
        <w:tabs>
          <w:tab w:val="left" w:pos="0"/>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3、打眼位置要选择在顶板和煤壁完整的支护良好地点，施工期间要严格执行经常性的敲帮问顶制度，及时找净活矸危岩，防止片帮掉顶伤人。</w:t>
      </w:r>
    </w:p>
    <w:p>
      <w:pPr>
        <w:keepNext w:val="0"/>
        <w:keepLines w:val="0"/>
        <w:pageBreakBefore w:val="0"/>
        <w:widowControl w:val="0"/>
        <w:tabs>
          <w:tab w:val="left" w:pos="0"/>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4、打眼时至少2人一组，严禁单人操作，要有专人观察顶帮及支护情况，发现异常及时通知人员撤至安全地点。</w:t>
      </w:r>
    </w:p>
    <w:p>
      <w:pPr>
        <w:keepNext w:val="0"/>
        <w:keepLines w:val="0"/>
        <w:pageBreakBefore w:val="0"/>
        <w:widowControl w:val="0"/>
        <w:tabs>
          <w:tab w:val="left" w:pos="0"/>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5、打眼时严格按照本作业规程中“风动钻具使用安全技术措施”规定施工，人员进入煤壁作业时严格执行本作业规程中“人员进入煤壁作业安全技术措施”。</w:t>
      </w:r>
    </w:p>
    <w:p>
      <w:pPr>
        <w:keepNext w:val="0"/>
        <w:keepLines w:val="0"/>
        <w:pageBreakBefore w:val="0"/>
        <w:widowControl w:val="0"/>
        <w:tabs>
          <w:tab w:val="left" w:pos="0"/>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6、打眼时，钻具要放置稳固，防止滑动，人员站稳站牢。</w:t>
      </w:r>
    </w:p>
    <w:p>
      <w:pPr>
        <w:pStyle w:val="60"/>
        <w:keepNext w:val="0"/>
        <w:keepLines w:val="0"/>
        <w:pageBreakBefore w:val="0"/>
        <w:widowControl w:val="0"/>
        <w:kinsoku/>
        <w:wordWrap/>
        <w:overflowPunct/>
        <w:topLinePunct w:val="0"/>
        <w:autoSpaceDE/>
        <w:autoSpaceDN/>
        <w:bidi w:val="0"/>
        <w:adjustRightInd/>
        <w:snapToGrid w:val="0"/>
        <w:spacing w:line="390" w:lineRule="exac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八、工作面俯采安全技术措施</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1、工作面俯时，支架严禁超高使用，采高控制在3.3-3.5m之间。</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2、俯采时，工作面机头机尾段要紧跟机风巷顶底板，保证端头处安全出口畅通，工作面顶底板整体平缓过渡，保持工作面回采层位合理。</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3、根据巷道坡度，控制好割煤卧底的幅度，严禁急提急刹回采。</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4、俯采时，会影响采煤机装煤效果，必要时采煤机可返刀清理底煤或人工进入煤壁清理，移前部运输机前，保证底煤清理到位，严防飘车，确保移车步距为0.8m。</w:t>
      </w:r>
    </w:p>
    <w:p>
      <w:pPr>
        <w:keepNext w:val="0"/>
        <w:keepLines w:val="0"/>
        <w:pageBreakBefore w:val="0"/>
        <w:widowControl w:val="0"/>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5、移架前，清理好支架底座前的浮煤，保证支架顶梁与顶板平行支设，其最大仰俯角不大于7°，</w:t>
      </w:r>
      <w:r>
        <w:rPr>
          <w:rFonts w:hint="eastAsia" w:ascii="仿宋" w:hAnsi="仿宋" w:eastAsia="仿宋" w:cs="仿宋"/>
          <w:color w:val="000000" w:themeColor="text1"/>
          <w:sz w:val="24"/>
          <w:lang w:val="zh-CN"/>
          <w14:textFill>
            <w14:solidFill>
              <w14:schemeClr w14:val="tx1"/>
            </w14:solidFill>
          </w14:textFill>
        </w:rPr>
        <w:t>液压支架不挤、不咬、不歪，确保支架处于良好状态，</w:t>
      </w:r>
      <w:r>
        <w:rPr>
          <w:rFonts w:hint="eastAsia" w:ascii="仿宋" w:hAnsi="仿宋" w:eastAsia="仿宋" w:cs="仿宋"/>
          <w:color w:val="000000" w:themeColor="text1"/>
          <w:sz w:val="24"/>
          <w14:textFill>
            <w14:solidFill>
              <w14:schemeClr w14:val="tx1"/>
            </w14:solidFill>
          </w14:textFill>
        </w:rPr>
        <w:t>支护正规有劲。</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6、移架时，要带压擦顶移架，防止支架下滑过多，移架到位后及时升足劲，确保前立柱初撑力不低于24MPa，后立柱初撑力不低于20MPa，支架初撑力符合要求，防止支架下滑。</w:t>
      </w:r>
    </w:p>
    <w:p>
      <w:pPr>
        <w:keepNext w:val="0"/>
        <w:keepLines w:val="0"/>
        <w:pageBreakBefore w:val="0"/>
        <w:widowControl w:val="0"/>
        <w:tabs>
          <w:tab w:val="left" w:pos="720"/>
        </w:tabs>
        <w:kinsoku/>
        <w:wordWrap/>
        <w:overflowPunct/>
        <w:topLinePunct w:val="0"/>
        <w:autoSpaceDE/>
        <w:autoSpaceDN/>
        <w:bidi w:val="0"/>
        <w:adjustRightInd/>
        <w:snapToGrid w:val="0"/>
        <w:spacing w:line="39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7、移架时，控制好架间隙，在保证支架不被挤死的情况下，尽量缩小架间隙，防止采空区大块煤矸滚入工作面。</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8、加强工作面工程质量管理，工作面做到“三直、两平、两畅通”。</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9、加强设备检修，尤其是采煤机导向滑靴、支撑滑靴、销排的紧固和磨损情况，防止因俯采倾角过大造成损坏影响正常生产。</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10、放煤工放顶煤要站在架箱内安全位置，时刻注意观察，防止大块煤矸滚出伤人；当俯采角度较大时，拉移支架后，及时将后部车拉移半硐，然后放煤，放完煤后，及时将后部车拉到位，减少矸石滚入后部车。</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11、当后部运输机前方积煤较多时，需安排人员及时清理；清理过程中，后部运输机必须停电闭锁，施工地点前后5架范围内，严禁任何人员操作液压支架，并闭锁该段支架</w:t>
      </w:r>
      <w:r>
        <w:rPr>
          <w:rFonts w:hint="eastAsia" w:ascii="仿宋" w:hAnsi="仿宋" w:eastAsia="仿宋" w:cs="仿宋"/>
          <w:color w:val="000000" w:themeColor="text1"/>
          <w:sz w:val="24"/>
          <w:lang w:val="en-US" w:eastAsia="zh-CN"/>
          <w14:textFill>
            <w14:solidFill>
              <w14:schemeClr w14:val="tx1"/>
            </w14:solidFill>
          </w14:textFill>
        </w:rPr>
        <w:t>急停装置</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12、工作面俯采时，加强上下隅角管理，安设牢固可靠的挡矸装置，防止采空区大块煤矸滚落伤人。 </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13、加强两巷超前支架管理，保证初撑力达标，拉移转载机前要及时补液，防止带动支架下滑，拉移转载机时应缓慢进行，防止突然下滑。</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14、若转载机出现下滑迹象时，可采取打地锚配合圆环链进行固定，也可使用圆环链将转载机与超前支架连接进行固定。</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15、俯采角度大于16°地点，皮带机人行道侧安装防护网，防止块煤滚落伤人。</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16、转载机司机站位要合理，要站在安全位置，防止转载机头卸载点块煤滚落弹出伤人，必要时可使用废旧皮子在转载机头前方进行遮挡。</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17、人员两巷及工作面行走时，注意防倒防滑。</w:t>
      </w:r>
    </w:p>
    <w:p>
      <w:pPr>
        <w:keepNext w:val="0"/>
        <w:keepLines w:val="0"/>
        <w:pageBreakBefore w:val="0"/>
        <w:widowControl w:val="0"/>
        <w:tabs>
          <w:tab w:val="left" w:pos="720"/>
        </w:tabs>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18、加强工作面上下隅角瓦斯监测，防止瓦斯积聚。</w:t>
      </w:r>
    </w:p>
    <w:p>
      <w:pPr>
        <w:pStyle w:val="60"/>
        <w:keepNext w:val="0"/>
        <w:keepLines w:val="0"/>
        <w:pageBreakBefore w:val="0"/>
        <w:widowControl w:val="0"/>
        <w:kinsoku/>
        <w:wordWrap/>
        <w:overflowPunct/>
        <w:topLinePunct w:val="0"/>
        <w:bidi w:val="0"/>
        <w:snapToGrid w:val="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九、工作面过小断层安全技术措施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1、本措施只适用于断层落差较小且走向影响范围较小的的断层。</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2、采取强推硬过的办法通过小断层。</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过断层期间，每班开工前必须由班队长对断层影响范围内的顶帮、支护等情况进行全面检查，发现安全隐患必须及时处理，整改和加固时必须从安全地点开始由外向里、逐步进行，严禁由里向外或直接进入无安全保障的地方进行施工，隐患未排除不得进行其它作业。</w:t>
      </w:r>
    </w:p>
    <w:p>
      <w:pPr>
        <w:keepNext w:val="0"/>
        <w:keepLines w:val="0"/>
        <w:pageBreakBefore w:val="0"/>
        <w:widowControl w:val="0"/>
        <w:kinsoku/>
        <w:wordWrap/>
        <w:overflowPunct/>
        <w:topLinePunct w:val="0"/>
        <w:bidi w:val="0"/>
        <w:snapToGrid w:val="0"/>
        <w:ind w:firstLine="480"/>
        <w:textAlignment w:val="auto"/>
        <w:rPr>
          <w:rFonts w:hint="eastAsia" w:ascii="仿宋" w:hAnsi="仿宋" w:eastAsia="仿宋" w:cs="仿宋"/>
          <w:color w:val="000000" w:themeColor="text1"/>
          <w:sz w:val="24"/>
          <w14:textFill>
            <w14:solidFill>
              <w14:schemeClr w14:val="tx1"/>
            </w14:solidFill>
          </w14:textFill>
        </w:rPr>
      </w:pP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4、要加强设备的检修和维护，保证设备正常使用，保证工作面连续、均衡推进，避免压力集中。   </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5、在保证煤机能正常通过的情况下，以少破矸石为原则，适当控制采高，确保煤质。</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6、过断层期间，加强煤质管理，矸石严禁进入系统；破大块煤（或矸石）人员，应避开断层影响范围，站在支护完好地点作业，并确保运输机停止运行，随时注意观察顶帮情况，防止片帮掉顶或架间掉矸伤人。</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7、工作面过断层时，应根据现场顶板情况，少放煤或不放煤。</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煤机割煤时若揭露断层面时，应将断层面附近顶底板与相邻正常煤层顶底板保持基本一致，平缓过渡，不得出现台阶式落差；工作面机头、机尾过断层构造带时，应严格坚持工作面顶底板与机风巷保持一致的原则，逐架衬平，保证出口畅通。</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9、采煤机割煤过断层带时只准超前一架收回滑移前梁，随着割煤进度逐架收回，防止片帮掉顶。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10、过断层时，若顶板破碎，要及时带压擦顶移架支护顶板，滑移前梁要抵紧煤壁，护帮板紧贴煤帮，防止片帮掉顶；人员严禁架前行走，防止架间掉矸伤人。</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11、若工作面片帮且端面距超过300mm时，必须超前移架支护顶板，防止漏顶。</w:t>
      </w:r>
      <w:r>
        <w:rPr>
          <w:rFonts w:hint="eastAsia" w:ascii="仿宋" w:hAnsi="仿宋" w:eastAsia="仿宋" w:cs="仿宋"/>
          <w:color w:val="000000" w:themeColor="text1"/>
          <w:sz w:val="24"/>
          <w:lang w:val="en-US" w:eastAsia="zh-CN"/>
          <w14:textFill>
            <w14:solidFill>
              <w14:schemeClr w14:val="tx1"/>
            </w14:solidFill>
          </w14:textFill>
        </w:rPr>
        <w:t>架前塞入</w:t>
      </w:r>
      <w:r>
        <w:rPr>
          <w:rFonts w:hint="eastAsia" w:ascii="仿宋" w:hAnsi="仿宋" w:eastAsia="仿宋" w:cs="仿宋"/>
          <w:color w:val="000000" w:themeColor="text1"/>
          <w:sz w:val="24"/>
          <w14:textFill>
            <w14:solidFill>
              <w14:schemeClr w14:val="tx1"/>
            </w14:solidFill>
          </w14:textFill>
        </w:rPr>
        <w:t>木料</w:t>
      </w:r>
      <w:r>
        <w:rPr>
          <w:rFonts w:hint="eastAsia" w:ascii="仿宋" w:hAnsi="仿宋" w:eastAsia="仿宋" w:cs="仿宋"/>
          <w:color w:val="000000" w:themeColor="text1"/>
          <w:sz w:val="24"/>
          <w:lang w:val="en-US" w:eastAsia="zh-CN"/>
          <w14:textFill>
            <w14:solidFill>
              <w14:schemeClr w14:val="tx1"/>
            </w14:solidFill>
          </w14:textFill>
        </w:rPr>
        <w:t>或者煤袋</w:t>
      </w:r>
      <w:r>
        <w:rPr>
          <w:rFonts w:hint="eastAsia" w:ascii="仿宋" w:hAnsi="仿宋" w:eastAsia="仿宋" w:cs="仿宋"/>
          <w:color w:val="000000" w:themeColor="text1"/>
          <w:sz w:val="24"/>
          <w14:textFill>
            <w14:solidFill>
              <w14:schemeClr w14:val="tx1"/>
            </w14:solidFill>
          </w14:textFill>
        </w:rPr>
        <w:t>接实顶板，保证支架接顶严实。</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、加强工作面工程质量管理，保持架间距合理，及时调整支架支护状态，确保支架不挤、不咬、不倒，保证支护正规有劲。</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保证排水系统畅通完好，过断层期间，加强工作面水文观测，注意观察构造带附近淋水、顶板冒落、煤壁片帮等情况，若发现淋水加大、水量异常等情况时，必须及时向调度指挥中心汇报，如情况危急，还必须立即发出警报，所有受威胁人员撤至安全地点。</w:t>
      </w:r>
    </w:p>
    <w:p>
      <w:pPr>
        <w:keepNext w:val="0"/>
        <w:keepLines w:val="0"/>
        <w:pageBreakBefore w:val="0"/>
        <w:widowControl w:val="0"/>
        <w:kinsoku/>
        <w:wordWrap/>
        <w:overflowPunct/>
        <w:topLinePunct w:val="0"/>
        <w:bidi w:val="0"/>
        <w:snapToGrid w:val="0"/>
        <w:ind w:firstLine="480"/>
        <w:textAlignment w:val="auto"/>
        <w:rPr>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、加强工作面瓦斯、CO气体浓度监测，发现异常及时处理，并汇报矿调度指挥中心。</w:t>
      </w:r>
    </w:p>
    <w:p>
      <w:pPr>
        <w:pStyle w:val="60"/>
        <w:keepNext w:val="0"/>
        <w:keepLines w:val="0"/>
        <w:pageBreakBefore w:val="0"/>
        <w:widowControl w:val="0"/>
        <w:kinsoku/>
        <w:wordWrap/>
        <w:overflowPunct/>
        <w:topLinePunct w:val="0"/>
        <w:bidi w:val="0"/>
        <w:snapToGrid w:val="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十、工作面过地质钻孔安全技术措施</w:t>
      </w:r>
    </w:p>
    <w:p>
      <w:pPr>
        <w:keepNext w:val="0"/>
        <w:keepLines w:val="0"/>
        <w:pageBreakBefore w:val="0"/>
        <w:widowControl w:val="0"/>
        <w:kinsoku/>
        <w:wordWrap/>
        <w:overflowPunct/>
        <w:topLinePunct w:val="0"/>
        <w:bidi w:val="0"/>
        <w:snapToGrid w:val="0"/>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1、工作面内及周边钻孔</w:t>
      </w:r>
      <w:r>
        <w:rPr>
          <w:rFonts w:hint="eastAsia" w:ascii="仿宋" w:hAnsi="仿宋" w:eastAsia="仿宋" w:cs="仿宋"/>
          <w:color w:val="000000" w:themeColor="text1"/>
          <w:sz w:val="24"/>
          <w:lang w:val="en-US" w:eastAsia="zh-CN"/>
          <w14:textFill>
            <w14:solidFill>
              <w14:schemeClr w14:val="tx1"/>
            </w14:solidFill>
          </w14:textFill>
        </w:rPr>
        <w:t>十一</w:t>
      </w:r>
      <w:r>
        <w:rPr>
          <w:rFonts w:hint="eastAsia" w:ascii="仿宋" w:hAnsi="仿宋" w:eastAsia="仿宋" w:cs="仿宋"/>
          <w:color w:val="000000" w:themeColor="text1"/>
          <w:sz w:val="24"/>
          <w14:textFill>
            <w14:solidFill>
              <w14:schemeClr w14:val="tx1"/>
            </w14:solidFill>
          </w14:textFill>
        </w:rPr>
        <w:t>个：G6、</w:t>
      </w:r>
      <w:r>
        <w:rPr>
          <w:rFonts w:hint="eastAsia" w:ascii="仿宋" w:hAnsi="仿宋" w:eastAsia="仿宋" w:cs="仿宋"/>
          <w:color w:val="000000" w:themeColor="text1"/>
          <w:sz w:val="24"/>
          <w:lang w:val="en-US" w:eastAsia="zh-CN"/>
          <w14:textFill>
            <w14:solidFill>
              <w14:schemeClr w14:val="tx1"/>
            </w14:solidFill>
          </w14:textFill>
        </w:rPr>
        <w:t>B20</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B2</w:t>
      </w:r>
      <w:r>
        <w:rPr>
          <w:rFonts w:hint="eastAsia" w:ascii="仿宋" w:hAnsi="仿宋" w:eastAsia="仿宋" w:cs="仿宋"/>
          <w:color w:val="000000" w:themeColor="text1"/>
          <w:sz w:val="24"/>
          <w14:textFill>
            <w14:solidFill>
              <w14:schemeClr w14:val="tx1"/>
            </w14:solidFill>
          </w14:textFill>
        </w:rPr>
        <w:t>、ZK05-</w:t>
      </w:r>
      <w:r>
        <w:rPr>
          <w:rFonts w:hint="eastAsia" w:ascii="仿宋" w:hAnsi="仿宋" w:eastAsia="仿宋" w:cs="仿宋"/>
          <w:color w:val="000000" w:themeColor="text1"/>
          <w:sz w:val="24"/>
          <w:lang w:val="en-US" w:eastAsia="zh-CN"/>
          <w14:textFill>
            <w14:solidFill>
              <w14:schemeClr w14:val="tx1"/>
            </w14:solidFill>
          </w14:textFill>
        </w:rPr>
        <w:t>34</w:t>
      </w:r>
      <w:r>
        <w:rPr>
          <w:rFonts w:hint="eastAsia" w:ascii="仿宋" w:hAnsi="仿宋" w:eastAsia="仿宋" w:cs="仿宋"/>
          <w:color w:val="000000" w:themeColor="text1"/>
          <w:sz w:val="24"/>
          <w14:textFill>
            <w14:solidFill>
              <w14:schemeClr w14:val="tx1"/>
            </w14:solidFill>
          </w14:textFill>
        </w:rPr>
        <w:t>、B</w:t>
      </w:r>
      <w:r>
        <w:rPr>
          <w:rFonts w:hint="eastAsia" w:ascii="仿宋" w:hAnsi="仿宋" w:eastAsia="仿宋" w:cs="仿宋"/>
          <w:color w:val="000000" w:themeColor="text1"/>
          <w:sz w:val="24"/>
          <w:lang w:val="en-US" w:eastAsia="zh-CN"/>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、Y1、Z5-95、Z17-93、B4钻孔</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抽排孔水钻孔1303-CP1、1303-CP2、1303-CP3，两带观测孔1303-LD1、1303-LD2</w:t>
      </w:r>
      <w:r>
        <w:rPr>
          <w:rFonts w:hint="eastAsia" w:ascii="仿宋" w:hAnsi="仿宋" w:eastAsia="仿宋" w:cs="仿宋"/>
          <w:color w:val="000000" w:themeColor="text1"/>
          <w:sz w:val="24"/>
          <w14:textFill>
            <w14:solidFill>
              <w14:schemeClr w14:val="tx1"/>
            </w14:solidFill>
          </w14:textFill>
        </w:rPr>
        <w:t>；其中G6</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抽排孔水钻孔</w:t>
      </w:r>
      <w:r>
        <w:rPr>
          <w:rFonts w:hint="eastAsia" w:ascii="仿宋" w:hAnsi="仿宋" w:eastAsia="仿宋" w:cs="仿宋"/>
          <w:color w:val="000000" w:themeColor="text1"/>
          <w:sz w:val="24"/>
          <w14:textFill>
            <w14:solidFill>
              <w14:schemeClr w14:val="tx1"/>
            </w14:solidFill>
          </w14:textFill>
        </w:rPr>
        <w:t>在工作面内，其余在周边，根据勘探资料，钻孔封孔质量合格,九个钻孔等级均为甲级。</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2、掌握好工作面与钻孔之间距离，并提前通知班队长、采煤机司机、支架工、放煤工等井下作业人员。</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3、过钻孔期间，加强对水泵、开关、管路等检修，保证工作面排水系统完好。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当工作面推进至距钻孔前后20m范围内时，班队长要加强工作面尤其是钻孔附近的出水情况观测，发现异常要及时通知矿调度指挥中心及生产技术部，如出现透水预兆等紧急情况时，必须立即停止作业，将受水灾威胁的所有人员撤至安全地点。</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5、工作面推进到距钻孔前后10m范围内时，钻孔上下10架支架要减少放煤量或不放煤，减少顶板裂隙的产生。</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6、过钻孔期间，钻孔附近割煤、移架、放煤时，要有班队长现场指挥。</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7、过钻孔期间，工作面支架要接顶严实，支护有效，打好护帮板，保证支架初撑力，预防过钻孔期间受淋水影响造成顶板溃沙、矸石掉落等现象。</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8、过钻孔期间，若工作面顶板破碎，移架时必须遵循少降快拉、带压擦顶的移架方式，防止掉顶。</w:t>
      </w:r>
      <w:r>
        <w:rPr>
          <w:rFonts w:hint="eastAsia" w:ascii="宋体" w:hAnsi="宋体" w:eastAsia="宋体" w:cs="宋体"/>
          <w:color w:val="000000" w:themeColor="text1"/>
          <w:sz w:val="24"/>
          <w14:textFill>
            <w14:solidFill>
              <w14:schemeClr w14:val="tx1"/>
            </w14:solidFill>
          </w14:textFill>
        </w:rPr>
        <w:t> </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9、过钻孔期间，瓦检员必须经常检查钻孔附近瓦斯浓度，当瓦斯浓度超过1﹪时，必须立即停止生产，采取措施，严禁瓦斯超限作业。</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10、过钻孔期间，保持工作面正规循环，尽快推过钻孔影响区域。</w:t>
      </w:r>
      <w:bookmarkStart w:id="498" w:name="_Toc496212780"/>
    </w:p>
    <w:p>
      <w:pPr>
        <w:keepNext w:val="0"/>
        <w:keepLines w:val="0"/>
        <w:pageBreakBefore w:val="0"/>
        <w:widowControl w:val="0"/>
        <w:kinsoku/>
        <w:wordWrap/>
        <w:overflowPunct/>
        <w:topLinePunct w:val="0"/>
        <w:bidi w:val="0"/>
        <w:snapToGrid w:val="0"/>
        <w:ind w:firstLine="0" w:firstLineChars="0"/>
        <w:textAlignment w:val="auto"/>
        <w:outlineLvl w:val="0"/>
        <w:rPr>
          <w:rFonts w:ascii="仿宋" w:hAnsi="仿宋" w:eastAsia="仿宋" w:cs="仿宋_GB2312"/>
          <w:b/>
          <w:bCs/>
          <w:color w:val="000000" w:themeColor="text1"/>
          <w:kern w:val="0"/>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十一</w:t>
      </w:r>
      <w:bookmarkStart w:id="499" w:name="_Toc426960829"/>
      <w:bookmarkStart w:id="500" w:name="_Toc334694262"/>
      <w:bookmarkStart w:id="501" w:name="_Toc334694114"/>
      <w:r>
        <w:rPr>
          <w:rFonts w:hint="eastAsia" w:ascii="仿宋" w:hAnsi="仿宋" w:eastAsia="仿宋" w:cs="仿宋"/>
          <w:b/>
          <w:bCs/>
          <w:color w:val="000000" w:themeColor="text1"/>
          <w:sz w:val="24"/>
          <w14:textFill>
            <w14:solidFill>
              <w14:schemeClr w14:val="tx1"/>
            </w14:solidFill>
          </w14:textFill>
        </w:rPr>
        <w:t>、气动</w:t>
      </w:r>
      <w:r>
        <w:rPr>
          <w:rFonts w:hint="eastAsia" w:ascii="仿宋" w:hAnsi="仿宋" w:eastAsia="仿宋" w:cs="仿宋_GB2312"/>
          <w:b/>
          <w:bCs/>
          <w:color w:val="000000" w:themeColor="text1"/>
          <w:kern w:val="0"/>
          <w:sz w:val="24"/>
          <w14:textFill>
            <w14:solidFill>
              <w14:schemeClr w14:val="tx1"/>
            </w14:solidFill>
          </w14:textFill>
        </w:rPr>
        <w:t>单轨吊使用安全技术措施</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（1）单轨吊车司机必须熟悉吊车性能，能熟练操作吊车，且持证上岗。</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（2）打运前，由</w:t>
      </w:r>
      <w:r>
        <w:rPr>
          <w:rFonts w:hint="eastAsia" w:ascii="仿宋" w:hAnsi="仿宋" w:eastAsia="仿宋" w:cs="仿宋_GB2312"/>
          <w:color w:val="000000" w:themeColor="text1"/>
          <w:kern w:val="0"/>
          <w:sz w:val="24"/>
          <w:lang w:val="en-US" w:eastAsia="zh-CN"/>
          <w14:textFill>
            <w14:solidFill>
              <w14:schemeClr w14:val="tx1"/>
            </w14:solidFill>
          </w14:textFill>
        </w:rPr>
        <w:t>班队长</w:t>
      </w:r>
      <w:r>
        <w:rPr>
          <w:rFonts w:hint="eastAsia" w:ascii="仿宋" w:hAnsi="仿宋" w:eastAsia="仿宋" w:cs="仿宋_GB2312"/>
          <w:color w:val="000000" w:themeColor="text1"/>
          <w:kern w:val="0"/>
          <w:sz w:val="24"/>
          <w14:textFill>
            <w14:solidFill>
              <w14:schemeClr w14:val="tx1"/>
            </w14:solidFill>
          </w14:textFill>
        </w:rPr>
        <w:t>现场检查并确认压风管头及连接安全可靠后方可使用。</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打运前，必须由班（队）长检查设备和前方路线，油雾器有适量气动马达专用润滑油。设备送压风后应首先测试葫芦各动作是否灵敏可靠、停车是否可靠，加载悬停1min，无异常方可卸载。确定设备完好、可靠运行，前方安全后方可打运。</w:t>
      </w:r>
    </w:p>
    <w:p>
      <w:pPr>
        <w:keepNext w:val="0"/>
        <w:keepLines w:val="0"/>
        <w:pageBreakBefore w:val="0"/>
        <w:widowControl w:val="0"/>
        <w:kinsoku/>
        <w:wordWrap/>
        <w:overflowPunct/>
        <w:topLinePunct w:val="0"/>
        <w:bidi w:val="0"/>
        <w:snapToGrid w:val="0"/>
        <w:ind w:firstLine="480"/>
        <w:textAlignment w:val="auto"/>
        <w:outlineLvl w:val="0"/>
        <w:rPr>
          <w:rFonts w:hint="eastAsia" w:ascii="仿宋" w:hAnsi="仿宋" w:eastAsia="仿宋" w:cs="仿宋_GB2312"/>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bidi w:val="0"/>
        <w:snapToGrid w:val="0"/>
        <w:ind w:firstLine="480"/>
        <w:textAlignment w:val="auto"/>
        <w:outlineLvl w:val="0"/>
        <w:rPr>
          <w:rFonts w:hint="eastAsia" w:ascii="仿宋" w:hAnsi="仿宋" w:eastAsia="仿宋" w:cs="仿宋_GB2312"/>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bidi w:val="0"/>
        <w:snapToGrid w:val="0"/>
        <w:ind w:firstLine="480"/>
        <w:textAlignment w:val="auto"/>
        <w:outlineLvl w:val="0"/>
        <w:rPr>
          <w:rFonts w:hint="default" w:ascii="仿宋" w:hAnsi="仿宋" w:eastAsia="仿宋" w:cs="仿宋_GB2312"/>
          <w:color w:val="000000" w:themeColor="text1"/>
          <w:kern w:val="0"/>
          <w:sz w:val="24"/>
          <w:lang w:val="en-US" w:eastAsia="zh-CN"/>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（4）使用时严禁超负荷使用单轨吊。物料吊装要重心平稳，捆扎、吊挂要牢固，严禁超载，严禁偏装偏载。</w:t>
      </w:r>
      <w:r>
        <w:rPr>
          <w:rFonts w:hint="eastAsia" w:ascii="仿宋" w:hAnsi="仿宋" w:eastAsia="仿宋" w:cs="仿宋_GB2312"/>
          <w:color w:val="000000" w:themeColor="text1"/>
          <w:kern w:val="0"/>
          <w:sz w:val="24"/>
          <w:lang w:val="en-US" w:eastAsia="zh-CN"/>
          <w14:textFill>
            <w14:solidFill>
              <w14:schemeClr w14:val="tx1"/>
            </w14:solidFill>
          </w14:textFill>
        </w:rPr>
        <w:t>单轨吊一次运输最大重量不得超过12T。</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（5）钩头要由专人摘挂，找好重心，并进行安全确认。起降试吊后，方可启动驱动装置，严禁沿底板生拉硬拖。起吊重物必须做到垂直起升，严禁斜拉重物。</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起吊时人员不得手扶干预重物，不得站在设备正下方，应选择合适的站位并远程平稳操作，以防重物提升过程中摆动伤人。起吊葫芦钩头向上提升时应留有一定行程，以防挤坏风动葫芦；起吊后多余的链条收放好，严禁拖地行走。</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（7）打运过程中，一人操作吊车，操作人员与单轨吊之间应有不小于3m的安全距离且操作人员要站在单轨吊右上方。</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（8）单轨吊车在巷道斜坡段载重运行时，操作人员在单轨吊车右上方方向操作，且对打运线路进行警戒，保证下方20m及上方20m范围内无其他人员；平巷运行时，单轨吊前方10m及后方10m要有人警戒。</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（9）设备运行过程中，要集中注意力，注意机车周围情况，禁止有人员在机车下方行走。</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（10）检修及停止使用时，必须切断风源。</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（11）更换风头时，在卸去风管前，必须对单轨吊及风管进行卸压，待压力卸尽后方能卸去风管，严禁带压操作。</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（12）吊挂锚杆及螺栓要定期检查、紧固。</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（13）操作要连续，减少频繁启动次数，启动和停止时要准确平稳，接近轨道端头时，要降低设备运行速度，防止掉道。</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（14）打运过程中，当发生故障无法停车时，要立即操作（关闭）急停开关或关闭气源，以防造成事故。</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（15）跨越设备、物料运行前，应停车校验起吊物料与其的相对位置。起吊物距跨越物高度必须大于100mm，否则不得通过。</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（16）每次吊运作业应连续完成。因故障或其它原因停止运行时，应及时将物料安全落地，不得长时间悬空。</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（17）操作手把在设备操作完成后吊挂在设备上，不得随便乱放，防止误动作及摔坏按钮或接头。</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（18）停车位置应选择在支护良好、坡度较小地段。确需在大坡度地段停车时，要有可靠的防滑措施，且物料下方严禁站人。</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（19）单轨吊运行至指定位置后，物料应缓慢轻放，不允许自由落下。物料下放平稳（落地）后，摘去挂钩，确认各操作按钮处在停运位置，收放好操作手柄，防止误操作。</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（20）装置安全检查措施：</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①打运前，必须由跟班人员检查后，确定设备完好、可靠运行，方能打运。</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②导轨之间通过锥形销子连接，连接必须紧固，接头无明显变形或错位，确保滑轮可轻松滑过接头部位。</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③风管必须完好无折断、无严重弯曲、开裂等，接头必须牢固。</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④失效制动装置安装过程中，应将气管留出足够的伸展空间并用扎带将其固定牢靠，防止弹簧回缩时夹住气管。并且在设备未完全连接前严禁打开截止阀。</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⑤设备额定压力为0.4-0.6MPa，保证风管压力达标。</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⑥设备使用前必须进行检查，油雾器有适量气动马达专用润滑油。</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（21）打运过程安全措施</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①设备送气后应首先测试葫芦各动作是否灵敏可靠、停车是否可靠，加载悬停1分钟，无异常方可卸载。使用时最大起吊重量不能超过其额定值。</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②勾头要由专人摘挂，找好重心，并进行安全确认，起吊离地200mm后，起降试吊后，方可启动驱动装置，运行过程中起吊高度不得超过50mm。</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③压风管路每隔50m加三通，风头垂直于管路向上，防止压风管内积水、杂物流入设备。打运过程中，安设两人操作，一人操作行车，吊车每运行约50m，另一人拖动气管连接下一个风头，连接处必须使用12#铁丝将两头连接固定好，以防风带脱销伤人。</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④打运过程中，驱动装置和风动葫芦不可同时使用。</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⑤葫芦在提升及运行过程中，单轨吊梁下方严禁站人。</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⑥吊车运行上坡时，操作人员跟在吊车起吊的重物前右上方保持约3米安全距离，下坡时候，跟在吊车起吊的重物后右上方保持约3米的安全距离。</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⑦机车运行过程中，操作人员要集中注意力，注意机车周围情况，机车前后20米范围内禁止有其他人员。</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⑧打运过程中实行全封闭打运，运行范围内严禁有人停留或通过。</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⑨吊车上坡运行时，操作人员跟在重物的前方，吊车下坡运行时，操作人员跟在重物的后方。</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⑩吊车下坡运行时，进入斜巷前，吊车司机应安排专职人员到斜巷下口20m外安全地点进行警戒，严禁人员停留、通过。吊车司机开车前需喊“注意安全、吊车运行”，待警戒人员回复“确认安全，可以运行”后方可开车。</w:t>
      </w:r>
    </w:p>
    <w:p>
      <w:pPr>
        <w:keepNext w:val="0"/>
        <w:keepLines w:val="0"/>
        <w:pageBreakBefore w:val="0"/>
        <w:widowControl w:val="0"/>
        <w:kinsoku/>
        <w:wordWrap/>
        <w:overflowPunct/>
        <w:topLinePunct w:val="0"/>
        <w:autoSpaceDE w:val="0"/>
        <w:autoSpaceDN w:val="0"/>
        <w:bidi w:val="0"/>
        <w:adjustRightInd w:val="0"/>
        <w:snapToGrid w:val="0"/>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10、拆除及安装单轨吊</w:t>
      </w:r>
    </w:p>
    <w:p>
      <w:pPr>
        <w:keepNext w:val="0"/>
        <w:keepLines w:val="0"/>
        <w:pageBreakBefore w:val="0"/>
        <w:widowControl w:val="0"/>
        <w:kinsoku/>
        <w:wordWrap/>
        <w:overflowPunct/>
        <w:topLinePunct w:val="0"/>
        <w:autoSpaceDE w:val="0"/>
        <w:autoSpaceDN w:val="0"/>
        <w:bidi w:val="0"/>
        <w:adjustRightInd w:val="0"/>
        <w:snapToGrid w:val="0"/>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随着工作面的推进，要逐节拆除单轨吊、并在单轨吊外端进行安装。</w:t>
      </w:r>
    </w:p>
    <w:p>
      <w:pPr>
        <w:keepNext w:val="0"/>
        <w:keepLines w:val="0"/>
        <w:pageBreakBefore w:val="0"/>
        <w:widowControl w:val="0"/>
        <w:kinsoku/>
        <w:wordWrap/>
        <w:overflowPunct/>
        <w:topLinePunct w:val="0"/>
        <w:autoSpaceDE w:val="0"/>
        <w:autoSpaceDN w:val="0"/>
        <w:bidi w:val="0"/>
        <w:adjustRightInd w:val="0"/>
        <w:snapToGrid w:val="0"/>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（1）拆除前首先检查施工地点附近支护情况，清理净杂物，保持退路畅通。</w:t>
      </w:r>
    </w:p>
    <w:p>
      <w:pPr>
        <w:keepNext w:val="0"/>
        <w:keepLines w:val="0"/>
        <w:pageBreakBefore w:val="0"/>
        <w:widowControl w:val="0"/>
        <w:kinsoku/>
        <w:wordWrap/>
        <w:overflowPunct/>
        <w:topLinePunct w:val="0"/>
        <w:autoSpaceDE w:val="0"/>
        <w:autoSpaceDN w:val="0"/>
        <w:bidi w:val="0"/>
        <w:adjustRightInd w:val="0"/>
        <w:snapToGrid w:val="0"/>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（2）首先将拆除段末端单轨吊梁的阻车器挪移到非拆除的下一节轨道上。</w:t>
      </w:r>
    </w:p>
    <w:p>
      <w:pPr>
        <w:keepNext w:val="0"/>
        <w:keepLines w:val="0"/>
        <w:pageBreakBefore w:val="0"/>
        <w:widowControl w:val="0"/>
        <w:kinsoku/>
        <w:wordWrap/>
        <w:overflowPunct/>
        <w:topLinePunct w:val="0"/>
        <w:autoSpaceDE w:val="0"/>
        <w:autoSpaceDN w:val="0"/>
        <w:bidi w:val="0"/>
        <w:adjustRightInd w:val="0"/>
        <w:snapToGrid w:val="0"/>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（3）使用2部额定起重量不小于2t的手拉葫芦将需拆除的跑道吊起至合适高度，拉葫生根在专用起吊锚杆上，然后将手拉葫芦锁死，施工人员严禁站在起吊物件下方或物件掉落可能窜出涉及的方向。</w:t>
      </w:r>
    </w:p>
    <w:p>
      <w:pPr>
        <w:keepNext w:val="0"/>
        <w:keepLines w:val="0"/>
        <w:pageBreakBefore w:val="0"/>
        <w:widowControl w:val="0"/>
        <w:kinsoku/>
        <w:wordWrap/>
        <w:overflowPunct/>
        <w:topLinePunct w:val="0"/>
        <w:autoSpaceDE w:val="0"/>
        <w:autoSpaceDN w:val="0"/>
        <w:bidi w:val="0"/>
        <w:adjustRightInd w:val="0"/>
        <w:snapToGrid w:val="0"/>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（4）卸掉轨道的连接装置及吊挂装置，缓慢松掉手拉葫芦，将轨道落下至巷道底板并放置稳固；在落下轨道的过程中，人员严禁将身体伸在轨道下方，防止掉落伤人。</w:t>
      </w:r>
    </w:p>
    <w:p>
      <w:pPr>
        <w:keepNext w:val="0"/>
        <w:keepLines w:val="0"/>
        <w:pageBreakBefore w:val="0"/>
        <w:widowControl w:val="0"/>
        <w:kinsoku/>
        <w:wordWrap/>
        <w:overflowPunct/>
        <w:topLinePunct w:val="0"/>
        <w:autoSpaceDE w:val="0"/>
        <w:autoSpaceDN w:val="0"/>
        <w:bidi w:val="0"/>
        <w:adjustRightInd w:val="0"/>
        <w:snapToGrid w:val="0"/>
        <w:ind w:firstLine="480"/>
        <w:jc w:val="left"/>
        <w:textAlignment w:val="auto"/>
        <w:rPr>
          <w:rFonts w:ascii="仿宋" w:hAnsi="仿宋" w:eastAsia="仿宋" w:cs="仿宋_GB2312"/>
          <w:bCs/>
          <w:color w:val="000000" w:themeColor="text1"/>
          <w:sz w:val="24"/>
          <w14:textFill>
            <w14:solidFill>
              <w14:schemeClr w14:val="tx1"/>
            </w14:solidFill>
          </w14:textFill>
        </w:rPr>
      </w:pPr>
      <w:r>
        <w:rPr>
          <w:rFonts w:hint="eastAsia" w:ascii="仿宋" w:hAnsi="仿宋" w:eastAsia="仿宋" w:cs="仿宋_GB2312"/>
          <w:bCs/>
          <w:color w:val="000000" w:themeColor="text1"/>
          <w:sz w:val="24"/>
          <w14:textFill>
            <w14:solidFill>
              <w14:schemeClr w14:val="tx1"/>
            </w14:solidFill>
          </w14:textFill>
        </w:rPr>
        <w:t>（5）安装单轨吊程序按照拆除程序反向进行即可。</w:t>
      </w:r>
    </w:p>
    <w:p>
      <w:pPr>
        <w:keepNext w:val="0"/>
        <w:keepLines w:val="0"/>
        <w:pageBreakBefore w:val="0"/>
        <w:widowControl w:val="0"/>
        <w:kinsoku/>
        <w:wordWrap/>
        <w:overflowPunct/>
        <w:topLinePunct w:val="0"/>
        <w:bidi w:val="0"/>
        <w:snapToGrid w:val="0"/>
        <w:ind w:firstLine="480"/>
        <w:textAlignment w:val="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11、大件起吊安全措施</w:t>
      </w:r>
      <w:bookmarkEnd w:id="499"/>
      <w:bookmarkEnd w:id="500"/>
      <w:bookmarkEnd w:id="501"/>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（1）起吊前，必须根据物件的形状及重量合理选择起吊点，以确保起吊物件的重心和稳定性。</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（2）起吊前，先对起重机械、工具、卡具和绳索（绳套）等进行检查试验，不合格的严禁使用。</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（3）起吊前，必须由施工负责人对工作现场安全环境进行检查，无隐患后方可作业。</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（4）起吊前，检查起吊工具及生要设施的安好状况，如有失效严禁起吊。</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（5）平巷起吊时，在起吊点前后不小于10m处设置警戒牌；斜巷起吊时，起吊点上方警戒距离不小于20米，下方不小于20米。</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（6）大件起吊前要试吊1～2次，将起吊绳、链逐渐张紧，使物体微离地面进行试吊，试吊高度100～200mm，确认可靠后在进行正式起吊作业。</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7）起吊大件过程中，严禁有人在钢丝绳或链条工作范围内走动或工作，非操作人员必须撤至范围以外，操作人员必须站在安全可靠地点进行操作，严防设备伤人。起吊物下严禁站人或有人工作；大件脱车时，其他无关人员严禁在脱车地点20m范围内逗留和工作。</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8）使用锚杆作为起吊点时，起吊点必须满足如下要求：固定在巷道顶板打设的专用锚杆上，每个起吊点不少于2根、每根锚杆抗拔力不少于100KN；使用工字钢棚作为起吊点时，应架设两棚一梁三柱工字钢棚，单体初撑力不低于11.5MPa。</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9）拉葫的单件起吊重量不得超过规定值的80％（在垂直角度上适用）。拉葫在使用前必须对其磨损情况及完好情况进行检查、试吊，以确保拉葫在使用过程中安全可靠，使用过程中严禁单链进行操作；在进行起吊作业时要求使用相应的绳扣或其它专用工具对被起吊物进行固定，然后使用起吊钩进行起吊，拉小链时应双手均匀用力，不得过猛过快，主链发生卡阻时必须检查卡阻原因并及时处理，严禁强行拉拽，起吊重物需要悬空停留时，应使用10#铁丝将手拉小链拴在大链上。</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10）在任何情况下，严禁用人体重量来平衡被吊运的重物。不得站在重物上起吊。进行起重作业时，不能站在重物下面（下边）起重臂下或重物运动前方等不安全的地方，只能在重物侧面作业。严禁用手直接校正被重物张紧的吊绳、吊具。</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（11）检查物体平衡，捆绑应无松动，吊运工具、机械正常无异响。如有异常应立即停止吊运，将物体放回地面进行处理。 </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（12）被吊物件的活动部件必须采取可靠的固定方式，起吊物件要放置平稳，不得将物体压住管线或堵塞巷道，然后拆除起吊用具。 </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（13）设备大件应垂直起吊，起吊大链与垂直线间的夹角严禁超过12°作业，在有角度起吊作业时，必须对大件采取防回荡措施或人员要躲开大件可能的回荡范围。</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（14）当风动单轨吊葫芦因故障不能使用时，每个葫芦可同时使用2部（一拉一保）5T手拉葫芦代替，拉葫因生根、捆绑牢固可靠。</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（15）使用风动拉葫对支架进行起吊、辅助时，操作人员距离支架不得小于5m，且支架两侧不允许有人，前后10m范围警戒到位，施工时严禁人员进入。</w:t>
      </w:r>
    </w:p>
    <w:p>
      <w:pPr>
        <w:keepNext w:val="0"/>
        <w:keepLines w:val="0"/>
        <w:pageBreakBefore w:val="0"/>
        <w:widowControl w:val="0"/>
        <w:kinsoku/>
        <w:wordWrap/>
        <w:overflowPunct/>
        <w:topLinePunct w:val="0"/>
        <w:bidi w:val="0"/>
        <w:snapToGrid w:val="0"/>
        <w:ind w:firstLine="0" w:firstLineChars="0"/>
        <w:textAlignment w:val="auto"/>
        <w:outlineLvl w:val="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十二、工作面初次来压、周期来压、采空区“见方”期间防冲专项措施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根据1305、1302回采工作面初次来压、周期来压、工作面“见方”经验及数据，初次来压步距一般在25-40m左右，周期来压步距在10m～18m之间，见方根据工作面设计宽度来确定。在以上区域回采期间，受地质因素和开采技术因素影响，区段煤柱、顶板坚硬岩层、煤层及底板岩层等易聚集大量弹性能，形成应力集中，易发生冲击地压事故，为有效预防和避免冲击事故的发生，特编制防冲措施。</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（一）初次来压和周期来压的特点</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1、初次来压和周期来压时，顶板下沉量和下沉速度急剧增大，支架压力大，顶板破碎，出现平行煤壁裂隙，甚至出现顶板台阶式下沉。</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2、工作面前方煤壁内的压力出现过度集中，至使煤壁破坏范围扩大形成严重片帮。</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3、老顶有折断或跨落时、在采空区深处产生闷雷声和剧烈的响动顶板掉渣严重。</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4、初次来压时、会使工作面支架大量下沉插入底板、如顶板支撑不够，会引起冒顶。</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（二）初次来压期间防冲安全技术措施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初次来压期间，成立初次来压领导小组，成员包括生产技术部采煤主管及采煤部管技人员。领导小组负责监测工作面的初次来压以及监督初次来压期间顶板管理专项措施在现场的落实，每班必须由小组管理成员跟班现场指挥，发现不安全因素立即处理，防止事故的发生。</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工作面初次来压期间，全部支架必须保证完好，液压管路不得出现漏液现象，液压支架失效的千斤顶、阀组必须及时维修或更换，每班要对工作面上的支架、超前支护架组及两巷端头单体液压支柱进行二次注液,以保证支架及单体支柱的初撑力。</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3、每班必须安排专人巡回检查工作面内及上、下两端头的顶帮情况和支护情况，发现问题及时组织人员处理。</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4、加强工作面的顶板管理，采取跟采煤机前滚筒移架的作业方式，如果顶板破碎，要采取超前拉架的方式,并及时把护帮板打出，严禁在空顶、空帮及支护质量不合格的情况下作业。</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5、设备维修工必须加强设备的维修质量,保证设备的正常运转。</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6、跟班瓦检员在初次来压期间要紧盯在现场，检查工作面上的瓦斯情况。如果瓦斯达到1.0％要停止施工，采取有效措施，使瓦斯小于1.0％后再进行施工。</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7、应提前在初次来压区域施工强化深孔顶板断顶预裂爆破，切断坚硬岩层，弱化初次来压压力，保证工作面安全推采。</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8、加强微震、应力、支架压力监测，初次来压期间采用钻屑法、微震、应力在线监测，及时分析数据，综合预警下发预警通知。</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（三）周期来压期间防冲安全技术措施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加强支护效果监测。周期来压期间有单体支护时，每班抽测单体支柱初撑力，支架初撑力应符合技术管理规定要求；如是锚梁网支护，则加强顶板离层仪的观测和帮底移近量的观测，必要时制定措施重新加强支护。</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2、周期来压期间加强工作面防片帮管理，支架保持拉移超前支架状态，减少空顶距离，支架升紧达到初撑力，使面后直接顶充分跨落以缓冲老顶跨落对工作面支架的冲击。</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3、周期来压期间加强钻屑法、应力、微震监测系统综合监测预警，下发预测预报及预警通知，提前做好各项防护措施。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4、施工常规顶板断顶孔、断底孔、帮部卸压孔，及时装药爆破，使顶板坚硬岩层断裂，缩小来压步距，保证工作面安全回采。</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5、周期来压期间，跟</w:t>
      </w:r>
      <w:r>
        <w:rPr>
          <w:rFonts w:hint="eastAsia" w:ascii="仿宋" w:hAnsi="仿宋" w:eastAsia="仿宋" w:cs="仿宋_GB2312"/>
          <w:color w:val="000000" w:themeColor="text1"/>
          <w:kern w:val="0"/>
          <w:sz w:val="24"/>
          <w:lang w:val="en-US" w:eastAsia="zh-CN"/>
          <w14:textFill>
            <w14:solidFill>
              <w14:schemeClr w14:val="tx1"/>
            </w14:solidFill>
          </w14:textFill>
        </w:rPr>
        <w:t>带人员及班队长</w:t>
      </w:r>
      <w:r>
        <w:rPr>
          <w:rFonts w:hint="eastAsia" w:ascii="仿宋" w:hAnsi="仿宋" w:eastAsia="仿宋" w:cs="仿宋_GB2312"/>
          <w:color w:val="000000" w:themeColor="text1"/>
          <w:kern w:val="0"/>
          <w:sz w:val="24"/>
          <w14:textFill>
            <w14:solidFill>
              <w14:schemeClr w14:val="tx1"/>
            </w14:solidFill>
          </w14:textFill>
        </w:rPr>
        <w:t>必须重点盯靠，发现异常，及时向调度室汇报，并采取措施。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6、带班领导、跟班队长进入工作面认真观察顶板及煤壁情况，尤其是两端头，出现顶板压力异常时必须加强支护或采取相应措施后方可继续向前推进。</w:t>
      </w:r>
      <w:r>
        <w:rPr>
          <w:rFonts w:hint="eastAsia" w:ascii="宋体" w:hAnsi="宋体" w:eastAsia="宋体" w:cs="宋体"/>
          <w:color w:val="000000" w:themeColor="text1"/>
          <w:kern w:val="0"/>
          <w:sz w:val="24"/>
          <w14:textFill>
            <w14:solidFill>
              <w14:schemeClr w14:val="tx1"/>
            </w14:solidFill>
          </w14:textFill>
        </w:rPr>
        <w:t> </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7、加强两端头的支护，两端头过渡架必须接顶严密，支护有力。拉移端头支架时，移架前先将前梁处的顶板控制好，并要由班队长指挥并掌握好安全，其他无关人员撤到安全地点。</w:t>
      </w:r>
      <w:r>
        <w:rPr>
          <w:rFonts w:hint="eastAsia" w:ascii="宋体" w:hAnsi="宋体" w:eastAsia="宋体" w:cs="宋体"/>
          <w:color w:val="000000" w:themeColor="text1"/>
          <w:kern w:val="0"/>
          <w:sz w:val="24"/>
          <w14:textFill>
            <w14:solidFill>
              <w14:schemeClr w14:val="tx1"/>
            </w14:solidFill>
          </w14:textFill>
        </w:rPr>
        <w:t> </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8、现场安检员或跟班队长等管理人员严密观察顶板压力变化，当顶板来压增大或异常时，及时采取有效措施加强顶板支护，提高支护强度，并观察顶板压力变化情况，每班向调度室汇报。</w:t>
      </w:r>
      <w:r>
        <w:rPr>
          <w:rFonts w:hint="eastAsia" w:ascii="宋体" w:hAnsi="宋体" w:eastAsia="宋体" w:cs="宋体"/>
          <w:color w:val="000000" w:themeColor="text1"/>
          <w:kern w:val="0"/>
          <w:sz w:val="24"/>
          <w14:textFill>
            <w14:solidFill>
              <w14:schemeClr w14:val="tx1"/>
            </w14:solidFill>
          </w14:textFill>
        </w:rPr>
        <w:t> </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9、检修班加强支架、泵站检修，保证支架的每根立柱完好，保证支架初撑力符合技术管理规定要求。</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10、非作业人员严禁在端头（尾）长时间停留，以防顶板突然来压垮落造成人员伤亡；端头（尾）必须作业时，必须保证撤退路线畅通，并在班组长现场监护情况下方可进行作业，作业完成后及时撤离。</w:t>
      </w:r>
      <w:r>
        <w:rPr>
          <w:rFonts w:hint="eastAsia" w:ascii="宋体" w:hAnsi="宋体" w:eastAsia="宋体" w:cs="宋体"/>
          <w:color w:val="000000" w:themeColor="text1"/>
          <w:kern w:val="0"/>
          <w:sz w:val="24"/>
          <w14:textFill>
            <w14:solidFill>
              <w14:schemeClr w14:val="tx1"/>
            </w14:solidFill>
          </w14:textFill>
        </w:rPr>
        <w:t> </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（四）采空区“见方”期间防冲安全技术措施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1、工作面见方期间，采煤部成立见方领导小组，负责见方期间现场措施落实以及应急处置，发现问题及时处理，每班小组人员必须向调度室汇报当班现场情况及注意事项等。</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2、应提前对工作面见方区域进行常规和强化断顶、断底卸压及帮部卸压孔，采用深孔爆破方式对高位岩层进行预裂爆破，减小厚层坚硬岩层断裂时产生的压力集中，以减弱或消除冲击地压危害。</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3、冲击地压监测室及时整理、分析微震、应力等监测数据，发现有异常情况，及时通知下发预警通知，提前做好防范措施。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4、做好工作面所有设备维护工作，有漏液、不灵敏的部件及时更换处理，保证设备正常。</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5、工作面见方区域加强超前支护和支架初撑力管理，确保支护效果。</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（五）综合安全技术措施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1、进入冲击危险区域所有人员必须穿好防冲服、戴好防冲帽，否则，禁止入内。</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2、人员进入冲击地压危险区域时必须严格执行“人员准入制度”。准入制度必须明确规定人员进入的时间、区域和人数，井下现场设立管理站。合理进行劳动组织，最大限度减少作业人员数量。</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3、机巷超前120m、风巷超前200m处设置冲击地压危险警示牌，无关人员不得进入，工作人员必须快速通过，不得逗留。</w:t>
      </w:r>
      <w:bookmarkStart w:id="502" w:name="_Hlk532630733"/>
      <w:r>
        <w:rPr>
          <w:rFonts w:hint="eastAsia" w:ascii="仿宋" w:hAnsi="仿宋" w:eastAsia="仿宋" w:cs="仿宋_GB2312"/>
          <w:color w:val="000000" w:themeColor="text1"/>
          <w:kern w:val="0"/>
          <w:sz w:val="24"/>
          <w14:textFill>
            <w14:solidFill>
              <w14:schemeClr w14:val="tx1"/>
            </w14:solidFill>
          </w14:textFill>
        </w:rPr>
        <w:t>检修班人员不得超过40人，生产班人员不得超过16人</w:t>
      </w:r>
      <w:bookmarkEnd w:id="502"/>
      <w:r>
        <w:rPr>
          <w:rFonts w:hint="eastAsia" w:ascii="仿宋" w:hAnsi="仿宋" w:eastAsia="仿宋" w:cs="仿宋_GB2312"/>
          <w:color w:val="000000" w:themeColor="text1"/>
          <w:kern w:val="0"/>
          <w:sz w:val="24"/>
          <w14:textFill>
            <w14:solidFill>
              <w14:schemeClr w14:val="tx1"/>
            </w14:solidFill>
          </w14:textFill>
        </w:rPr>
        <w:t>。煤机割到两端头30m时，工作面两端头人员撤至支架前后立柱架间，工作面机巷超前120m、风巷超前200m范围内所有人员（除固定岗位工种外）必须撤至该区域之外的安全地点。</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4、严格控制工作面推采速度，保证工作面均衡生产，强冲击危险区域不超过4m/d，弱及中等冲击危险区域不超过6.4m/d。</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5、加大两巷超前支护长度，保证支护质量和支护强度，并维护好超前支架。发现有片帮、掉顶、锚杆、锚索支护失效，及时补打锚杆、锚索，加强支护。</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严格执行物料管理，机巷超前120m、风巷超前200m范围内不得存放刚性物料，超前范围以外的设备、物料应分类码放整齐，并用不小于6mm钢丝绳（或不小于6mm直径钢筋做成的链条）牢固固定在帮部底板锚杆上，码放高度不得超过0.8m；管线吊管在巷道腰线以下，高于1.2m必须采取固定措施；电缆吊挂要有垂度。</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7、维护、保护好工作面两顺槽冲击地压避灾路线牌版，及压风自救、供水施救装置。</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8、停采3天及以上的冲击地压危险回采工作面恢复生产前，防冲专业人员应当根据钻屑法、应力监测法或微震监测法等检测监测情况对工作面冲击地压危险程度进行评价，并采取相应的安全措施。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9、每班安检员或跟班队长必须对两端头面后悬顶情况进行观测，悬顶面积大于10m</w:t>
      </w:r>
      <w:r>
        <w:rPr>
          <w:rFonts w:hint="eastAsia" w:ascii="仿宋" w:hAnsi="仿宋" w:eastAsia="仿宋" w:cs="仿宋_GB2312"/>
          <w:color w:val="000000" w:themeColor="text1"/>
          <w:kern w:val="0"/>
          <w:sz w:val="24"/>
          <w:vertAlign w:val="superscript"/>
          <w14:textFill>
            <w14:solidFill>
              <w14:schemeClr w14:val="tx1"/>
            </w14:solidFill>
          </w14:textFill>
        </w:rPr>
        <w:t>2</w:t>
      </w:r>
      <w:r>
        <w:rPr>
          <w:rFonts w:hint="eastAsia" w:ascii="仿宋" w:hAnsi="仿宋" w:eastAsia="仿宋" w:cs="仿宋_GB2312"/>
          <w:color w:val="000000" w:themeColor="text1"/>
          <w:kern w:val="0"/>
          <w:sz w:val="24"/>
          <w14:textFill>
            <w14:solidFill>
              <w14:schemeClr w14:val="tx1"/>
            </w14:solidFill>
          </w14:textFill>
        </w:rPr>
        <w:t>时，及时采取强制放顶措施，避免大面积顶板夸落诱发冲击地压事故。</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10、采用顶板爆破预裂防治冲击地压时，应当根据邻近钻孔顶板岩层柱状图、顶板岩层物理力学性质和工作面来压情况等，确定岩层爆破层位，从而确定爆破钻孔方位、倾角、长度、装药量、封孔长度等爆破参数。爆破参数等符合《煤矿安全规程》相关规定。</w:t>
      </w:r>
      <w:bookmarkStart w:id="503" w:name="_Toc19384"/>
      <w:bookmarkStart w:id="504" w:name="_Toc23146"/>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b/>
          <w:bCs/>
          <w:color w:val="000000" w:themeColor="text1"/>
          <w:kern w:val="0"/>
          <w:sz w:val="24"/>
          <w14:textFill>
            <w14:solidFill>
              <w14:schemeClr w14:val="tx1"/>
            </w14:solidFill>
          </w14:textFill>
        </w:rPr>
      </w:pPr>
      <w:r>
        <w:rPr>
          <w:rFonts w:hint="eastAsia" w:ascii="仿宋" w:hAnsi="仿宋" w:eastAsia="仿宋" w:cs="仿宋_GB2312"/>
          <w:b/>
          <w:bCs/>
          <w:color w:val="000000" w:themeColor="text1"/>
          <w:kern w:val="0"/>
          <w:sz w:val="24"/>
          <w14:textFill>
            <w14:solidFill>
              <w14:schemeClr w14:val="tx1"/>
            </w14:solidFill>
          </w14:textFill>
        </w:rPr>
        <w:t>十三、避免因冲击地压产生火花造成煤尘、瓦斯燃烧或爆炸等事故的防冲专项措施</w:t>
      </w:r>
      <w:bookmarkEnd w:id="503"/>
      <w:bookmarkEnd w:id="504"/>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冲击地压现象发生时不仅能导致顶板突然下沉、底板突然鼓起等破坏巷道及采场现象，同时还会造成机电设备、支护材料等破坏，甚至会引发瓦斯、煤尘燃烧或爆炸等次生灾害，对矿井安全生产造成威胁，为避免因冲击地压产生火花造成煤尘、瓦斯燃烧或爆炸事故的发生，结合矿井实际情况，特编制本措施。</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一、煤尘、瓦斯燃烧或爆炸的条件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（一）</w:t>
      </w:r>
      <w:r>
        <w:fldChar w:fldCharType="begin"/>
      </w:r>
      <w:r>
        <w:instrText xml:space="preserve"> HYPERLINK "https://www.baidu.com/s?wd=%E7%93%A6%E6%96%AF%E7%88%86%E7%82%B8&amp;tn=SE_PcZhidaonwhc_ngpagmjz&amp;rsv_dl=gh_pc_zhidao" \t "https://zhidao.baidu.com/question/_blank" </w:instrText>
      </w:r>
      <w:r>
        <w:fldChar w:fldCharType="separate"/>
      </w:r>
      <w:r>
        <w:rPr>
          <w:rFonts w:hint="eastAsia" w:ascii="仿宋" w:hAnsi="仿宋" w:eastAsia="仿宋" w:cs="仿宋_GB2312"/>
          <w:color w:val="000000" w:themeColor="text1"/>
          <w:kern w:val="0"/>
          <w:sz w:val="24"/>
          <w14:textFill>
            <w14:solidFill>
              <w14:schemeClr w14:val="tx1"/>
            </w14:solidFill>
          </w14:textFill>
        </w:rPr>
        <w:t>瓦斯爆炸</w:t>
      </w:r>
      <w:r>
        <w:rPr>
          <w:rFonts w:hint="eastAsia" w:ascii="仿宋" w:hAnsi="仿宋" w:eastAsia="仿宋" w:cs="仿宋_GB2312"/>
          <w:color w:val="000000" w:themeColor="text1"/>
          <w:kern w:val="0"/>
          <w:sz w:val="24"/>
          <w14:textFill>
            <w14:solidFill>
              <w14:schemeClr w14:val="tx1"/>
            </w14:solidFill>
          </w14:textFill>
        </w:rPr>
        <w:fldChar w:fldCharType="end"/>
      </w:r>
      <w:r>
        <w:rPr>
          <w:rFonts w:hint="eastAsia" w:ascii="仿宋" w:hAnsi="仿宋" w:eastAsia="仿宋" w:cs="仿宋_GB2312"/>
          <w:color w:val="000000" w:themeColor="text1"/>
          <w:kern w:val="0"/>
          <w:sz w:val="24"/>
          <w14:textFill>
            <w14:solidFill>
              <w14:schemeClr w14:val="tx1"/>
            </w14:solidFill>
          </w14:textFill>
        </w:rPr>
        <w:t>必须同时具备以下三个条件：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1、瓦斯浓度：5%～16%，当瓦斯浓度为9.5%时，爆炸威力最强；</w:t>
      </w:r>
      <w:r>
        <w:rPr>
          <w:rFonts w:hint="eastAsia" w:ascii="仿宋" w:hAnsi="仿宋" w:eastAsia="仿宋" w:cs="仿宋_GB2312"/>
          <w:color w:val="000000" w:themeColor="text1"/>
          <w:kern w:val="0"/>
          <w:sz w:val="24"/>
          <w14:textFill>
            <w14:solidFill>
              <w14:schemeClr w14:val="tx1"/>
            </w14:solidFill>
          </w14:textFill>
        </w:rPr>
        <w:br w:type="textWrapping"/>
      </w:r>
      <w:r>
        <w:rPr>
          <w:rFonts w:hint="eastAsia" w:ascii="仿宋" w:hAnsi="仿宋" w:eastAsia="仿宋" w:cs="仿宋_GB2312"/>
          <w:color w:val="000000" w:themeColor="text1"/>
          <w:kern w:val="0"/>
          <w:sz w:val="24"/>
          <w14:textFill>
            <w14:solidFill>
              <w14:schemeClr w14:val="tx1"/>
            </w14:solidFill>
          </w14:textFill>
        </w:rPr>
        <w:t xml:space="preserve">    2、高温火源：650～750℃；</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3、充足氧气：氧气浓度大于12%。</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（二）煤尘爆炸必须同时具备以下四个条件：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1、煤尘本身具有爆炸性；</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2、煤尘必须悬浮于空气中并达到一定的浓度：</w:t>
      </w:r>
      <w:r>
        <w:rPr>
          <w:rFonts w:hint="eastAsia" w:ascii="仿宋" w:hAnsi="仿宋" w:eastAsia="仿宋" w:cs="仿宋_GB2312"/>
          <w:color w:val="000000" w:themeColor="text1"/>
          <w:kern w:val="0"/>
          <w:sz w:val="24"/>
          <w14:textFill>
            <w14:solidFill>
              <w14:schemeClr w14:val="tx1"/>
            </w14:solidFill>
          </w14:textFill>
        </w:rPr>
        <w:fldChar w:fldCharType="begin"/>
      </w:r>
      <w:r>
        <w:rPr>
          <w:rFonts w:hint="eastAsia" w:ascii="仿宋" w:hAnsi="仿宋" w:eastAsia="仿宋" w:cs="仿宋_GB2312"/>
          <w:color w:val="000000" w:themeColor="text1"/>
          <w:kern w:val="0"/>
          <w:sz w:val="24"/>
          <w14:textFill>
            <w14:solidFill>
              <w14:schemeClr w14:val="tx1"/>
            </w14:solidFill>
          </w14:textFill>
        </w:rPr>
        <w:instrText xml:space="preserve"> HYPERLINK "https://www.baidu.com/s?wd=%E7%85%A4%E5%B0%98%E7%88%86%E7%82%B8&amp;tn=SE_PcZhidaonwhc_ngpagmjz&amp;rsv_dl=gh_pc_zhidao" \t "https://zhidao.baidu.com/question/_blank" </w:instrText>
      </w:r>
      <w:r>
        <w:rPr>
          <w:rFonts w:hint="eastAsia" w:ascii="仿宋" w:hAnsi="仿宋" w:eastAsia="仿宋" w:cs="仿宋_GB2312"/>
          <w:color w:val="000000" w:themeColor="text1"/>
          <w:kern w:val="0"/>
          <w:sz w:val="24"/>
          <w14:textFill>
            <w14:solidFill>
              <w14:schemeClr w14:val="tx1"/>
            </w14:solidFill>
          </w14:textFill>
        </w:rPr>
        <w:fldChar w:fldCharType="separate"/>
      </w:r>
      <w:r>
        <w:rPr>
          <w:rFonts w:hint="eastAsia" w:ascii="仿宋" w:hAnsi="仿宋" w:eastAsia="仿宋" w:cs="仿宋_GB2312"/>
          <w:color w:val="000000" w:themeColor="text1"/>
          <w:kern w:val="0"/>
          <w:sz w:val="24"/>
          <w14:textFill>
            <w14:solidFill>
              <w14:schemeClr w14:val="tx1"/>
            </w14:solidFill>
          </w14:textFill>
        </w:rPr>
        <w:t>煤尘爆炸</w:t>
      </w:r>
      <w:r>
        <w:rPr>
          <w:rFonts w:hint="eastAsia" w:ascii="仿宋" w:hAnsi="仿宋" w:eastAsia="仿宋" w:cs="仿宋_GB2312"/>
          <w:color w:val="000000" w:themeColor="text1"/>
          <w:kern w:val="0"/>
          <w:sz w:val="24"/>
          <w14:textFill>
            <w14:solidFill>
              <w14:schemeClr w14:val="tx1"/>
            </w14:solidFill>
          </w14:textFill>
        </w:rPr>
        <w:fldChar w:fldCharType="end"/>
      </w:r>
      <w:r>
        <w:rPr>
          <w:rFonts w:hint="eastAsia" w:ascii="仿宋" w:hAnsi="仿宋" w:eastAsia="仿宋" w:cs="仿宋_GB2312"/>
          <w:color w:val="000000" w:themeColor="text1"/>
          <w:kern w:val="0"/>
          <w:sz w:val="24"/>
          <w14:textFill>
            <w14:solidFill>
              <w14:schemeClr w14:val="tx1"/>
            </w14:solidFill>
          </w14:textFill>
        </w:rPr>
        <w:t>下限为30～50g/</w:t>
      </w:r>
      <w:r>
        <w:rPr>
          <w:rFonts w:hint="eastAsia" w:ascii="仿宋" w:hAnsi="仿宋" w:eastAsia="仿宋" w:cs="仿宋_GB2312"/>
          <w:color w:val="000000" w:themeColor="text1"/>
          <w:kern w:val="0"/>
          <w:sz w:val="24"/>
          <w:lang w:val="en-US" w:eastAsia="zh-CN"/>
          <w14:textFill>
            <w14:solidFill>
              <w14:schemeClr w14:val="tx1"/>
            </w14:solidFill>
          </w14:textFill>
        </w:rPr>
        <w:t>m³</w:t>
      </w:r>
      <w:r>
        <w:rPr>
          <w:rFonts w:hint="eastAsia" w:ascii="仿宋" w:hAnsi="仿宋" w:eastAsia="仿宋" w:cs="仿宋_GB2312"/>
          <w:color w:val="000000" w:themeColor="text1"/>
          <w:kern w:val="0"/>
          <w:sz w:val="24"/>
          <w14:textFill>
            <w14:solidFill>
              <w14:schemeClr w14:val="tx1"/>
            </w14:solidFill>
          </w14:textFill>
        </w:rPr>
        <w:t xml:space="preserve"> ,上限1000～2000g/</w:t>
      </w:r>
      <w:r>
        <w:rPr>
          <w:rFonts w:hint="eastAsia" w:ascii="仿宋" w:hAnsi="仿宋" w:eastAsia="仿宋" w:cs="仿宋_GB2312"/>
          <w:color w:val="000000" w:themeColor="text1"/>
          <w:kern w:val="0"/>
          <w:sz w:val="24"/>
          <w:lang w:val="en-US" w:eastAsia="zh-CN"/>
          <w14:textFill>
            <w14:solidFill>
              <w14:schemeClr w14:val="tx1"/>
            </w14:solidFill>
          </w14:textFill>
        </w:rPr>
        <w:t>m³</w:t>
      </w:r>
      <w:r>
        <w:rPr>
          <w:rFonts w:hint="eastAsia" w:ascii="仿宋" w:hAnsi="仿宋" w:eastAsia="仿宋" w:cs="仿宋_GB2312"/>
          <w:color w:val="000000" w:themeColor="text1"/>
          <w:kern w:val="0"/>
          <w:sz w:val="24"/>
          <w14:textFill>
            <w14:solidFill>
              <w14:schemeClr w14:val="tx1"/>
            </w14:solidFill>
          </w14:textFill>
        </w:rPr>
        <w:t>，爆炸力最强的煤尘浓度为300～500g/</w:t>
      </w:r>
      <w:r>
        <w:rPr>
          <w:rFonts w:hint="eastAsia" w:ascii="仿宋" w:hAnsi="仿宋" w:eastAsia="仿宋" w:cs="仿宋_GB2312"/>
          <w:color w:val="000000" w:themeColor="text1"/>
          <w:kern w:val="0"/>
          <w:sz w:val="24"/>
          <w:lang w:val="en-US" w:eastAsia="zh-CN"/>
          <w14:textFill>
            <w14:solidFill>
              <w14:schemeClr w14:val="tx1"/>
            </w14:solidFill>
          </w14:textFill>
        </w:rPr>
        <w:t>m³</w:t>
      </w:r>
      <w:r>
        <w:rPr>
          <w:rFonts w:hint="eastAsia" w:ascii="仿宋" w:hAnsi="仿宋" w:eastAsia="仿宋" w:cs="仿宋_GB2312"/>
          <w:color w:val="000000" w:themeColor="text1"/>
          <w:kern w:val="0"/>
          <w:sz w:val="24"/>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br w:type="textWrapping"/>
      </w:r>
      <w:r>
        <w:rPr>
          <w:rFonts w:hint="eastAsia" w:ascii="仿宋" w:hAnsi="仿宋" w:eastAsia="仿宋" w:cs="仿宋_GB2312"/>
          <w:color w:val="000000" w:themeColor="text1"/>
          <w:kern w:val="0"/>
          <w:sz w:val="24"/>
          <w14:textFill>
            <w14:solidFill>
              <w14:schemeClr w14:val="tx1"/>
            </w14:solidFill>
          </w14:textFill>
        </w:rPr>
        <w:t xml:space="preserve">    3、高温热源：我国煤尘爆炸的</w:t>
      </w:r>
      <w:r>
        <w:fldChar w:fldCharType="begin"/>
      </w:r>
      <w:r>
        <w:instrText xml:space="preserve"> HYPERLINK "https://www.baidu.com/s?wd=%E5%BC%95%E7%87%83%E6%B8%A9%E5%BA%A6&amp;tn=SE_PcZhidaonwhc_ngpagmjz&amp;rsv_dl=gh_pc_zhidao" \t "https://zhidao.baidu.com/question/_blank" </w:instrText>
      </w:r>
      <w:r>
        <w:fldChar w:fldCharType="separate"/>
      </w:r>
      <w:r>
        <w:rPr>
          <w:rFonts w:hint="eastAsia" w:ascii="仿宋" w:hAnsi="仿宋" w:eastAsia="仿宋" w:cs="仿宋_GB2312"/>
          <w:color w:val="000000" w:themeColor="text1"/>
          <w:kern w:val="0"/>
          <w:sz w:val="24"/>
          <w14:textFill>
            <w14:solidFill>
              <w14:schemeClr w14:val="tx1"/>
            </w14:solidFill>
          </w14:textFill>
        </w:rPr>
        <w:t>引燃温度</w:t>
      </w:r>
      <w:r>
        <w:rPr>
          <w:rFonts w:hint="eastAsia" w:ascii="仿宋" w:hAnsi="仿宋" w:eastAsia="仿宋" w:cs="仿宋_GB2312"/>
          <w:color w:val="000000" w:themeColor="text1"/>
          <w:kern w:val="0"/>
          <w:sz w:val="24"/>
          <w14:textFill>
            <w14:solidFill>
              <w14:schemeClr w14:val="tx1"/>
            </w14:solidFill>
          </w14:textFill>
        </w:rPr>
        <w:fldChar w:fldCharType="end"/>
      </w:r>
      <w:r>
        <w:rPr>
          <w:rFonts w:hint="eastAsia" w:ascii="仿宋" w:hAnsi="仿宋" w:eastAsia="仿宋" w:cs="仿宋_GB2312"/>
          <w:color w:val="000000" w:themeColor="text1"/>
          <w:kern w:val="0"/>
          <w:sz w:val="24"/>
          <w14:textFill>
            <w14:solidFill>
              <w14:schemeClr w14:val="tx1"/>
            </w14:solidFill>
          </w14:textFill>
        </w:rPr>
        <w:t>变化大约在650～1050℃之间，一般为700～800℃。</w:t>
      </w:r>
      <w:r>
        <w:rPr>
          <w:rFonts w:hint="eastAsia" w:ascii="仿宋" w:hAnsi="仿宋" w:eastAsia="仿宋" w:cs="仿宋_GB2312"/>
          <w:color w:val="000000" w:themeColor="text1"/>
          <w:kern w:val="0"/>
          <w:sz w:val="24"/>
          <w14:textFill>
            <w14:solidFill>
              <w14:schemeClr w14:val="tx1"/>
            </w14:solidFill>
          </w14:textFill>
        </w:rPr>
        <w:br w:type="textWrapping"/>
      </w:r>
      <w:r>
        <w:rPr>
          <w:rFonts w:hint="eastAsia" w:ascii="仿宋" w:hAnsi="仿宋" w:eastAsia="仿宋" w:cs="仿宋_GB2312"/>
          <w:color w:val="000000" w:themeColor="text1"/>
          <w:kern w:val="0"/>
          <w:sz w:val="24"/>
          <w14:textFill>
            <w14:solidFill>
              <w14:schemeClr w14:val="tx1"/>
            </w14:solidFill>
          </w14:textFill>
        </w:rPr>
        <w:t xml:space="preserve">    4、空气中氧气浓度大于18%。</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二、可能导致煤尘、瓦斯燃烧或爆炸的情况</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（一）瓦斯燃烧或爆炸</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1、冲击地压导致采空区顶板突然垮落或密闭墙破坏，瓦斯突然涌出并积聚到一定浓度时，遇到电气火花、爆破火焰、机械摩擦火花、烧焊火焰时，可能导致瓦斯燃烧或爆炸；</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2、冲击地压导致煤层瓦斯突然涌出，瓦斯积聚到一定浓度时，遇到电气火花、爆破火焰、机械摩擦火花、烧焊火焰时，可能导致瓦斯燃烧或爆炸；</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3、冲击地压导致巷道堵塞，巷道内风流不畅，瓦斯积聚到一定浓度时，遇到电气火花、爆破火焰、机械摩擦火花、烧焊火焰时，可能导致瓦斯燃烧或爆炸；</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4、冲击地压导致供电系统破坏，风机不能正常运转，瓦斯积聚到一定浓度时，遇到电气火花、爆破火焰、机械摩擦火花、烧焊火焰时，可能导致瓦斯燃烧或爆炸；</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5、冲击地压导致瓦斯抽采系统破坏，瓦斯不能正常排放而积聚到一定浓度时，遇到电气火花、爆破火焰、机械摩擦火花、烧焊火焰时，可能导致瓦斯燃烧或爆炸；</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6、冲击地压导致工作面通风设施破坏，出现风流短路或风流紊乱导致瓦斯积聚到一定浓度时，遇到电气火花、爆破火焰、机械摩擦火花、烧焊火焰时，可能导致瓦斯燃烧或爆炸。</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（二）煤尘燃烧或爆炸</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经鉴定本矿井3#煤层为易自燃发火煤层，并有煤尘爆炸危险性，同时井下氧气浓度在20%左右，因此只需满足煤尘悬浮并达到一定的浓度和高温热源两个条件，即可能发生煤尘燃烧或爆炸现象。</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冲击地压产生的冲击波导致巷道内沉积的煤尘扬起，空气中煤尘浓度达到一定浓度时，遇到电气火花、爆破火焰、机械摩擦火花、烧焊火焰时，可能导致煤尘燃烧或爆炸。</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三、采取的技术措施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通过上述对冲击地压可能诱发煤尘、瓦斯燃烧或爆炸的情况分析，得出冲击地压主要是会对巷道、密闭墙、采空区顶板、本煤层、供电系统、瓦斯抽采系统及通风设施等产生破坏，导致瓦斯积聚或煤尘飞扬，在遇到外源火源时煤尘或瓦斯燃烧，达到爆炸的温度时发生爆炸。因此要避免因冲击地压诱发的煤尘、瓦斯燃烧或爆炸，就必须对外在火源和可能导致瓦斯积聚、煤尘飞扬的因素进行提前预防。</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（一）通防方面采取的措施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1、提高密闭墙施工质量，加强巡视管理。</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（1）密闭位置应选择在动压影响小、围岩稳定、巷道规整的巷段内。冲击危险区域内永久密闭墙应具有足够的承压强度和抗冲击性能；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（2）永久密闭墙体必须与巷壁紧密结合，连成一体。密闭墙至少要建筑两道厚度不少于0.8m的墙，间隔不小于1m，中间充填黄土或沙石，并灌注水泥砂浆，要确保填实、充满；</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（3）密闭墙掏槽深度不少于0.5m，并掏至硬帮、硬底，密闭墙施工完毕后，用水泥砂浆抹平，对密闭墙前后5m进行喷注加固；</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（4）严重冲击危险区域内密闭墙要建筑2道防倒加固墙垛；</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（5）密闭墙要建立完善的观测制度，定期对密闭墙进行巡视，发现墙体或煤壁出现裂隙时，及时进行注浆加固处理；</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（6）根据密闭墙前U型压差计读数，合理对相邻采空区瓦斯抽采，降低相邻采空区瓦斯浓度。</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2、加强面后顶板退锚，减少面后悬顶。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（1）建立面后悬顶观测制度，发现面后两顺槽悬顶面积超过10m</w:t>
      </w:r>
      <w:r>
        <w:rPr>
          <w:rFonts w:hint="eastAsia" w:ascii="宋体" w:hAnsi="宋体" w:eastAsia="宋体" w:cs="宋体"/>
          <w:color w:val="000000" w:themeColor="text1"/>
          <w:kern w:val="0"/>
          <w:sz w:val="24"/>
          <w14:textFill>
            <w14:solidFill>
              <w14:schemeClr w14:val="tx1"/>
            </w14:solidFill>
          </w14:textFill>
        </w:rPr>
        <w:t>²</w:t>
      </w:r>
      <w:r>
        <w:rPr>
          <w:rFonts w:hint="eastAsia" w:ascii="仿宋" w:hAnsi="仿宋" w:eastAsia="仿宋" w:cs="仿宋"/>
          <w:color w:val="000000" w:themeColor="text1"/>
          <w:kern w:val="0"/>
          <w:sz w:val="24"/>
          <w14:textFill>
            <w14:solidFill>
              <w14:schemeClr w14:val="tx1"/>
            </w14:solidFill>
          </w14:textFill>
        </w:rPr>
        <w:t>时，及时进行强制放顶措施；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（2）工作面在回采过程中，及时拆除两巷密集后的顶帮锚杆，确保隅角处顶板在回采后及时垮落；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（3）每天在进、回风隅角构筑防火墙，防火墙采用不燃性建筑材料，接顶接帮严密；</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（4）充分利用工作面隅角和高抽巷抽采系统，加强对采空区瓦斯抽采，降低采空区瓦斯浓度。</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3、加强煤层瓦斯抽采，降低煤层瓦斯含量。</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（1）工作面回采前预抽时间不少于6个月；</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（2）由专人每天对抽采系统进行巡视，及时排放管路中的积水； </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（3）煤层瓦斯抽采后可解析瓦斯量达到标准。</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4、加强局部通风管理，确保运行稳定。</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（1）工作面局部通风机要安设在冲击危险区域以外、顶板完好的新鲜风流中；</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（2）局部通风机供电必须安装使用“双局扇、双电源、自动切换、自动分风”装置，双局扇必须同等能力，必须实现“三专”“两闭锁”； </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（3）每天对风机进行一次切换试验，每15天进行一次瓦斯电闭锁试验，确保局部通风机运行稳定；</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（4）使用的风筒必须阻燃、抗静电并有煤安标志，风筒必须逢环必挂、吊挂平直，风筒接头严密、无破口。</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5、加强瓦斯抽采管路管理，减少冲击影响。</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（1）瓦斯抽采管路尽可能使用涂塑阻燃管路；</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（2）煤层瓦斯抽采管路吊挂高度不高于1.2m，并用钢丝绳固定至巷帮，高于1.2m时必须采取固定措施，具体在管路安装措施里详细规定；</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（3）工作面应留有备用管路，方便及时更换。</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6、优化工作面设计，减少通风设施数量。</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（1）力求工作面通风系统简单，尽量减少工作面联络巷和区段煤柱联络巷数量；</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（2）通风设施要构筑及时、合理、可靠；</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（3）加强通风设施管理，井下作业人员严禁破坏通风设施、设备（风门、密闭、风帘、风桥、调节风窗、局部通风机等）；</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（4）建立通风设施台账，发现通风设施损坏时，及时维护。</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7、抓好工作面防尘管理，杜绝煤尘堆积。</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（1）井下防尘管路应当敷设到所有能产生煤尘和沉积煤尘的地点，并安设支管和阀门。</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（2）采煤工作面均必须敷设完善的防尘管路，三通阀门设置符合规定，管路吊挂高度不超过1.2m，无漏水现象，高于1.2m管路必须按要求采取固定措施。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（3）采煤工作面采煤机内、外喷雾装置必须完好，雾化效果良好。</w:t>
      </w:r>
    </w:p>
    <w:p>
      <w:pPr>
        <w:keepNext w:val="0"/>
        <w:keepLines w:val="0"/>
        <w:pageBreakBefore w:val="0"/>
        <w:widowControl w:val="0"/>
        <w:kinsoku/>
        <w:wordWrap/>
        <w:overflowPunct/>
        <w:topLinePunct w:val="0"/>
        <w:bidi w:val="0"/>
        <w:snapToGrid w:val="0"/>
        <w:ind w:firstLine="480"/>
        <w:textAlignment w:val="auto"/>
        <w:rPr>
          <w:rFonts w:hint="eastAsia" w:ascii="仿宋" w:hAnsi="仿宋" w:eastAsia="仿宋" w:cs="仿宋_GB2312"/>
          <w:color w:val="000000" w:themeColor="text1"/>
          <w:kern w:val="0"/>
          <w:sz w:val="24"/>
          <w:lang w:eastAsia="zh-CN"/>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（4）采煤工作面顺槽内均应安装风流净化水幕，采煤工作面进、回风巷距工作面30m范围内安装2组</w:t>
      </w:r>
      <w:r>
        <w:rPr>
          <w:rFonts w:hint="eastAsia" w:ascii="仿宋" w:hAnsi="仿宋" w:eastAsia="仿宋" w:cs="仿宋_GB2312"/>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bidi w:val="0"/>
        <w:snapToGrid w:val="0"/>
        <w:ind w:left="479" w:leftChars="228"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（5）采煤工作面各运输转载点必须设置喷雾装置，位置恰当，正常使用。（6）所有可能产生煤尘堆积的地点必须安排人员进行冲刷，冲刷频次视现场情况而定，杜绝煤尘堆积。</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8、加强井下火源管理，杜绝爆破火焰</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（1）井下所有爆破作业必须由取得特殊作业证的放炮工执行，爆破用的起爆器、雷管、脚线等爆破材料必须为煤矿许用材料，爆破材料完好。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（2）严格按照爆破作业管理规定进行作业，严格执行“三人连锁爆破”“一炮三检”制度。</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（3）严禁用明火、普通</w:t>
      </w:r>
      <w:r>
        <w:fldChar w:fldCharType="begin"/>
      </w:r>
      <w:r>
        <w:instrText xml:space="preserve"> HYPERLINK "http://www.so.com/s?q=%E5%AF%BC%E7%88%86%E7%B4%A2&amp;ie=utf-8&amp;src=internal_wenda_recommend_textn" \t "https://wenda.so.com/q/_blank" </w:instrText>
      </w:r>
      <w:r>
        <w:fldChar w:fldCharType="separate"/>
      </w:r>
      <w:r>
        <w:rPr>
          <w:rFonts w:hint="eastAsia" w:ascii="仿宋" w:hAnsi="仿宋" w:eastAsia="仿宋" w:cs="仿宋_GB2312"/>
          <w:color w:val="000000" w:themeColor="text1"/>
          <w:kern w:val="0"/>
          <w:sz w:val="24"/>
          <w14:textFill>
            <w14:solidFill>
              <w14:schemeClr w14:val="tx1"/>
            </w14:solidFill>
          </w14:textFill>
        </w:rPr>
        <w:t>导爆索</w:t>
      </w:r>
      <w:r>
        <w:rPr>
          <w:rFonts w:hint="eastAsia" w:ascii="仿宋" w:hAnsi="仿宋" w:eastAsia="仿宋" w:cs="仿宋_GB2312"/>
          <w:color w:val="000000" w:themeColor="text1"/>
          <w:kern w:val="0"/>
          <w:sz w:val="24"/>
          <w14:textFill>
            <w14:solidFill>
              <w14:schemeClr w14:val="tx1"/>
            </w14:solidFill>
          </w14:textFill>
        </w:rPr>
        <w:fldChar w:fldCharType="end"/>
      </w:r>
      <w:r>
        <w:rPr>
          <w:rFonts w:hint="eastAsia" w:ascii="仿宋" w:hAnsi="仿宋" w:eastAsia="仿宋" w:cs="仿宋_GB2312"/>
          <w:color w:val="000000" w:themeColor="text1"/>
          <w:kern w:val="0"/>
          <w:sz w:val="24"/>
          <w14:textFill>
            <w14:solidFill>
              <w14:schemeClr w14:val="tx1"/>
            </w14:solidFill>
          </w14:textFill>
        </w:rPr>
        <w:t>或</w:t>
      </w:r>
      <w:r>
        <w:fldChar w:fldCharType="begin"/>
      </w:r>
      <w:r>
        <w:instrText xml:space="preserve"> HYPERLINK "http://www.so.com/s?q=%E9%9D%9E%E7%94%B5%E5%AF%BC%E7%88%86%E7%AE%A1&amp;ie=utf-8&amp;src=internal_wenda_recommend_textn" \t "https://wenda.so.com/q/_blank" </w:instrText>
      </w:r>
      <w:r>
        <w:fldChar w:fldCharType="separate"/>
      </w:r>
      <w:r>
        <w:rPr>
          <w:rFonts w:hint="eastAsia" w:ascii="仿宋" w:hAnsi="仿宋" w:eastAsia="仿宋" w:cs="仿宋_GB2312"/>
          <w:color w:val="000000" w:themeColor="text1"/>
          <w:kern w:val="0"/>
          <w:sz w:val="24"/>
          <w14:textFill>
            <w14:solidFill>
              <w14:schemeClr w14:val="tx1"/>
            </w14:solidFill>
          </w14:textFill>
        </w:rPr>
        <w:t>非电导爆管</w:t>
      </w:r>
      <w:r>
        <w:rPr>
          <w:rFonts w:hint="eastAsia" w:ascii="仿宋" w:hAnsi="仿宋" w:eastAsia="仿宋" w:cs="仿宋_GB2312"/>
          <w:color w:val="000000" w:themeColor="text1"/>
          <w:kern w:val="0"/>
          <w:sz w:val="24"/>
          <w14:textFill>
            <w14:solidFill>
              <w14:schemeClr w14:val="tx1"/>
            </w14:solidFill>
          </w14:textFill>
        </w:rPr>
        <w:fldChar w:fldCharType="end"/>
      </w:r>
      <w:r>
        <w:rPr>
          <w:rFonts w:hint="eastAsia" w:ascii="仿宋" w:hAnsi="仿宋" w:eastAsia="仿宋" w:cs="仿宋_GB2312"/>
          <w:color w:val="000000" w:themeColor="text1"/>
          <w:kern w:val="0"/>
          <w:sz w:val="24"/>
          <w14:textFill>
            <w14:solidFill>
              <w14:schemeClr w14:val="tx1"/>
            </w14:solidFill>
          </w14:textFill>
        </w:rPr>
        <w:t>放炮和放糊炮。</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（4）严格执行入井检身制度，严禁携带火柴、打火机等火源下井，严禁穿化纤衣服。</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（5）冲击地压发生后进行组织救援时，若救援地点未恢复正常供风、瓦斯超限时，严禁爆破作业、烧焊作业和机械锤击，杜绝爆破火焰、烧焊火焰和机械摩擦火焰。</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（6）具有冲击危险的工作面烧焊作业必须要有相关措施。</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（二）机电方面采取的措施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1、井下所有机电设备必须确保完好、无失爆，动力电缆和各种信号、监控监测电缆使用煤矿用电缆，电缆接头及接线方式和工艺符合要求，无“羊尾巴”“鸡爪子”和明线接头，从源头上杜绝电气火花。</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2、主要通风机、压风机电动机保护齐全、可靠，每月倒机检查1次，确保供风设备正常运转。</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3、井下采煤工作面供电系统设计合理，配电点设置在冲击危险区域以外，实现远距离供电。</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4、采煤工作面主要机电设备要实现双回路供电，采煤工作面瓦斯电闭锁装置齐全、灵敏可靠。低压供电设备短路、过负荷和漏电保护齐全。</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5、供风、供水管路及供电电缆吊挂高度符合《煤矿安全规程》及《防治煤矿冲击地压细则》相关要求。</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（三）防冲方面采取的措施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1、严格落实工作面冲击危险性预评价，根据评价结果制定卸压方案并严格落实爆破断顶、爆破断底及帮部卸压钻孔施工工作，减少冲击地压现象的发生。</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2、加大两顺槽超前支护范围，提高巷道支护质量。</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3、对巷道支护锚杆、锚索进行防崩处理，避免发生冲击地压时产生机械摩擦火花。</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十四、复合灾害综合安全技术措施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招贤煤矿基于冲击地压、水、火、瓦斯、煤尘等多害并存，给工作面开采增加了危险性，严重影响矿井安全生产，灾害治理难度越来越大，特别是一采区工作面，多灾害叠加显现明显。因此，为了保证矿井安全生产，特编制本措施。</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（一）各种灾害之间的相互关系</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冲击地压、水、火、瓦斯、煤尘爆炸等灾害并存，可单独发生，之间也可以相互引发或诱发，从而形成多灾害叠加，治理难度加大。</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1、冲击地压与其他灾害之间的关系</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冲击地压灾害的影响程度最大。冲击地压事故的发生可引起顶板冒落、瓦斯、煤尘爆炸和水害的事故发生。冲击地压发生后，可能伴生着顶板事故，导致巷道顶板的大面积垮落，通风断面缩小，通风系统紊乱，瓦斯涌出等造成瓦斯积聚，发生瓦斯、煤尘事故；冲击地压还可以导致采空区之间的煤柱垮塌，采空区内的瓦斯和采空区积水、高浓度有害气体大量涌出，造成水害、瓦斯聚集事故，给矿井安全生产带来严重的影响。</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2、瓦斯、煤尘爆炸与其他灾害之间的关系</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瓦斯、煤尘爆炸事故可以引发巷道的大面积垮塌，造成顶板事故。同时，瓦斯、煤尘爆炸也可能摧毁采空区密闭墙、通风系统、排水系统，造成通风系统紊乱、巷道积水，引起水灾。瓦斯、煤尘爆炸事故可以引发井下发生火灾，可能造成巷道大面积的破坏。</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3、水灾与其他灾害之间的关系</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当矿井发生水害事故时，可能造成巷道低洼点的积水或部分巷道被淹，导致通风不畅，形成瓦斯集聚，可能发生瓦斯爆炸事故，发生瓦斯爆炸事故后，可能诱发冲击地压、煤尘爆炸等灾害叠加事故发生。</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（二）复合灾害防治安全技术措施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1、加强矿井管理人员和职工对多灾害的认识，熟悉了解多灾害之间的关系和危害程度，以及各种灾害发生的预兆和避灾路线等，提高职工安全防护意识，保证职工人身安全，确保矿井安全生产。</w:t>
      </w:r>
    </w:p>
    <w:p>
      <w:pPr>
        <w:keepNext w:val="0"/>
        <w:keepLines w:val="0"/>
        <w:pageBreakBefore w:val="0"/>
        <w:widowControl w:val="0"/>
        <w:kinsoku/>
        <w:wordWrap/>
        <w:overflowPunct/>
        <w:topLinePunct w:val="0"/>
        <w:bidi w:val="0"/>
        <w:snapToGrid w:val="0"/>
        <w:ind w:firstLine="240" w:firstLineChars="10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2、提高监测预警能力。引进构建多灾害综合预警平台，将矿井瓦斯灾害、煤尘爆炸、火灾、水灾、冲击地压预测预警监测监控集成于一体,利用大数据平台实现对矿井所有灾害数据的连续采集、在线辨识、智能分析和智能预警,提高煤矿安全生产灾害预警能力。</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优化瓦斯钻孔和卸压钻孔施工，实现一孔多用，积极推广新技术、新工艺。在采掘工作面施工煤层高压水力切割钻孔，弱化煤层应力集中，增加煤层增透系数，达到一孔多用，提高卸压效果和瓦斯抽采率，确保工作面安全回采。</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4、严格落实个体防护用品，所有下井人员必须戴好自救器、防尘口罩、毛巾等，特别是进入冲击危险区域还必须穿好防冲服、戴好防冲帽。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工作面的煤层瓦斯抽放管路、隅角瓦斯管路、供排水管路等必须吊挂在巷道腰线一线，高于1.2m的必须采取固定防护措施，防止发生冲击地压破坏造成瓦斯积聚。特别是工作面隅角瓦斯管路的安全防护，采用钢丝软管进行隅角抽放。</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掘进期间优化支护设计，采用高强锚杆、锚索提高支护强度，工作面回采期间加大两巷超前支护距离和强度，对失效的锚杆、锚索及时补打，加大抗压强度，较小两帮变形量，防巷道变形严重造成通风断面缩小、瓦斯管路破坏、排水管路破坏、瓦斯积聚等。</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7、通过冲击危险性评价，回采工作面为强冲击危险工作面时：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（1）在工作面两巷门口安装备用局部通风机，将风筒接两巷超前支架前，随着工作面的推采，不断回撤风筒。</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（2）在工作面沿空侧联络巷密闭墙处提前打设联体木垛，防止密闭墙受压破坏，造成瓦斯涌出、透水等事故。</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在工作面两巷门口及中部安装瓦斯抽采管路控制阀门，以便发生冲击，能够及时关闭阀门，防止冲击地压引起瓦斯爆炸、火灾事故扩大，确认冲击后无其他次生灾害，再开启瓦斯管路阀门，及时对工作面瓦斯进行抽放，恢复抽采系统。</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8、工作面回采前，必须完成超前工作面150m卸压、瓦斯预抽6个月、排水系统和顶板疏放水钻孔工程等，确保工作面系统完善安全回采。</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9、与科研单位加强合作研究工作面留设小煤柱开采，研究小煤柱留设尺寸对冲击地压、水、火、瓦斯的影响，兼顾复合灾害并存条件下制定煤柱尺寸，减小复合灾害对工作面生产的影响，综合防治复合灾害并存。</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10、在距工作面25～40m的巷道内、爆破地点、撤离人员与警戒人员所在位置、回风巷有人作业地点等，至少设置1组压风、供水自救装置；回采工作面进风巷距工作面不大于10m处必须设置甲烷传感器，其报警、断电、复电浓度和断电范围必须符合规定。</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11、工作面作业图表中必须有各种灾害避灾路线图，并在巷道醒目位置悬挂避灾路线指示牌版。</w:t>
      </w:r>
    </w:p>
    <w:p>
      <w:pPr>
        <w:keepNext w:val="0"/>
        <w:keepLines w:val="0"/>
        <w:pageBreakBefore w:val="0"/>
        <w:widowControl w:val="0"/>
        <w:kinsoku/>
        <w:wordWrap/>
        <w:overflowPunct/>
        <w:topLinePunct w:val="0"/>
        <w:bidi w:val="0"/>
        <w:snapToGrid w:val="0"/>
        <w:ind w:firstLine="0" w:firstLineChars="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（三）复合灾害应急处置措施</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不管是发生冲击地压、水、火、瓦斯、煤尘爆炸单一灾害事故，或是发生一种灾害引起多种灾害叠加事故，处置措施如下：</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1、当工作面发生灾害事故后，立即停止施工，撤出所有作业人员，断开所有电源，及时汇报矿调度室，所有人员按照避灾路线进行撤离。</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2、当工作面发生灾害事故后，严禁立即进入扩修或生产，防止二次灾害重复发生，由各专业技术人员对现场进行综合评估分析，评估确认无危险后，应逐段逐区域对瓦斯进行排放，当现场气体各项指标符合《煤矿安全规定》规定时，逐步对该区域的通风系统、排水系统进行恢复，再进入扩修，在扩修位置打设好临时支护，再开始清理煤粉、扩修等其它工作，打设锚索强支护，扩修必须由外向里依次打设木垛、锚索支护扩修。</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发生灾害撤退时，位于事故进风侧的人员，迎着风流撤退；位于事故回风侧的人员应迅速佩戴好自救器以最快速度进入新鲜风流，在撤退过程中如遇巷道堵塞，不能安全撤离时，应就近进入安全地点或避难硐室等待救援。</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4、发生灾害事故后，立即组织矿山救护队探明事故地点、波及范围和被埋、压、截堵的人数及可能所在的位置，切断灾区电源，防止发生次生灾害，分析抢救、处理条件。</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5、根据地面各监测监控系统，检查通风设施、排水系统、冲击地压监测系统是否正常运行，检查备用风机、备用排水设备是否到位，以备紧急调拨。</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w:t>
      </w:r>
      <w:r>
        <w:rPr>
          <w:rFonts w:hint="eastAsia" w:ascii="仿宋" w:hAnsi="仿宋" w:eastAsia="仿宋" w:cs="仿宋_GB2312"/>
          <w:color w:val="000000" w:themeColor="text1"/>
          <w:kern w:val="0"/>
          <w:sz w:val="24"/>
          <w:lang w:val="zh-CN"/>
          <w14:textFill>
            <w14:solidFill>
              <w14:schemeClr w14:val="tx1"/>
            </w14:solidFill>
          </w14:textFill>
        </w:rPr>
        <w:t>立即对灾害发生区域人员组织抢救。如一时不能恢复巷道，则必须利用压风管、水管及开掘巷道或打钻孔的方法向被埋压或截堵区内的人员供给新鲜空气、水和食物。</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7、在抢救过程中，应注意二次事故发生，加强现场观察，如有异常，立即撤人。</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8、积极开展自救和互救。事故发生后，灾区内以及受波及区域的人员应沉着冷静，根据灾情和现有条件以及实情发展，采取积极有效的方法和措施，利用现场的设备材料在保证自身安全条件下全力抢险，及时进行现场救灾工作，救护队到来之前，在场人员必须对出现骨折、中毒、窒息的伤员进行及时、合适的急救。</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9、灾害事故发生时，将事故消灭在初起阶段或控制在最小范围，最大限度地减少事故造成的财产损失和人员伤亡。现场人员行动要保持统一指挥，严禁各行其是、盲目蛮干或惊慌失措，贻误消除灾害的有利时机。救灾要切实注意自身安全，如果灾区条件恶化，有中毒、窒息、爆炸、火灾、二次冲击等现象危及现场人员安全时，应及时撤离，防止事故扩大。</w:t>
      </w:r>
    </w:p>
    <w:p>
      <w:pPr>
        <w:keepNext w:val="0"/>
        <w:keepLines w:val="0"/>
        <w:pageBreakBefore w:val="0"/>
        <w:widowControl w:val="0"/>
        <w:kinsoku/>
        <w:wordWrap/>
        <w:overflowPunct/>
        <w:topLinePunct w:val="0"/>
        <w:bidi w:val="0"/>
        <w:snapToGrid w:val="0"/>
        <w:ind w:firstLine="480"/>
        <w:textAlignment w:val="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10、撤退前，所有遇险人员都要正确使用好必备的防护用品和器具，行动途中不可惊慌乱跑；遇有积水区、冒顶区等危险地段时，应先探明情况，谨慎通过；佩戴自救器撤离时，要匀速行走，保持呼吸均匀，严禁狂奔和取下鼻夹、口具或通过口具讲话。</w:t>
      </w:r>
    </w:p>
    <w:p>
      <w:pPr>
        <w:keepNext w:val="0"/>
        <w:keepLines w:val="0"/>
        <w:pageBreakBefore w:val="0"/>
        <w:widowControl w:val="0"/>
        <w:kinsoku/>
        <w:wordWrap/>
        <w:overflowPunct/>
        <w:topLinePunct w:val="0"/>
        <w:bidi w:val="0"/>
        <w:snapToGrid w:val="0"/>
        <w:ind w:firstLine="480"/>
        <w:textAlignment w:val="auto"/>
        <w:rPr>
          <w:rFonts w:ascii="仿宋" w:hAnsi="仿宋" w:eastAsia="仿宋" w:cs="黑体"/>
          <w:b/>
          <w:bCs/>
          <w:color w:val="000000" w:themeColor="text1"/>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 11、</w:t>
      </w:r>
      <w:r>
        <w:rPr>
          <w:rFonts w:hint="eastAsia" w:ascii="仿宋" w:hAnsi="仿宋" w:eastAsia="仿宋" w:cs="仿宋_GB2312"/>
          <w:color w:val="000000" w:themeColor="text1"/>
          <w:kern w:val="0"/>
          <w:sz w:val="24"/>
          <w:lang w:val="zh-CN"/>
          <w14:textFill>
            <w14:solidFill>
              <w14:schemeClr w14:val="tx1"/>
            </w14:solidFill>
          </w14:textFill>
        </w:rPr>
        <w:t>如果事故不能达到及时控制或有扩大趋势时，</w:t>
      </w:r>
      <w:r>
        <w:rPr>
          <w:rFonts w:hint="eastAsia" w:ascii="仿宋" w:hAnsi="仿宋" w:eastAsia="仿宋" w:cs="仿宋_GB2312"/>
          <w:color w:val="000000" w:themeColor="text1"/>
          <w:kern w:val="0"/>
          <w:sz w:val="24"/>
          <w14:textFill>
            <w14:solidFill>
              <w14:schemeClr w14:val="tx1"/>
            </w14:solidFill>
          </w14:textFill>
        </w:rPr>
        <w:t>发生事故现场不具备事故抢救的条件、可能危及人员的生命安全时，应由在场负责人或有经验的老工人带领，根据规定的撤退路线和当时当地的实际情况，尽量选择安全条件最好、距离最短的路线，迅速撤离危险区域。</w:t>
      </w:r>
    </w:p>
    <w:p>
      <w:pPr>
        <w:snapToGrid w:val="0"/>
        <w:ind w:firstLine="0" w:firstLineChars="0"/>
        <w:jc w:val="center"/>
        <w:rPr>
          <w:rFonts w:ascii="黑体" w:hAnsi="黑体" w:eastAsia="黑体" w:cs="黑体"/>
          <w:b/>
          <w:bCs/>
          <w:color w:val="FF0000"/>
          <w:sz w:val="24"/>
        </w:rPr>
      </w:pPr>
    </w:p>
    <w:p>
      <w:pPr>
        <w:snapToGrid w:val="0"/>
        <w:ind w:firstLine="0" w:firstLineChars="0"/>
        <w:jc w:val="center"/>
        <w:rPr>
          <w:rFonts w:ascii="黑体" w:hAnsi="黑体" w:eastAsia="黑体" w:cs="黑体"/>
          <w:b/>
          <w:bCs/>
          <w:color w:val="FF0000"/>
          <w:sz w:val="24"/>
        </w:rPr>
      </w:pPr>
    </w:p>
    <w:p>
      <w:pPr>
        <w:keepNext w:val="0"/>
        <w:keepLines w:val="0"/>
        <w:pageBreakBefore w:val="0"/>
        <w:widowControl w:val="0"/>
        <w:kinsoku/>
        <w:wordWrap/>
        <w:overflowPunct/>
        <w:topLinePunct w:val="0"/>
        <w:autoSpaceDE/>
        <w:autoSpaceDN/>
        <w:bidi w:val="0"/>
        <w:adjustRightInd/>
        <w:snapToGrid w:val="0"/>
        <w:ind w:firstLine="0" w:firstLineChars="0"/>
        <w:jc w:val="center"/>
        <w:rPr>
          <w:rFonts w:ascii="宋体" w:hAnsi="宋体"/>
          <w:b/>
          <w:bCs/>
          <w:color w:val="000000" w:themeColor="text1"/>
          <w:sz w:val="28"/>
          <w:szCs w:val="28"/>
          <w14:textFill>
            <w14:solidFill>
              <w14:schemeClr w14:val="tx1"/>
            </w14:solidFill>
          </w14:textFill>
        </w:rPr>
      </w:pPr>
      <w:r>
        <w:rPr>
          <w:rFonts w:hint="eastAsia" w:ascii="黑体" w:hAnsi="黑体" w:eastAsia="黑体" w:cs="黑体"/>
          <w:b/>
          <w:bCs/>
          <w:color w:val="000000" w:themeColor="text1"/>
          <w:sz w:val="30"/>
          <w:szCs w:val="30"/>
          <w14:textFill>
            <w14:solidFill>
              <w14:schemeClr w14:val="tx1"/>
            </w14:solidFill>
          </w14:textFill>
        </w:rPr>
        <w:t xml:space="preserve">第九章  </w:t>
      </w:r>
      <w:r>
        <w:rPr>
          <w:rFonts w:hint="eastAsia" w:ascii="黑体" w:hAnsi="黑体" w:eastAsia="黑体"/>
          <w:b/>
          <w:bCs/>
          <w:color w:val="000000" w:themeColor="text1"/>
          <w:sz w:val="30"/>
          <w:szCs w:val="30"/>
          <w14:textFill>
            <w14:solidFill>
              <w14:schemeClr w14:val="tx1"/>
            </w14:solidFill>
          </w14:textFill>
        </w:rPr>
        <w:t>招贤矿业公司职能科室安全生产职责</w:t>
      </w:r>
    </w:p>
    <w:p>
      <w:pPr>
        <w:pStyle w:val="12"/>
        <w:keepNext w:val="0"/>
        <w:keepLines w:val="0"/>
        <w:pageBreakBefore w:val="0"/>
        <w:widowControl w:val="0"/>
        <w:kinsoku/>
        <w:wordWrap/>
        <w:overflowPunct/>
        <w:topLinePunct w:val="0"/>
        <w:autoSpaceDE/>
        <w:autoSpaceDN/>
        <w:bidi w:val="0"/>
        <w:adjustRightInd/>
        <w:snapToGrid w:val="0"/>
        <w:spacing w:after="0"/>
        <w:ind w:firstLine="0" w:firstLineChars="0"/>
        <w:jc w:val="center"/>
        <w:rPr>
          <w:rFonts w:ascii="黑体" w:hAnsi="黑体" w:eastAsia="黑体"/>
          <w:color w:val="000000" w:themeColor="text1"/>
          <w:sz w:val="28"/>
          <w:szCs w:val="28"/>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t>第一节</w:t>
      </w:r>
      <w:r>
        <w:rPr>
          <w:rFonts w:hint="eastAsia" w:ascii="黑体" w:hAnsi="黑体" w:eastAsia="黑体"/>
          <w:color w:val="000000" w:themeColor="text1"/>
          <w:sz w:val="28"/>
          <w:szCs w:val="28"/>
          <w14:textFill>
            <w14:solidFill>
              <w14:schemeClr w14:val="tx1"/>
            </w14:solidFill>
          </w14:textFill>
        </w:rPr>
        <w:t xml:space="preserve">  安全监察部安全生产职责</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安全监察部是矿井安全生产监督检查职能部门，负责全矿安全生产工作的督查、考核、追究，1303工作面回采过程中，安全生产职责如下：</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1、负责矿井安全监督检查综合工作，组织制定矿井安全生产相关规章制度，负责安全生产监督管理、现场监督检查，监督作业规程、安全技术措施的现场落实，及时制止和纠正“三违”行为。</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2、负责检查各个生产环节和所有工作岗位的和事故的及不安全因素，制止和纠正违章作业、违章指挥。负责对查出的三违现象，按照文件给予批评教育和经济处罚。</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3、负责推进矿井安全生产标准化管理体系建设，对矿井安全生产标准化管理体系创建情况进行定期验收评级，组织安全风险分级管控、事故隐患排查治理，组织开展职业病危害防治工作；</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4、负责对查出的所用事故隐患和不安全因素，采取五定表的形式及时进行解决和处理。组织。负责对矿井生产安全事故的调查处理；负责当地行业监管部门对接工作。</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5、参加作业规程和安全技术措施的审批工作，并监督贯彻执行。</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rPr>
          <w:rFonts w:ascii="黑体" w:hAnsi="黑体" w:eastAsia="黑体"/>
          <w:szCs w:val="24"/>
        </w:rPr>
      </w:pPr>
    </w:p>
    <w:p>
      <w:pPr>
        <w:pStyle w:val="102"/>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rPr>
          <w:rFonts w:ascii="黑体" w:hAnsi="黑体" w:eastAsia="黑体"/>
          <w:sz w:val="28"/>
          <w:szCs w:val="28"/>
        </w:rPr>
      </w:pPr>
      <w:r>
        <w:rPr>
          <w:rFonts w:hint="eastAsia" w:ascii="黑体" w:hAnsi="黑体" w:eastAsia="黑体"/>
          <w:sz w:val="28"/>
          <w:szCs w:val="28"/>
        </w:rPr>
        <w:t>第二节  生产技术部安全生产职责</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生产技术部是矿井生产技术管理的业务部门，负责矿井生产技术、生产计划、采掘设计、井巷工程、综机设备选型等工作，参与矿井安全风险管控、隐患排查治理、应急管理及职业病危害防治等工作，1303工作面回采过程中，安全生产职责如下：</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1、负责组织相关业务部门作业规程、安全技术措施的会审、复审。</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2、负责编制</w:t>
      </w:r>
      <w:r>
        <w:rPr>
          <w:rFonts w:hint="eastAsia" w:ascii="仿宋" w:hAnsi="仿宋" w:eastAsia="仿宋" w:cs="仿宋_GB2312"/>
          <w:color w:val="000000" w:themeColor="text1"/>
          <w:szCs w:val="24"/>
          <w14:textFill>
            <w14:solidFill>
              <w14:schemeClr w14:val="tx1"/>
            </w14:solidFill>
          </w14:textFill>
        </w:rPr>
        <w:t>中长期、年度及月度</w:t>
      </w:r>
      <w:r>
        <w:rPr>
          <w:rFonts w:hint="eastAsia" w:ascii="仿宋" w:hAnsi="仿宋" w:eastAsia="仿宋"/>
          <w:color w:val="000000" w:themeColor="text1"/>
          <w:szCs w:val="24"/>
          <w14:textFill>
            <w14:solidFill>
              <w14:schemeClr w14:val="tx1"/>
            </w14:solidFill>
          </w14:textFill>
        </w:rPr>
        <w:t>采掘生产计划，保证矿井工作面衔接科学合理。</w:t>
      </w:r>
      <w:r>
        <w:rPr>
          <w:rFonts w:hint="eastAsia" w:ascii="仿宋" w:hAnsi="仿宋" w:eastAsia="仿宋" w:cs="仿宋_GB2312"/>
          <w:color w:val="000000" w:themeColor="text1"/>
          <w:szCs w:val="24"/>
          <w14:textFill>
            <w14:solidFill>
              <w14:schemeClr w14:val="tx1"/>
            </w14:solidFill>
          </w14:textFill>
        </w:rPr>
        <w:t>负责矿井采掘技术管理及现场监督检查执行情况。</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3、负责顶板管理业务保安，编制合理的支护设计，确定合理支护参数，保证支护方式安全可靠。</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4、负责</w:t>
      </w:r>
      <w:r>
        <w:rPr>
          <w:rFonts w:hint="eastAsia" w:ascii="仿宋" w:hAnsi="仿宋" w:eastAsia="仿宋" w:cs="仿宋_GB2312"/>
          <w:color w:val="000000" w:themeColor="text1"/>
          <w:szCs w:val="24"/>
          <w14:textFill>
            <w14:solidFill>
              <w14:schemeClr w14:val="tx1"/>
            </w14:solidFill>
          </w14:textFill>
        </w:rPr>
        <w:t>采掘工作面矿压监督检查工作</w:t>
      </w:r>
      <w:r>
        <w:rPr>
          <w:rFonts w:hint="eastAsia" w:ascii="仿宋" w:hAnsi="仿宋" w:eastAsia="仿宋"/>
          <w:color w:val="000000" w:themeColor="text1"/>
          <w:szCs w:val="24"/>
          <w14:textFill>
            <w14:solidFill>
              <w14:schemeClr w14:val="tx1"/>
            </w14:solidFill>
          </w14:textFill>
        </w:rPr>
        <w:t>，提高支护质量，研究总结不同区域、不同煤层、不同时期的矿压显现规律。</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5、负责组织相关单位单项工程竣工验收工作，发现问题及时处理。</w:t>
      </w:r>
      <w:r>
        <w:rPr>
          <w:rFonts w:hint="eastAsia" w:ascii="仿宋" w:hAnsi="仿宋" w:eastAsia="仿宋" w:cs="仿宋_GB2312"/>
          <w:color w:val="000000" w:themeColor="text1"/>
          <w:szCs w:val="24"/>
          <w14:textFill>
            <w14:solidFill>
              <w14:schemeClr w14:val="tx1"/>
            </w14:solidFill>
          </w14:textFill>
        </w:rPr>
        <w:t>负责支护材料的验收、抽检工作。</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hint="eastAsia" w:ascii="仿宋" w:hAnsi="仿宋" w:eastAsia="仿宋" w:cs="仿宋_GB2312"/>
          <w:color w:val="000000" w:themeColor="text1"/>
          <w:szCs w:val="24"/>
          <w14:textFill>
            <w14:solidFill>
              <w14:schemeClr w14:val="tx1"/>
            </w14:solidFill>
          </w14:textFill>
        </w:rPr>
        <w:t>负责组织</w:t>
      </w:r>
      <w:r>
        <w:rPr>
          <w:rFonts w:hint="eastAsia" w:ascii="仿宋" w:hAnsi="仿宋" w:eastAsia="仿宋"/>
          <w:color w:val="000000" w:themeColor="text1"/>
          <w:szCs w:val="24"/>
          <w14:textFill>
            <w14:solidFill>
              <w14:schemeClr w14:val="tx1"/>
            </w14:solidFill>
          </w14:textFill>
        </w:rPr>
        <w:t>新技术、新设备、新工艺</w:t>
      </w:r>
      <w:r>
        <w:rPr>
          <w:rFonts w:hint="eastAsia" w:ascii="仿宋" w:hAnsi="仿宋" w:eastAsia="仿宋" w:cs="仿宋_GB2312"/>
          <w:color w:val="000000" w:themeColor="text1"/>
          <w:szCs w:val="24"/>
          <w14:textFill>
            <w14:solidFill>
              <w14:schemeClr w14:val="tx1"/>
            </w14:solidFill>
          </w14:textFill>
        </w:rPr>
        <w:t>推广与应用以及持续改进工作</w:t>
      </w:r>
      <w:r>
        <w:rPr>
          <w:rFonts w:hint="eastAsia" w:ascii="仿宋" w:hAnsi="仿宋" w:eastAsia="仿宋"/>
          <w:color w:val="000000" w:themeColor="text1"/>
          <w:szCs w:val="24"/>
          <w14:textFill>
            <w14:solidFill>
              <w14:schemeClr w14:val="tx1"/>
            </w14:solidFill>
          </w14:textFill>
        </w:rPr>
        <w:t>。</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0" w:firstLineChars="0"/>
        <w:rPr>
          <w:rFonts w:ascii="黑体" w:hAnsi="黑体" w:eastAsia="黑体"/>
          <w:szCs w:val="24"/>
        </w:rPr>
      </w:pPr>
    </w:p>
    <w:p>
      <w:pPr>
        <w:pStyle w:val="102"/>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rPr>
          <w:rFonts w:ascii="黑体" w:hAnsi="黑体" w:eastAsia="黑体"/>
          <w:sz w:val="28"/>
          <w:szCs w:val="28"/>
        </w:rPr>
      </w:pPr>
      <w:r>
        <w:rPr>
          <w:rFonts w:hint="eastAsia" w:ascii="黑体" w:hAnsi="黑体" w:eastAsia="黑体"/>
          <w:sz w:val="28"/>
          <w:szCs w:val="28"/>
        </w:rPr>
        <w:t>第三节  调度指挥中心安全生产职责</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调度指挥中心是矿井日常安全生产的组织和统一协调指挥部门，负责全矿生产调度、煤质等管理工作，1303工作面回采过程中，安全生产职责如下：</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1、协助公司领导，从事施工现场的生产管理，平衡协调各科室之间的作业关系。</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2、负责矿井生产调度指挥、应急管理、井上下通信系统管理、自动化信息化等工作。</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3、负责矿井生产安全的协调、指挥、监督和工程交接工作。</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4、负责生产信息的收集、分析和处理，准确掌握当日当班次的作业计划与施工进度，如实记载调度日志，包括生产进度、作业人数、作业内容等其他事宜。</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5、处理影响施工作业的相关问题，如风、水、电等，及时解决现场所发生的问题。</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6、负责矿井的应急措施启动的统一指挥，参与事故的调查和分析。</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7、负责矿井通讯、网络、信息化集控系统维护和管理工作等。</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8、参加作业规程和安全技术措施的审批工作，并监督贯彻执行。</w:t>
      </w:r>
    </w:p>
    <w:p>
      <w:pPr>
        <w:keepNext w:val="0"/>
        <w:keepLines w:val="0"/>
        <w:pageBreakBefore w:val="0"/>
        <w:widowControl w:val="0"/>
        <w:kinsoku/>
        <w:wordWrap/>
        <w:overflowPunct/>
        <w:topLinePunct w:val="0"/>
        <w:autoSpaceDE/>
        <w:autoSpaceDN/>
        <w:bidi w:val="0"/>
        <w:adjustRightInd/>
        <w:snapToGrid w:val="0"/>
        <w:ind w:left="420" w:firstLine="0" w:firstLineChars="0"/>
      </w:pPr>
    </w:p>
    <w:p>
      <w:pPr>
        <w:pStyle w:val="102"/>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rPr>
          <w:rFonts w:ascii="黑体" w:hAnsi="黑体" w:eastAsia="黑体"/>
          <w:sz w:val="28"/>
          <w:szCs w:val="28"/>
        </w:rPr>
      </w:pPr>
      <w:r>
        <w:rPr>
          <w:rFonts w:hint="eastAsia" w:ascii="黑体" w:hAnsi="黑体" w:eastAsia="黑体"/>
          <w:sz w:val="28"/>
          <w:szCs w:val="28"/>
        </w:rPr>
        <w:t>第四节  防治水办公室安全生产职责</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rPr>
      </w:pPr>
      <w:r>
        <w:rPr>
          <w:rFonts w:hint="eastAsia" w:ascii="仿宋" w:hAnsi="仿宋" w:eastAsia="仿宋"/>
        </w:rPr>
        <w:t>防治水办公室负责矿井防治水技术管理工作。主要职责有：负责探放矿井水文地质勘查、水情水害分析预测、防治水方案及设计、矿井防治水规划等；负责防治水技术资料档案的管理；负责各种防治水工程的质量管理。参与矿井安全风险管控、隐患排查治理、应急管理及职业病危害防治等工作，1303工作面回采过程中，安全生产职责如下：</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rPr>
      </w:pPr>
      <w:r>
        <w:rPr>
          <w:rFonts w:hint="eastAsia" w:ascii="仿宋" w:hAnsi="仿宋" w:eastAsia="仿宋"/>
        </w:rPr>
        <w:t>1、负责矿井生产中的地质、防治水、测量、储量工作，为矿井生产提供所需的地测资料。</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rPr>
      </w:pPr>
      <w:r>
        <w:rPr>
          <w:rFonts w:hint="eastAsia" w:ascii="仿宋" w:hAnsi="仿宋" w:eastAsia="仿宋"/>
        </w:rPr>
        <w:t>2、负责开展地质预测预报工作，解决现场存在的地质问题，编制三书及地质图纸，及时为矿井采掘工作面生产提供地质资料。</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rPr>
      </w:pPr>
      <w:r>
        <w:rPr>
          <w:rFonts w:hint="eastAsia" w:ascii="仿宋" w:hAnsi="仿宋" w:eastAsia="仿宋"/>
        </w:rPr>
        <w:t xml:space="preserve">3、负责矿井防治水规划、计划及设计的编制，组织、监督防治水工程实施以及措施的落实，协助做好防治水培训教育、隐患排查治理及应急救援等工作。  </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rPr>
      </w:pPr>
      <w:r>
        <w:rPr>
          <w:rFonts w:hint="eastAsia" w:ascii="仿宋" w:hAnsi="仿宋" w:eastAsia="仿宋"/>
        </w:rPr>
        <w:t>4、负责井下采掘工作面贯通工作；负责测算、统计矿井储量、开采损失量、损失率等，掌握矿井各类储量动态及其变化情况。</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rPr>
      </w:pPr>
      <w:r>
        <w:rPr>
          <w:rFonts w:hint="eastAsia" w:ascii="仿宋" w:hAnsi="仿宋" w:eastAsia="仿宋"/>
        </w:rPr>
        <w:t>5、结合生产，开展矿井地质、水文地质和测量新技术的推广和使用。</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黑体" w:hAnsi="黑体" w:eastAsia="黑体"/>
          <w:sz w:val="28"/>
          <w:szCs w:val="28"/>
        </w:rPr>
      </w:pPr>
      <w:r>
        <w:rPr>
          <w:rFonts w:hint="eastAsia" w:ascii="仿宋" w:hAnsi="仿宋" w:eastAsia="仿宋"/>
        </w:rPr>
        <w:t>6、参加作业规程和安全技术措施的审批工作，并监督贯彻执行。</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rPr>
          <w:rFonts w:ascii="黑体" w:hAnsi="黑体" w:eastAsia="黑体"/>
          <w:sz w:val="28"/>
          <w:szCs w:val="28"/>
        </w:rPr>
      </w:pPr>
      <w:r>
        <w:rPr>
          <w:rFonts w:hint="eastAsia" w:ascii="黑体" w:hAnsi="黑体" w:eastAsia="黑体"/>
          <w:sz w:val="28"/>
          <w:szCs w:val="28"/>
        </w:rPr>
        <w:t>第五节  防治冲击地压办公室安全生产职责</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防治冲击地压办公室负责矿井防治冲击地压技术管理工作。主要职责有：防治冲击地压方案及设计、实施、分析等；负责防治冲击地压技术资料档案的管理；负责各种防治冲击地压工程的质量、效果监督管理。参与矿井安全风险管控、隐患排查治理、应急管理及职业病危害防治等工作，1303工作面回采过程中，安全生产职责如下：</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1、矿井中长期防冲规划、年度计划及采掘工作面防冲专项设计的编制。</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2、监督防冲工程实施：冲击地压监测系统安装、维护。</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3、日常监测预警分析。</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4、协助做好防冲培训教育、隐患排查治理及应急救援等工作。</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5、参加作业规程和安全技术措施的审批工作，并监督贯彻执行。</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rPr>
          <w:rFonts w:ascii="黑体" w:hAnsi="黑体" w:eastAsia="黑体"/>
          <w:szCs w:val="24"/>
        </w:rPr>
      </w:pPr>
    </w:p>
    <w:p>
      <w:pPr>
        <w:pStyle w:val="102"/>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rPr>
          <w:rFonts w:ascii="黑体" w:hAnsi="黑体" w:eastAsia="黑体"/>
          <w:sz w:val="28"/>
          <w:szCs w:val="28"/>
        </w:rPr>
      </w:pPr>
      <w:r>
        <w:rPr>
          <w:rFonts w:hint="eastAsia" w:ascii="黑体" w:hAnsi="黑体" w:eastAsia="黑体"/>
          <w:sz w:val="28"/>
          <w:szCs w:val="28"/>
        </w:rPr>
        <w:t>第六节  通防部安全生产职责</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rPr>
      </w:pPr>
      <w:r>
        <w:rPr>
          <w:rFonts w:hint="eastAsia" w:ascii="仿宋" w:hAnsi="仿宋" w:eastAsia="仿宋"/>
        </w:rPr>
        <w:t>通风区是矿井“一通三防”管理的主管部门，负责“一通三防”基础管理及督导工作，1303工作面回采过程中，职责如下：</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1、负责矿井通风系统、安全监控系统、人员定位系统、束管分析系统、瓦斯抽采系统、注浆注氮系统管理和维护工作。</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2、负责矿井体检测工作，发现问题及时处理。</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3、负责矿井瓦斯治理、防灭火管理、粉尘防治及测风测尘工作。</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4、负责矿井通风设施设计、施工过程监督验收及日常检查维护工作。</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5、负责矿井自救器、矿灯及各类“ 一通三防”仪器仪表管理工作。</w:t>
      </w:r>
    </w:p>
    <w:p>
      <w:pPr>
        <w:keepNext w:val="0"/>
        <w:keepLines w:val="0"/>
        <w:pageBreakBefore w:val="0"/>
        <w:widowControl w:val="0"/>
        <w:kinsoku/>
        <w:wordWrap/>
        <w:overflowPunct/>
        <w:topLinePunct w:val="0"/>
        <w:autoSpaceDE/>
        <w:autoSpaceDN/>
        <w:bidi w:val="0"/>
        <w:adjustRightInd/>
        <w:snapToGrid w:val="0"/>
        <w:ind w:firstLine="480"/>
        <w:rPr>
          <w:rFonts w:ascii="仿宋" w:hAnsi="仿宋" w:eastAsia="仿宋"/>
          <w:sz w:val="24"/>
        </w:rPr>
      </w:pPr>
      <w:r>
        <w:rPr>
          <w:rFonts w:hint="eastAsia" w:ascii="仿宋" w:hAnsi="仿宋" w:eastAsia="仿宋"/>
          <w:sz w:val="24"/>
        </w:rPr>
        <w:t>6、负责井上下各地点爆破及火工品管理工作。</w:t>
      </w:r>
    </w:p>
    <w:p>
      <w:pPr>
        <w:pStyle w:val="102"/>
        <w:keepNext w:val="0"/>
        <w:keepLines w:val="0"/>
        <w:pageBreakBefore w:val="0"/>
        <w:widowControl w:val="0"/>
        <w:kinsoku/>
        <w:wordWrap/>
        <w:overflowPunct/>
        <w:topLinePunct w:val="0"/>
        <w:autoSpaceDE/>
        <w:autoSpaceDN/>
        <w:bidi w:val="0"/>
        <w:adjustRightInd/>
        <w:snapToGrid w:val="0"/>
        <w:spacing w:line="360" w:lineRule="auto"/>
        <w:ind w:firstLine="480"/>
        <w:rPr>
          <w:rFonts w:ascii="仿宋" w:hAnsi="仿宋" w:eastAsia="仿宋"/>
          <w:szCs w:val="24"/>
        </w:rPr>
      </w:pPr>
      <w:r>
        <w:rPr>
          <w:rFonts w:hint="eastAsia" w:ascii="仿宋" w:hAnsi="仿宋" w:eastAsia="仿宋"/>
          <w:szCs w:val="24"/>
        </w:rPr>
        <w:t>7、参加作业规程和安全技术措施的审批工作，并监督贯彻执行。</w:t>
      </w:r>
    </w:p>
    <w:p>
      <w:pPr>
        <w:pStyle w:val="102"/>
        <w:keepNext w:val="0"/>
        <w:keepLines w:val="0"/>
        <w:pageBreakBefore w:val="0"/>
        <w:widowControl w:val="0"/>
        <w:kinsoku/>
        <w:wordWrap/>
        <w:overflowPunct/>
        <w:topLinePunct w:val="0"/>
        <w:autoSpaceDE/>
        <w:autoSpaceDN/>
        <w:bidi w:val="0"/>
        <w:snapToGrid w:val="0"/>
        <w:spacing w:line="360" w:lineRule="auto"/>
        <w:ind w:firstLine="0" w:firstLineChars="0"/>
        <w:rPr>
          <w:rFonts w:ascii="仿宋" w:hAnsi="仿宋" w:eastAsia="仿宋"/>
          <w:szCs w:val="24"/>
        </w:rPr>
      </w:pPr>
    </w:p>
    <w:p>
      <w:pPr>
        <w:keepNext w:val="0"/>
        <w:keepLines w:val="0"/>
        <w:pageBreakBefore w:val="0"/>
        <w:widowControl w:val="0"/>
        <w:kinsoku/>
        <w:wordWrap/>
        <w:overflowPunct/>
        <w:topLinePunct w:val="0"/>
        <w:autoSpaceDE/>
        <w:autoSpaceDN/>
        <w:bidi w:val="0"/>
        <w:snapToGrid w:val="0"/>
        <w:ind w:firstLine="0" w:firstLineChars="0"/>
        <w:jc w:val="center"/>
        <w:rPr>
          <w:rFonts w:ascii="黑体" w:hAnsi="黑体" w:eastAsia="黑体" w:cs="黑体"/>
          <w:b/>
          <w:bCs/>
          <w:color w:val="000000" w:themeColor="text1"/>
          <w:sz w:val="30"/>
          <w:szCs w:val="30"/>
          <w14:textFill>
            <w14:solidFill>
              <w14:schemeClr w14:val="tx1"/>
            </w14:solidFill>
          </w14:textFill>
        </w:rPr>
      </w:pPr>
      <w:r>
        <w:rPr>
          <w:rFonts w:hint="eastAsia" w:ascii="黑体" w:hAnsi="黑体" w:eastAsia="黑体" w:cs="黑体"/>
          <w:b/>
          <w:bCs/>
          <w:color w:val="000000" w:themeColor="text1"/>
          <w:sz w:val="30"/>
          <w:szCs w:val="30"/>
          <w14:textFill>
            <w14:solidFill>
              <w14:schemeClr w14:val="tx1"/>
            </w14:solidFill>
          </w14:textFill>
        </w:rPr>
        <w:t>第十章   灾害应急措施及避灾路线</w:t>
      </w:r>
      <w:bookmarkEnd w:id="498"/>
    </w:p>
    <w:p>
      <w:pPr>
        <w:keepNext w:val="0"/>
        <w:keepLines w:val="0"/>
        <w:pageBreakBefore w:val="0"/>
        <w:widowControl w:val="0"/>
        <w:kinsoku/>
        <w:wordWrap/>
        <w:overflowPunct/>
        <w:topLinePunct w:val="0"/>
        <w:autoSpaceDE/>
        <w:autoSpaceDN/>
        <w:bidi w:val="0"/>
        <w:snapToGrid w:val="0"/>
        <w:ind w:firstLine="0" w:firstLineChars="0"/>
        <w:jc w:val="center"/>
        <w:rPr>
          <w:rFonts w:ascii="仿宋" w:hAnsi="仿宋" w:eastAsia="仿宋"/>
          <w:color w:val="000000" w:themeColor="text1"/>
          <w:sz w:val="24"/>
          <w14:textFill>
            <w14:solidFill>
              <w14:schemeClr w14:val="tx1"/>
            </w14:solidFill>
          </w14:textFill>
        </w:rPr>
      </w:pPr>
      <w:bookmarkStart w:id="505" w:name="_Toc496212781"/>
      <w:r>
        <w:rPr>
          <w:rFonts w:hint="eastAsia" w:ascii="黑体" w:hAnsi="黑体" w:eastAsia="黑体" w:cs="黑体"/>
          <w:b/>
          <w:bCs/>
          <w:color w:val="000000" w:themeColor="text1"/>
          <w:sz w:val="28"/>
          <w:szCs w:val="28"/>
          <w14:textFill>
            <w14:solidFill>
              <w14:schemeClr w14:val="tx1"/>
            </w14:solidFill>
          </w14:textFill>
        </w:rPr>
        <w:t>第一节   灾害应急措施</w:t>
      </w:r>
      <w:bookmarkEnd w:id="505"/>
    </w:p>
    <w:p>
      <w:pPr>
        <w:pStyle w:val="60"/>
        <w:keepNext w:val="0"/>
        <w:keepLines w:val="0"/>
        <w:pageBreakBefore w:val="0"/>
        <w:widowControl w:val="0"/>
        <w:kinsoku/>
        <w:wordWrap/>
        <w:overflowPunct/>
        <w:topLinePunct w:val="0"/>
        <w:autoSpaceDE/>
        <w:autoSpaceDN/>
        <w:bidi w:val="0"/>
        <w:snapToGrid w:val="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一、井下紧急避险系统</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井下紧急避险设施是指在井下发生灾害事故时，为无法及时撤离的遇险人员提供生命保障的密闭空间。该设施对外能够抵御高温烟气，隔绝有毒有害气体，对内提供氧气、食物、水，去除有毒有害气体，创造生存基本条件，为应急救援创造条件、赢得时间。紧急避险设施主要包括永久避难硐室、临时避难硐室。</w:t>
      </w:r>
    </w:p>
    <w:p>
      <w:pPr>
        <w:keepNext w:val="0"/>
        <w:keepLines w:val="0"/>
        <w:pageBreakBefore w:val="0"/>
        <w:widowControl w:val="0"/>
        <w:kinsoku/>
        <w:wordWrap/>
        <w:overflowPunct/>
        <w:topLinePunct w:val="0"/>
        <w:autoSpaceDE/>
        <w:autoSpaceDN/>
        <w:bidi w:val="0"/>
        <w:snapToGrid w:val="0"/>
        <w:ind w:firstLine="0" w:firstLineChars="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（一）井下紧急避险设施设置</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井下布置1个90人的永久避难硐室，布置在副井井底车场内，具备安全防护、氧气供给保障、有害气体去除、环境监测、通信、照明、人员生存保障等基本功能，在无任何外界支持的情况下额定防护时间不低于96h。永久避难硐室与矿井安全监测监控、人员定位、压风自救、供水施救、通信联络等系统相连接。</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工作面步行，凡在自救器所能提供的额定防护时间内不能安全撤到地面的，在距离工作面1000m范围内建设临时避难硐室。临时避难硐室配置有压风供氧、环境监测系统等系统。安装有与矿(井)调度室直通的电话，设置有人员定位读卡器。所有临时避难硐室能够保证每人的使用面积不小于0.5m</w:t>
      </w:r>
      <w:r>
        <w:rPr>
          <w:rFonts w:hint="eastAsia" w:ascii="仿宋_GB2312" w:hAnsi="仿宋_GB2312" w:cs="仿宋_GB2312"/>
          <w:color w:val="000000" w:themeColor="text1"/>
          <w:kern w:val="0"/>
          <w:sz w:val="24"/>
          <w:vertAlign w:val="superscript"/>
          <w14:textFill>
            <w14:solidFill>
              <w14:schemeClr w14:val="tx1"/>
            </w14:solidFill>
          </w14:textFill>
        </w:rPr>
        <w:t>2</w:t>
      </w:r>
      <w:r>
        <w:rPr>
          <w:rFonts w:hint="eastAsia" w:ascii="仿宋_GB2312" w:hAnsi="仿宋_GB2312" w:cs="仿宋_GB2312"/>
          <w:color w:val="000000" w:themeColor="text1"/>
          <w:kern w:val="0"/>
          <w:sz w:val="24"/>
          <w14:textFill>
            <w14:solidFill>
              <w14:schemeClr w14:val="tx1"/>
            </w14:solidFill>
          </w14:textFill>
        </w:rPr>
        <w:t>，满足巷道内所有员工避险需求。</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紧急避险设施应有清晰、醒目、牢靠的标识。当发生各种灾害时，无法安全升井的条件下，相关地点的作业人员，按照所在地点的避灾路线，进入永久避难硐室或临时避难硐室。所有井下人员必须学习并掌握避难硐室的使用方法及操作规定。</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紧急避险设施每天检查维护，发现硐室内设施、仪器不能正常使用或丢失等情况时，应及时汇报处理并做好记录。采掘区域的紧急避险设施不能正常使用时，应停止采掘作业。位于避难硐室人员，应保持和矿调度指挥中心的联系，听从调度指挥。</w:t>
      </w:r>
    </w:p>
    <w:p>
      <w:pPr>
        <w:keepNext w:val="0"/>
        <w:keepLines w:val="0"/>
        <w:pageBreakBefore w:val="0"/>
        <w:widowControl w:val="0"/>
        <w:kinsoku/>
        <w:wordWrap/>
        <w:overflowPunct/>
        <w:topLinePunct w:val="0"/>
        <w:autoSpaceDE/>
        <w:autoSpaceDN/>
        <w:bidi w:val="0"/>
        <w:snapToGrid w:val="0"/>
        <w:ind w:firstLine="0" w:firstLineChars="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（二）紧急避险系统维护与管理</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井下紧急避险系统设备安装维修人员主要以厂家为主。矿井配备专业的日常维护人员。遵守以下维护与管理规定：</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（1）派专人对紧急避险设施进行维护和管理，保证其始终处于正常待用状态，保证与矿调度指挥中心直通的电话能够正常使用。</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（2）紧急避险设施内应悬挂或张贴简明、易懂的使用说明，指导矿工正确使用。</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（3）定期对紧急避险设施及配套设备进行维护和检查，并按产品说明书要求定期更换部件或设备。</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（4）保证避难硐室内放置足量的饮用水、食物，保证每人供风量不得少于0.3m³/min。保证储存的食品、水、药品等始终处于保质期内。</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（5）保证隔离式自救器满足</w:t>
      </w:r>
      <w:r>
        <w:fldChar w:fldCharType="begin"/>
      </w:r>
      <w:r>
        <w:instrText xml:space="preserve"> HYPERLINK "http://www.mkaq.org/sjsm/" \t "_blank" \o "煤矿设计说明" </w:instrText>
      </w:r>
      <w:r>
        <w:fldChar w:fldCharType="separate"/>
      </w:r>
      <w:r>
        <w:rPr>
          <w:rFonts w:hint="eastAsia" w:ascii="仿宋_GB2312" w:hAnsi="仿宋_GB2312" w:cs="仿宋_GB2312"/>
          <w:color w:val="000000" w:themeColor="text1"/>
          <w:kern w:val="0"/>
          <w:sz w:val="24"/>
          <w14:textFill>
            <w14:solidFill>
              <w14:schemeClr w14:val="tx1"/>
            </w14:solidFill>
          </w14:textFill>
        </w:rPr>
        <w:t>设计</w:t>
      </w:r>
      <w:r>
        <w:rPr>
          <w:rFonts w:hint="eastAsia" w:ascii="仿宋_GB2312" w:hAnsi="仿宋_GB2312" w:cs="仿宋_GB2312"/>
          <w:color w:val="000000" w:themeColor="text1"/>
          <w:kern w:val="0"/>
          <w:sz w:val="24"/>
          <w14:textFill>
            <w14:solidFill>
              <w14:schemeClr w14:val="tx1"/>
            </w14:solidFill>
          </w14:textFill>
        </w:rPr>
        <w:fldChar w:fldCharType="end"/>
      </w:r>
      <w:r>
        <w:rPr>
          <w:rFonts w:hint="eastAsia" w:ascii="仿宋_GB2312" w:hAnsi="仿宋_GB2312" w:cs="仿宋_GB2312"/>
          <w:color w:val="000000" w:themeColor="text1"/>
          <w:kern w:val="0"/>
          <w:sz w:val="24"/>
          <w14:textFill>
            <w14:solidFill>
              <w14:schemeClr w14:val="tx1"/>
            </w14:solidFill>
          </w14:textFill>
        </w:rPr>
        <w:t>最多避难人数，保证自救器能够正常使用。</w:t>
      </w:r>
    </w:p>
    <w:p>
      <w:pPr>
        <w:keepNext w:val="0"/>
        <w:keepLines w:val="0"/>
        <w:pageBreakBefore w:val="0"/>
        <w:widowControl w:val="0"/>
        <w:kinsoku/>
        <w:wordWrap/>
        <w:overflowPunct/>
        <w:topLinePunct w:val="0"/>
        <w:autoSpaceDE/>
        <w:autoSpaceDN/>
        <w:bidi w:val="0"/>
        <w:snapToGrid w:val="0"/>
        <w:ind w:firstLine="480"/>
        <w:rPr>
          <w:rFonts w:ascii="仿宋_GB2312" w:hAnsi="仿宋_GB2312" w:cs="仿宋_GB2312"/>
          <w:color w:val="000000" w:themeColor="text1"/>
          <w:kern w:val="0"/>
          <w:sz w:val="24"/>
          <w14:textFill>
            <w14:solidFill>
              <w14:schemeClr w14:val="tx1"/>
            </w14:solidFill>
          </w14:textFill>
        </w:rPr>
      </w:pPr>
      <w:r>
        <w:rPr>
          <w:rFonts w:hint="eastAsia" w:ascii="仿宋_GB2312" w:hAnsi="仿宋_GB2312" w:cs="仿宋_GB2312"/>
          <w:color w:val="000000" w:themeColor="text1"/>
          <w:kern w:val="0"/>
          <w:sz w:val="24"/>
          <w14:textFill>
            <w14:solidFill>
              <w14:schemeClr w14:val="tx1"/>
            </w14:solidFill>
          </w14:textFill>
        </w:rPr>
        <w:t>（6）每天对紧急避险设施进行1次巡检，设置巡检牌板，做好巡检记录。准确记录维护、配件配品更换等相关信息。</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（7）每10天应对设备电源进行1次检查和测试。</w:t>
      </w:r>
    </w:p>
    <w:p>
      <w:pPr>
        <w:keepNext w:val="0"/>
        <w:keepLines w:val="0"/>
        <w:pageBreakBefore w:val="0"/>
        <w:widowControl w:val="0"/>
        <w:kinsoku/>
        <w:wordWrap/>
        <w:overflowPunct/>
        <w:topLinePunct w:val="0"/>
        <w:autoSpaceDE/>
        <w:autoSpaceDN/>
        <w:bidi w:val="0"/>
        <w:snapToGrid w:val="0"/>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（三）紧急避险路线：</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（1）施工地点→1303机巷→</w:t>
      </w:r>
      <w:r>
        <w:rPr>
          <w:rFonts w:ascii="仿宋" w:hAnsi="仿宋" w:eastAsia="仿宋"/>
          <w:color w:val="000000" w:themeColor="text1"/>
          <w:sz w:val="24"/>
          <w14:textFill>
            <w14:solidFill>
              <w14:schemeClr w14:val="tx1"/>
            </w14:solidFill>
          </w14:textFill>
        </w:rPr>
        <w:t>第二中部车场</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1303机联巷→北翼辅助运输大巷/北翼带式输送机巷→井底车场→井底</w:t>
      </w:r>
      <w:r>
        <w:rPr>
          <w:rFonts w:hint="eastAsia" w:ascii="仿宋" w:hAnsi="仿宋" w:eastAsia="仿宋" w:cs="仿宋_GB2312"/>
          <w:color w:val="000000" w:themeColor="text1"/>
          <w:kern w:val="0"/>
          <w:sz w:val="24"/>
          <w:lang w:val="zh-CN"/>
          <w14:textFill>
            <w14:solidFill>
              <w14:schemeClr w14:val="tx1"/>
            </w14:solidFill>
          </w14:textFill>
        </w:rPr>
        <w:t>永久避难硐室</w:t>
      </w:r>
      <w:r>
        <w:rPr>
          <w:rFonts w:hint="eastAsia" w:ascii="仿宋" w:hAnsi="仿宋" w:eastAsia="仿宋" w:cs="仿宋_GB2312"/>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（2）施工地点→1303风巷→1303风联巷→1305提料斜巷→北翼辅助运输大巷/北翼带式输送机巷→井底车场→井底</w:t>
      </w:r>
      <w:r>
        <w:rPr>
          <w:rFonts w:hint="eastAsia" w:ascii="仿宋" w:hAnsi="仿宋" w:eastAsia="仿宋" w:cs="仿宋_GB2312"/>
          <w:color w:val="000000" w:themeColor="text1"/>
          <w:kern w:val="0"/>
          <w:sz w:val="24"/>
          <w:lang w:val="zh-CN"/>
          <w14:textFill>
            <w14:solidFill>
              <w14:schemeClr w14:val="tx1"/>
            </w14:solidFill>
          </w14:textFill>
        </w:rPr>
        <w:t>永久避难硐室</w:t>
      </w:r>
      <w:r>
        <w:rPr>
          <w:rFonts w:hint="eastAsia" w:ascii="仿宋" w:hAnsi="仿宋" w:eastAsia="仿宋" w:cs="仿宋_GB2312"/>
          <w:color w:val="000000" w:themeColor="text1"/>
          <w:kern w:val="0"/>
          <w:sz w:val="24"/>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snapToGrid w:val="0"/>
        <w:spacing w:after="0"/>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（四）救援联络信号</w:t>
      </w:r>
    </w:p>
    <w:p>
      <w:pPr>
        <w:pStyle w:val="13"/>
        <w:keepNext w:val="0"/>
        <w:keepLines w:val="0"/>
        <w:pageBreakBefore w:val="0"/>
        <w:widowControl w:val="0"/>
        <w:kinsoku/>
        <w:wordWrap/>
        <w:overflowPunct/>
        <w:topLinePunct w:val="0"/>
        <w:autoSpaceDE/>
        <w:autoSpaceDN/>
        <w:bidi w:val="0"/>
        <w:snapToGrid w:val="0"/>
        <w:spacing w:line="360" w:lineRule="auto"/>
        <w:ind w:firstLine="48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当人员受阻被困时，通过敲击传递信号。五声：敲击5声为发出联络或求救信号；四声：敲击4声为询问被困人员数量，回复“收到”信号后，被困人数敲击回复；三声：敲击3声表示“收到”；二声：被困人员敲击2声表示“停止”目前的给养或行动。每次敲击间隔1秒，分组发出信号，每组信号间隔30秒。明白意图后敲击3声回复“收到”，未“收到”回复可重复敲击发出信号。 </w:t>
      </w:r>
    </w:p>
    <w:p>
      <w:pPr>
        <w:pStyle w:val="60"/>
        <w:keepNext w:val="0"/>
        <w:keepLines w:val="0"/>
        <w:pageBreakBefore w:val="0"/>
        <w:widowControl w:val="0"/>
        <w:kinsoku/>
        <w:wordWrap/>
        <w:overflowPunct/>
        <w:topLinePunct w:val="0"/>
        <w:autoSpaceDE/>
        <w:autoSpaceDN/>
        <w:bidi w:val="0"/>
        <w:snapToGrid w:val="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二、灾害处理程序</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1</w:t>
      </w:r>
      <w:r>
        <w:rPr>
          <w:rFonts w:hint="eastAsia" w:ascii="仿宋" w:hAnsi="仿宋" w:eastAsia="仿宋" w:cs="仿宋_GB2312"/>
          <w:color w:val="000000" w:themeColor="text1"/>
          <w:sz w:val="24"/>
          <w14:textFill>
            <w14:solidFill>
              <w14:schemeClr w14:val="tx1"/>
            </w14:solidFill>
          </w14:textFill>
        </w:rPr>
        <w:t>、按照《招贤矿业2022年灾害预防及处理计划》中的有关规定，积极展开抢险、救险。</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2</w:t>
      </w:r>
      <w:r>
        <w:rPr>
          <w:rFonts w:hint="eastAsia" w:ascii="仿宋" w:hAnsi="仿宋" w:eastAsia="仿宋" w:cs="仿宋_GB2312"/>
          <w:color w:val="000000" w:themeColor="text1"/>
          <w:sz w:val="24"/>
          <w14:textFill>
            <w14:solidFill>
              <w14:schemeClr w14:val="tx1"/>
            </w14:solidFill>
          </w14:textFill>
        </w:rPr>
        <w:t>、事故发生后，现场人员应及时了解和判断灾害的性质、发生地点和发展速度，迅速报告矿调度指挥中心。</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3、事故发生后，现场人员应尽量利用现场设备和工具进行处理，防止灾害进一步扩大。</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4、当灾害已不可控制时，应立即按照既定的避灾路线，有组织、有秩序的撤离。</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5、事故发生后，每一位现场人员都应保持沉着冷静处理事故和撤离。</w:t>
      </w:r>
    </w:p>
    <w:p>
      <w:pPr>
        <w:pStyle w:val="60"/>
        <w:keepNext w:val="0"/>
        <w:keepLines w:val="0"/>
        <w:pageBreakBefore w:val="0"/>
        <w:widowControl w:val="0"/>
        <w:kinsoku/>
        <w:wordWrap/>
        <w:overflowPunct/>
        <w:topLinePunct w:val="0"/>
        <w:autoSpaceDE/>
        <w:autoSpaceDN/>
        <w:bidi w:val="0"/>
        <w:snapToGrid w:val="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三、灾害处理措施</w:t>
      </w:r>
    </w:p>
    <w:p>
      <w:pPr>
        <w:pStyle w:val="60"/>
        <w:keepNext w:val="0"/>
        <w:keepLines w:val="0"/>
        <w:pageBreakBefore w:val="0"/>
        <w:widowControl w:val="0"/>
        <w:kinsoku/>
        <w:wordWrap/>
        <w:overflowPunct/>
        <w:topLinePunct w:val="0"/>
        <w:autoSpaceDE/>
        <w:autoSpaceDN/>
        <w:bidi w:val="0"/>
        <w:snapToGrid w:val="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（一）火灾处理措施</w:t>
      </w:r>
    </w:p>
    <w:p>
      <w:pPr>
        <w:keepNext w:val="0"/>
        <w:keepLines w:val="0"/>
        <w:pageBreakBefore w:val="0"/>
        <w:widowControl w:val="0"/>
        <w:kinsoku/>
        <w:wordWrap/>
        <w:overflowPunct/>
        <w:topLinePunct w:val="0"/>
        <w:autoSpaceDE/>
        <w:autoSpaceDN/>
        <w:bidi w:val="0"/>
        <w:snapToGrid w:val="0"/>
        <w:ind w:firstLine="464"/>
        <w:rPr>
          <w:rFonts w:ascii="仿宋" w:hAnsi="仿宋" w:eastAsia="仿宋" w:cs="仿宋_GB2312"/>
          <w:color w:val="000000" w:themeColor="text1"/>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当出现巷道湿度、温度增大，发现雾气，巷道中有焦油味，人处于其中时有头疼闷热四肢无力、有明火或明烟等现象。任何人发现上述现象之一时，应立即进行自救，同时尽快通知矿调度指挥中心，矿调度指挥中心负责立即通知矿防灭火领导小组和其他相关部门,迅速组织救援。</w:t>
      </w:r>
      <w:r>
        <w:rPr>
          <w:rFonts w:hint="eastAsia" w:ascii="仿宋" w:hAnsi="仿宋" w:eastAsia="仿宋" w:cs="仿宋_GB2312"/>
          <w:color w:val="000000" w:themeColor="text1"/>
          <w:sz w:val="24"/>
          <w14:textFill>
            <w14:solidFill>
              <w14:schemeClr w14:val="tx1"/>
            </w14:solidFill>
          </w14:textFill>
        </w:rPr>
        <w:t>当工作面发生火灾时, 当班班队长应依照火灾避灾路线、矿井灾害预防和处理计划的规定, 将所有受火灾威胁的人员撤离危险区域，并迅速汇报矿调度指挥中心，同时根据火灾性质、灾区通风和瓦斯情况,采取一切可能的方法组织人员进行灭火、控制火势。</w:t>
      </w:r>
    </w:p>
    <w:p>
      <w:pPr>
        <w:keepNext w:val="0"/>
        <w:keepLines w:val="0"/>
        <w:pageBreakBefore w:val="0"/>
        <w:widowControl w:val="0"/>
        <w:numPr>
          <w:ilvl w:val="0"/>
          <w:numId w:val="4"/>
        </w:numPr>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火灾初期所有人员应立即打开并佩带好自救器或用湿毛巾捂住鼻口，</w:t>
      </w:r>
    </w:p>
    <w:p>
      <w:pPr>
        <w:keepNext w:val="0"/>
        <w:keepLines w:val="0"/>
        <w:pageBreakBefore w:val="0"/>
        <w:widowControl w:val="0"/>
        <w:kinsoku/>
        <w:wordWrap/>
        <w:overflowPunct/>
        <w:topLinePunct w:val="0"/>
        <w:autoSpaceDE/>
        <w:autoSpaceDN/>
        <w:bidi w:val="0"/>
        <w:snapToGrid w:val="0"/>
        <w:ind w:firstLine="0" w:firstLineChars="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积极组织人力、物力控制火势，直接灭火失败时，应采取隔离灭火法控制火区。</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2、将排水管路、压风管路改为消防管路。</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3、如果火势太猛，在扑救无效情况下，所有人员迎着新鲜风流撤退，并通知可能受火灾威胁的人员撤离灾区。</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4、所有入井人员必须熟记避灾路线，全负压下进风侧的人员，应迎着风流撤退，独头巷道人员应向外撤退。</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如果在撤离过程中遇到爆炸冲击波与火焰袭来时，应背向冲击波俯卧在底板或水沟内。遇到无法撤退、通路因冒顶堵塞或瓦斯涌出量大、有害气体浓度大而又无法自救等情况时，应迅速躲进避难硐室或临时构筑避难所等待营救。</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6、查明火灾地点、范围和发火原因，并采取防止风流紊乱、火烟侵袭、蔓延等措施，防止火灾向其它巷道蔓延，同时切断火区电源。</w:t>
      </w:r>
    </w:p>
    <w:p>
      <w:pPr>
        <w:pStyle w:val="60"/>
        <w:keepNext w:val="0"/>
        <w:keepLines w:val="0"/>
        <w:pageBreakBefore w:val="0"/>
        <w:widowControl w:val="0"/>
        <w:kinsoku/>
        <w:wordWrap/>
        <w:overflowPunct/>
        <w:topLinePunct w:val="0"/>
        <w:autoSpaceDE/>
        <w:autoSpaceDN/>
        <w:bidi w:val="0"/>
        <w:snapToGrid w:val="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（二）水灾处理措施</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工作面或其他地点发现有挂红、挂汗、空气变冷、出现雾气、水叫、顶板淋水加大、顶板来压、底板鼓起或产生裂隙出现渗水、水色发浑、有臭味等突水预兆时，必须停止作业，采取措施，立即报告矿调度指挥中心，发出警报，撤出所有受水灾威胁地点的人员。</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1、所有入井人员必须熟记水灾避灾路线。</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2、施工地点人员迅速向调度指挥中心汇报灾情，汇报内容包括水灾地点、水量大小、发生时间。</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3、如果</w:t>
      </w:r>
      <w:r>
        <w:rPr>
          <w:rFonts w:hint="eastAsia" w:ascii="仿宋" w:hAnsi="仿宋" w:eastAsia="仿宋" w:cs="仿宋_GB2312"/>
          <w:color w:val="000000" w:themeColor="text1"/>
          <w:sz w:val="24"/>
          <w:lang w:val="en-US" w:eastAsia="zh-CN"/>
          <w14:textFill>
            <w14:solidFill>
              <w14:schemeClr w14:val="tx1"/>
            </w14:solidFill>
          </w14:textFill>
        </w:rPr>
        <w:t>工作面内出水</w:t>
      </w:r>
      <w:r>
        <w:rPr>
          <w:rFonts w:hint="eastAsia" w:ascii="仿宋" w:hAnsi="仿宋" w:eastAsia="仿宋" w:cs="仿宋_GB2312"/>
          <w:color w:val="000000" w:themeColor="text1"/>
          <w:sz w:val="24"/>
          <w14:textFill>
            <w14:solidFill>
              <w14:schemeClr w14:val="tx1"/>
            </w14:solidFill>
          </w14:textFill>
        </w:rPr>
        <w:t>，所有作业人员应有组织的沿着避灾路线（避开压力水头）迅速撤至地面；若被堵在独头巷道时,应立即打开自救压风,加固避难硐室支护,节约矿灯电量,沉着冷静,不断敲击风水管,等待救援。</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4</w:t>
      </w:r>
      <w:r>
        <w:rPr>
          <w:rFonts w:hint="eastAsia" w:ascii="仿宋" w:hAnsi="仿宋" w:eastAsia="仿宋" w:cs="仿宋_GB2312"/>
          <w:color w:val="000000" w:themeColor="text1"/>
          <w:sz w:val="24"/>
          <w14:textFill>
            <w14:solidFill>
              <w14:schemeClr w14:val="tx1"/>
            </w14:solidFill>
          </w14:textFill>
        </w:rPr>
        <w:t>、井下排水设备，在透水后应全部启动排水，并保证其处于正常工作状态。</w:t>
      </w:r>
    </w:p>
    <w:p>
      <w:pPr>
        <w:pStyle w:val="60"/>
        <w:keepNext w:val="0"/>
        <w:keepLines w:val="0"/>
        <w:pageBreakBefore w:val="0"/>
        <w:widowControl w:val="0"/>
        <w:kinsoku/>
        <w:wordWrap/>
        <w:overflowPunct/>
        <w:topLinePunct w:val="0"/>
        <w:autoSpaceDE/>
        <w:autoSpaceDN/>
        <w:bidi w:val="0"/>
        <w:adjustRightInd/>
        <w:snapToGrid w:val="0"/>
        <w:spacing w:line="48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（三）瓦斯、煤尘灾害处理措施</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瓦斯异常涌出预兆：工作面瓦斯忽高忽低，温度骤降、煤壁发凉，遇地质构造或围岩松散区，瓦斯异常涌出，煤层发出“丝丝”的鞭炮声，顶板来压，人感到发昏。</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1、在发生瓦斯、煤尘爆炸事故时，要沉着冷静、积极自救，不可惊慌，不要乱喊乱跑。</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2、暂时躲避到安全地点，不能撤离的人员，要沉着冷静，尽量减少动作，并在躲避地点巷道口悬挂矿灯，用工具有规律的敲打管子、铁轨等，发出呼救信号，等待救援。</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3、在发生瓦斯、煤尘爆炸事故无法撤离时，人员迅速进入独头巷道（最好是岩巷），关闭局扇，切断风筒，堵住入口，防止有毒气体侵入。</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4、避灾地点若有压风管，要设法打开管路，以便为避难人员输送新鲜空气。</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当发生瓦斯煤尘爆炸事故，无其它巷道躲避，或来不及撤离时，避灾人员要注意爆炸冲击波的方向，并迅速背对着空气冲击波的来向，俯卧于巷道底板上或水沟中，脸贴水面并用湿毛巾堵住嘴和鼻子，以隔绝火焰或防止高浓度有害气体的伤害,等爆炸冲击波过去后，要迅速迎着风流方向撤离到安全地点。</w:t>
      </w:r>
    </w:p>
    <w:p>
      <w:pPr>
        <w:pStyle w:val="60"/>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ascii="仿宋" w:hAnsi="仿宋" w:eastAsia="仿宋" w:cs="仿宋_GB2312"/>
          <w:b w:val="0"/>
          <w:color w:val="000000" w:themeColor="text1"/>
          <w:sz w:val="24"/>
          <w:highlight w:val="cyan"/>
          <w14:textFill>
            <w14:solidFill>
              <w14:schemeClr w14:val="tx1"/>
            </w14:solidFill>
          </w14:textFill>
        </w:rPr>
      </w:pPr>
      <w:r>
        <w:rPr>
          <w:rFonts w:hint="eastAsia" w:ascii="仿宋" w:hAnsi="仿宋" w:eastAsia="仿宋" w:cs="仿宋_GB2312"/>
          <w:b w:val="0"/>
          <w:color w:val="000000" w:themeColor="text1"/>
          <w:sz w:val="24"/>
          <w14:textFill>
            <w14:solidFill>
              <w14:schemeClr w14:val="tx1"/>
            </w14:solidFill>
          </w14:textFill>
        </w:rPr>
        <w:t>6、在爆炸的一瞬间，要尽可能屏住呼吸，防止吸人大量的高温有害气体。</w:t>
      </w:r>
    </w:p>
    <w:p>
      <w:pPr>
        <w:pStyle w:val="60"/>
        <w:keepNext w:val="0"/>
        <w:keepLines w:val="0"/>
        <w:pageBreakBefore w:val="0"/>
        <w:widowControl w:val="0"/>
        <w:kinsoku/>
        <w:wordWrap/>
        <w:overflowPunct/>
        <w:topLinePunct w:val="0"/>
        <w:autoSpaceDE/>
        <w:autoSpaceDN/>
        <w:bidi w:val="0"/>
        <w:adjustRightInd/>
        <w:snapToGrid w:val="0"/>
        <w:spacing w:line="48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（四）顶板灾害处理措施</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顶板有“闷炮”声，掉渣、片帮严重，顶板破碎，支架断梁折腿、支架变形严重，顶板下沉离层有裂隙，打眼时卡钎等。遇以上情况时，工作面必须停止工作，采取措施进行处理，遇危急情况及时撤离危险区。</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遇险人员要正视已发生的灾害，保持清醒冷静，切忌惊慌失措，迅速组织起来，主动听从当班第一安全责任人和有经验的老工人指挥，团结协作，尽量减少体力和隔堵区的氧气消耗，有计划地使用饮水、食物和矿灯，做好较长时间避灾的准备。</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如人员被困地点有电话，应立即用电话向调度指挥中心汇报灾情，包括遇险人数和计划采取的避灾自救措施；否则，应采取敲击铁轨、管路和岩壁等方法，发出有规律的呼救信号。并每隔一定时间敲击一次，不间断发出信息，以便和营救人员取得联系，组织力量抢救。</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3、如被困地点有压风管，应打开压风管，输送新鲜空气，但应注意保暖。</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4、救灾人员应按以下规定进行：</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（1）迅速查处冒顶区范围和被埋住、堵塞人员数量及位置，积极组织抢救。</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（2）积极恢复冒顶区的正常通风，如短时间内不能恢复，可利用水管、压风管等设施对被埋压、堵塞人员输送新鲜空气。</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（3）在处理事故时，必须始终坚持由外向里加强支护，防止二次冒顶，必要时可开掘通向遇险人员的专用小巷。</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（4）遇有大块矸石威胁遇险人员时，可使用千斤顶等工具移动矸石，但应尽量避免破坏冒落矸石的堆积状态。</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（5）在处理事故过程中，要及时检查事故地点的有害气体浓度及风量，防止瓦斯爆炸。</w:t>
      </w:r>
    </w:p>
    <w:p>
      <w:pPr>
        <w:keepNext w:val="0"/>
        <w:keepLines w:val="0"/>
        <w:pageBreakBefore w:val="0"/>
        <w:widowControl w:val="0"/>
        <w:kinsoku/>
        <w:wordWrap/>
        <w:overflowPunct/>
        <w:topLinePunct w:val="0"/>
        <w:autoSpaceDE/>
        <w:autoSpaceDN/>
        <w:bidi w:val="0"/>
        <w:adjustRightInd/>
        <w:snapToGrid w:val="0"/>
        <w:spacing w:line="480" w:lineRule="exact"/>
        <w:ind w:firstLine="720" w:firstLineChars="300"/>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5、工作面配备应急物资，两巷存放若干型号单体支柱、木料用于顶板管理等。</w:t>
      </w:r>
    </w:p>
    <w:p>
      <w:pPr>
        <w:pStyle w:val="60"/>
        <w:keepNext w:val="0"/>
        <w:keepLines w:val="0"/>
        <w:pageBreakBefore w:val="0"/>
        <w:widowControl w:val="0"/>
        <w:kinsoku/>
        <w:wordWrap/>
        <w:overflowPunct/>
        <w:topLinePunct w:val="0"/>
        <w:autoSpaceDE/>
        <w:autoSpaceDN/>
        <w:bidi w:val="0"/>
        <w:adjustRightInd/>
        <w:snapToGrid w:val="0"/>
        <w:spacing w:line="480" w:lineRule="exac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（五）冲击地压处理措施</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发生冲击地压事故前有如下预兆可以预警：弱冲击、强冲击、弹射、矿震、岩爆、弹性振动等，常伴有煤岩体抛出、巨响、冲击波、气浪。</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1、冲击地压事故汇报</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冲击地压监测单个微震事件能量达到10</w:t>
      </w:r>
      <w:r>
        <w:rPr>
          <w:rFonts w:hint="eastAsia" w:ascii="仿宋" w:hAnsi="仿宋" w:eastAsia="仿宋" w:cs="仿宋"/>
          <w:color w:val="000000" w:themeColor="text1"/>
          <w:sz w:val="24"/>
          <w:vertAlign w:val="superscript"/>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J以上时，防冲办监测员应及时向矿调度和防冲办技术室汇报，矿调度打电话向现场作业人员了解情况，并及时向煤矿分管负责人或带班值班矿领导报告；情况严重的，及时向煤矿主要负责人报告。 </w:t>
      </w:r>
      <w:r>
        <w:rPr>
          <w:rFonts w:hint="eastAsia" w:ascii="仿宋" w:hAnsi="仿宋" w:eastAsia="仿宋" w:cs="仿宋"/>
          <w:color w:val="000000" w:themeColor="text1"/>
          <w:sz w:val="24"/>
          <w14:textFill>
            <w14:solidFill>
              <w14:schemeClr w14:val="tx1"/>
            </w14:solidFill>
          </w14:textFill>
        </w:rPr>
        <w:br w:type="textWrapping"/>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井下采掘作业地点出现强烈震动、巨响、瞬间底（帮）鼓、煤岩弹射等动力现象的，必须及时撤出危险区域作业人员。</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工作面出现煤炮声、岩层断裂声频繁、帮鼓或顶板明显下沉等动压现象时，第一个发现该情况的人员应立即向跟班人员或安监员汇报现场情况，跟班人员、安监员接到汇报后要立即到现场查看并根据情况决定是否汇报调度室。</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发生冲击地压事故时，现场作业区队的负责人必须立即用就近完好的电话向调度指挥中心简要汇报事故发生的地点、破坏情况、现场作业人员数量、受伤人员的数量、身份、受伤情况及其所在的具体位置，以便及时制定方案、采取措施进行处理。</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调度指挥中心接到事故汇报后，必须及时向公司领导汇报，并立即召集相关科室和区队负责人迅速到调度指挥中心集合，成立事故救援小组，尽快制定科学可行的救援方案。同时，要根据井下汇报情况，及时指挥事故现场及附近安全区域的作业人员，对事故伤亡人员进行救援并沿避灾路线迅速向安全地点撤离。</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）事故发生后，调度指挥中心负责组织有关管理人员到现场勘查和指挥救援处理。</w:t>
      </w:r>
      <w:r>
        <w:rPr>
          <w:rFonts w:hint="eastAsia" w:ascii="仿宋" w:hAnsi="仿宋" w:eastAsia="仿宋" w:cs="仿宋"/>
          <w:color w:val="000000" w:themeColor="text1"/>
          <w:sz w:val="24"/>
          <w14:textFill>
            <w14:solidFill>
              <w14:schemeClr w14:val="tx1"/>
            </w14:solidFill>
          </w14:textFill>
        </w:rPr>
        <w:br w:type="textWrapping"/>
      </w:r>
      <w:r>
        <w:rPr>
          <w:rFonts w:hint="eastAsia" w:ascii="仿宋" w:hAnsi="仿宋" w:eastAsia="仿宋" w:cs="仿宋"/>
          <w:color w:val="000000" w:themeColor="text1"/>
          <w:sz w:val="24"/>
          <w14:textFill>
            <w14:solidFill>
              <w14:schemeClr w14:val="tx1"/>
            </w14:solidFill>
          </w14:textFill>
        </w:rPr>
        <w:t xml:space="preserve"> 2、冲击地压事故应急处置</w:t>
      </w:r>
    </w:p>
    <w:p>
      <w:pPr>
        <w:keepNext w:val="0"/>
        <w:keepLines w:val="0"/>
        <w:pageBreakBefore w:val="0"/>
        <w:widowControl w:val="0"/>
        <w:kinsoku/>
        <w:wordWrap/>
        <w:overflowPunct/>
        <w:topLinePunct w:val="0"/>
        <w:autoSpaceDE/>
        <w:autoSpaceDN/>
        <w:bidi w:val="0"/>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发生冲击地压事故后，首先撤出灾区人员，将所有受冲击地压威胁区域人员按指定的安全撤离路线撤出。现场人员应沉着冷静，并尽可能了解事故的地点、性质、严重程度、受威胁的人员数、可能影响的范围是否扩大等，切忌不可惊慌乱跑。</w:t>
      </w:r>
    </w:p>
    <w:p>
      <w:pPr>
        <w:keepNext w:val="0"/>
        <w:keepLines w:val="0"/>
        <w:pageBreakBefore w:val="0"/>
        <w:widowControl w:val="0"/>
        <w:kinsoku/>
        <w:wordWrap/>
        <w:overflowPunct/>
        <w:topLinePunct w:val="0"/>
        <w:autoSpaceDE/>
        <w:autoSpaceDN/>
        <w:bidi w:val="0"/>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撤退时，位于事故进风侧的人员，迎着风流撤退；位于事故回风侧的人员应迅速佩戴好自救器以最快速度进入新鲜风流，在撤退过程中如遇巷道堵塞，不能安全撤离时，应就近构筑安全地点或进入避难硐室等待救援。</w:t>
      </w:r>
    </w:p>
    <w:p>
      <w:pPr>
        <w:keepNext w:val="0"/>
        <w:keepLines w:val="0"/>
        <w:pageBreakBefore w:val="0"/>
        <w:widowControl w:val="0"/>
        <w:kinsoku/>
        <w:wordWrap/>
        <w:overflowPunct/>
        <w:topLinePunct w:val="0"/>
        <w:autoSpaceDE/>
        <w:autoSpaceDN/>
        <w:bidi w:val="0"/>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（3）发生冲击地压事故后，立即组织矿山救护队探明事故地点、波及范围和被埋、压、截堵的人数及可能所在的位置，切断灾区电源，防止发生爆炸等次生灾害，分析抢救、处理条件。</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（4）根据地面各监测系统，检查通风设施、排水系统是否正常运行，检查备用风机、备用排水设备是否到位，以备紧急调拨。</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（5）立即对冲击地压发生区域人员组织抢救。如一时不能恢复巷道，则必须利用压风管、水管及开掘巷道或打钻孔的方法向被埋压或截堵区内的人员供给新鲜空气、水和食物。</w:t>
      </w:r>
    </w:p>
    <w:p>
      <w:pPr>
        <w:keepNext w:val="0"/>
        <w:keepLines w:val="0"/>
        <w:pageBreakBefore w:val="0"/>
        <w:widowControl w:val="0"/>
        <w:kinsoku/>
        <w:wordWrap/>
        <w:overflowPunct/>
        <w:topLinePunct w:val="0"/>
        <w:autoSpaceDE/>
        <w:autoSpaceDN/>
        <w:bidi w:val="0"/>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（6）在抢救过程中，应注意瓦斯从冲击地点涌出，要有排除瓦斯的措施，并有专人监视瓦斯、二氧化碳等气体浓度。</w:t>
      </w:r>
    </w:p>
    <w:p>
      <w:pPr>
        <w:keepNext w:val="0"/>
        <w:keepLines w:val="0"/>
        <w:pageBreakBefore w:val="0"/>
        <w:widowControl w:val="0"/>
        <w:kinsoku/>
        <w:wordWrap/>
        <w:overflowPunct/>
        <w:topLinePunct w:val="0"/>
        <w:autoSpaceDE/>
        <w:autoSpaceDN/>
        <w:bidi w:val="0"/>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在抢救事故期间，应随时向公司调度指挥中心汇报灾区状况和救灾工作的进展情况（如现有抢救力量，人员的情绪及身体状况，救灾的现有条件，事故发展趋势及后果，所采取的措施及取得的效果等），并对下一步抢救工作的开展提出意见和建议。</w:t>
      </w:r>
    </w:p>
    <w:p>
      <w:pPr>
        <w:keepNext w:val="0"/>
        <w:keepLines w:val="0"/>
        <w:pageBreakBefore w:val="0"/>
        <w:widowControl w:val="0"/>
        <w:kinsoku/>
        <w:wordWrap/>
        <w:overflowPunct/>
        <w:topLinePunct w:val="0"/>
        <w:autoSpaceDE/>
        <w:autoSpaceDN/>
        <w:bidi w:val="0"/>
        <w:snapToGrid w:val="0"/>
        <w:spacing w:line="430" w:lineRule="exact"/>
        <w:ind w:firstLine="480"/>
        <w:jc w:val="left"/>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（8）加强对</w:t>
      </w:r>
      <w:r>
        <w:rPr>
          <w:rFonts w:hint="eastAsia" w:ascii="仿宋" w:hAnsi="仿宋" w:eastAsia="仿宋" w:cs="仿宋_GB2312"/>
          <w:color w:val="000000" w:themeColor="text1"/>
          <w:sz w:val="24"/>
          <w:lang w:val="en-US" w:eastAsia="zh-CN"/>
          <w14:textFill>
            <w14:solidFill>
              <w14:schemeClr w14:val="tx1"/>
            </w14:solidFill>
          </w14:textFill>
        </w:rPr>
        <w:t>冲击地压监测系统监测</w:t>
      </w:r>
      <w:r>
        <w:rPr>
          <w:rFonts w:hint="eastAsia" w:ascii="仿宋" w:hAnsi="仿宋" w:eastAsia="仿宋" w:cs="仿宋_GB2312"/>
          <w:color w:val="000000" w:themeColor="text1"/>
          <w:sz w:val="24"/>
          <w14:textFill>
            <w14:solidFill>
              <w14:schemeClr w14:val="tx1"/>
            </w14:solidFill>
          </w14:textFill>
        </w:rPr>
        <w:t>，及时下发预警预报，为现场提供合理的救援时机，防止再次冲击伤人。值班人员必须坚守岗位并做到实时监测。</w:t>
      </w:r>
    </w:p>
    <w:p>
      <w:pPr>
        <w:keepNext w:val="0"/>
        <w:keepLines w:val="0"/>
        <w:pageBreakBefore w:val="0"/>
        <w:widowControl w:val="0"/>
        <w:kinsoku/>
        <w:wordWrap/>
        <w:overflowPunct/>
        <w:topLinePunct w:val="0"/>
        <w:autoSpaceDE/>
        <w:autoSpaceDN/>
        <w:bidi w:val="0"/>
        <w:snapToGrid w:val="0"/>
        <w:spacing w:line="430" w:lineRule="exact"/>
        <w:ind w:firstLine="480"/>
        <w:jc w:val="left"/>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积极开展自救和互救。事故发生后，灾区内以及受波及区域的人员应沉着冷静，根据灾情和现有条件以及实情发展，采取积极有效的方法和措施，利用现场的设备材料在保证自身安全条件下全力抢险，及时进行现场救灾工作，可能出现骨折、中毒、窒息等伤员。救护队到来之前，在场人员必须对这些伤员进行及时、合适的急救。</w:t>
      </w:r>
      <w:r>
        <w:rPr>
          <w:rFonts w:hint="eastAsia" w:ascii="仿宋" w:hAnsi="仿宋" w:eastAsia="仿宋" w:cs="仿宋_GB2312"/>
          <w:color w:val="000000" w:themeColor="text1"/>
          <w:sz w:val="24"/>
          <w14:textFill>
            <w14:solidFill>
              <w14:schemeClr w14:val="tx1"/>
            </w14:solidFill>
          </w14:textFill>
        </w:rPr>
        <w:br w:type="textWrapping"/>
      </w:r>
      <w:r>
        <w:rPr>
          <w:rFonts w:hint="eastAsia" w:ascii="仿宋" w:hAnsi="仿宋" w:eastAsia="仿宋" w:cs="仿宋_GB2312"/>
          <w:color w:val="000000" w:themeColor="text1"/>
          <w:sz w:val="24"/>
          <w14:textFill>
            <w14:solidFill>
              <w14:schemeClr w14:val="tx1"/>
            </w14:solidFill>
          </w14:textFill>
        </w:rPr>
        <w:t xml:space="preserve">    （10）灾害事故发生时，将事故消灭在初起阶段或控制在最小范围，最大限度地减少事故造成的财产损失和人员伤亡。现场人员行动要保持统一指挥，严禁各行其是、盲目蛮干或惊慌失措，贻误消除灾害的有利时机。救灾要切实注意自身安全，如果灾区条件恶化、危及现场人员安全，有中毒、窒息、爆炸、火灾等现象时，应及时撤离，防止事故扩大。</w:t>
      </w:r>
    </w:p>
    <w:p>
      <w:pPr>
        <w:keepNext w:val="0"/>
        <w:keepLines w:val="0"/>
        <w:pageBreakBefore w:val="0"/>
        <w:widowControl w:val="0"/>
        <w:kinsoku/>
        <w:wordWrap/>
        <w:overflowPunct/>
        <w:topLinePunct w:val="0"/>
        <w:autoSpaceDE/>
        <w:autoSpaceDN/>
        <w:bidi w:val="0"/>
        <w:snapToGrid w:val="0"/>
        <w:spacing w:line="430" w:lineRule="exact"/>
        <w:ind w:firstLine="480"/>
        <w:jc w:val="left"/>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11）如果事故不能达到及时控制或有扩大趋势时，由总指挥部决定请求外援。发生事故现场不具备事故抢救的条件、可能危及人员的生命安全时，应由在场负责人或有经验的老工人带领，根据规定的撤退路线和当时当地的实际情况，尽量选择安全条件最好、距离最短的路线，迅速撤离危险区域。同时立即通知公司生产调度指挥中心请求专业救护队参与救灾。</w:t>
      </w:r>
      <w:bookmarkStart w:id="506" w:name="_Toc496212782"/>
    </w:p>
    <w:bookmarkEnd w:id="188"/>
    <w:bookmarkEnd w:id="506"/>
    <w:p>
      <w:pPr>
        <w:pStyle w:val="4"/>
        <w:keepNext w:val="0"/>
        <w:keepLines w:val="0"/>
        <w:pageBreakBefore w:val="0"/>
        <w:widowControl w:val="0"/>
        <w:kinsoku/>
        <w:wordWrap/>
        <w:overflowPunct/>
        <w:topLinePunct w:val="0"/>
        <w:autoSpaceDE/>
        <w:autoSpaceDN/>
        <w:bidi w:val="0"/>
        <w:snapToGrid w:val="0"/>
        <w:spacing w:before="0" w:after="0" w:line="430" w:lineRule="exact"/>
        <w:ind w:firstLine="0" w:firstLineChars="0"/>
        <w:textAlignment w:val="auto"/>
        <w:rPr>
          <w:rFonts w:ascii="仿宋" w:hAnsi="仿宋" w:eastAsia="仿宋" w:cs="仿宋_GB2312"/>
          <w:color w:val="000000" w:themeColor="text1"/>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第二节   避灾路线</w:t>
      </w:r>
    </w:p>
    <w:p>
      <w:pPr>
        <w:keepNext w:val="0"/>
        <w:keepLines w:val="0"/>
        <w:pageBreakBefore w:val="0"/>
        <w:widowControl w:val="0"/>
        <w:kinsoku/>
        <w:wordWrap/>
        <w:overflowPunct/>
        <w:topLinePunct w:val="0"/>
        <w:autoSpaceDE/>
        <w:autoSpaceDN/>
        <w:bidi w:val="0"/>
        <w:snapToGrid w:val="0"/>
        <w:spacing w:line="430" w:lineRule="exact"/>
        <w:ind w:firstLine="0" w:firstLineChars="0"/>
        <w:jc w:val="left"/>
        <w:textAlignment w:val="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1、工作面发生火灾、煤尘爆炸、瓦斯爆炸等灾害时的避灾线路：</w:t>
      </w:r>
    </w:p>
    <w:p>
      <w:pPr>
        <w:keepNext w:val="0"/>
        <w:keepLines w:val="0"/>
        <w:pageBreakBefore w:val="0"/>
        <w:widowControl w:val="0"/>
        <w:kinsoku/>
        <w:wordWrap/>
        <w:overflowPunct/>
        <w:topLinePunct w:val="0"/>
        <w:autoSpaceDE/>
        <w:autoSpaceDN/>
        <w:bidi w:val="0"/>
        <w:snapToGrid w:val="0"/>
        <w:spacing w:line="430" w:lineRule="exact"/>
        <w:ind w:firstLine="480"/>
        <w:jc w:val="left"/>
        <w:textAlignment w:val="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1303工作面→1303机巷→1303机联巷</w:t>
      </w:r>
      <w:r>
        <w:rPr>
          <w:rFonts w:ascii="仿宋" w:hAnsi="仿宋" w:eastAsia="仿宋"/>
          <w:color w:val="000000" w:themeColor="text1"/>
          <w:sz w:val="24"/>
          <w14:textFill>
            <w14:solidFill>
              <w14:schemeClr w14:val="tx1"/>
            </w14:solidFill>
          </w14:textFill>
        </w:rPr>
        <w:t>第</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第</w:t>
      </w:r>
      <w:r>
        <w:rPr>
          <w:rFonts w:ascii="仿宋" w:hAnsi="仿宋" w:eastAsia="仿宋"/>
          <w:color w:val="000000" w:themeColor="text1"/>
          <w:sz w:val="24"/>
          <w14:textFill>
            <w14:solidFill>
              <w14:schemeClr w14:val="tx1"/>
            </w14:solidFill>
          </w14:textFill>
        </w:rPr>
        <w:t>二中部车场</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北翼辅助运输大巷</w:t>
      </w:r>
      <w:r>
        <w:rPr>
          <w:rFonts w:hint="eastAsia" w:ascii="仿宋" w:hAnsi="仿宋" w:eastAsia="仿宋" w:cs="仿宋_GB2312"/>
          <w:color w:val="000000" w:themeColor="text1"/>
          <w:sz w:val="24"/>
          <w14:textFill>
            <w14:solidFill>
              <w14:schemeClr w14:val="tx1"/>
            </w14:solidFill>
          </w14:textFill>
        </w:rPr>
        <w:t>→井底车场→副井→地面</w:t>
      </w:r>
    </w:p>
    <w:p>
      <w:pPr>
        <w:keepNext w:val="0"/>
        <w:keepLines w:val="0"/>
        <w:pageBreakBefore w:val="0"/>
        <w:widowControl w:val="0"/>
        <w:kinsoku/>
        <w:wordWrap/>
        <w:overflowPunct/>
        <w:topLinePunct w:val="0"/>
        <w:autoSpaceDE/>
        <w:autoSpaceDN/>
        <w:bidi w:val="0"/>
        <w:snapToGrid w:val="0"/>
        <w:spacing w:line="430" w:lineRule="exact"/>
        <w:ind w:firstLine="480"/>
        <w:textAlignment w:val="auto"/>
      </w:pPr>
      <w:r>
        <w:rPr>
          <w:rFonts w:hint="eastAsia" w:ascii="仿宋" w:hAnsi="仿宋" w:eastAsia="仿宋" w:cs="仿宋_GB2312"/>
          <w:color w:val="000000" w:themeColor="text1"/>
          <w:kern w:val="0"/>
          <w:sz w:val="24"/>
          <w14:textFill>
            <w14:solidFill>
              <w14:schemeClr w14:val="tx1"/>
            </w14:solidFill>
          </w14:textFill>
        </w:rPr>
        <w:t>（2）施工地点→1303风巷→1303风联巷→1305提料斜巷→北翼辅助运输大巷→井底车场→</w:t>
      </w:r>
      <w:r>
        <w:rPr>
          <w:rFonts w:hint="eastAsia" w:ascii="仿宋" w:hAnsi="仿宋" w:eastAsia="仿宋" w:cs="仿宋_GB2312"/>
          <w:color w:val="000000" w:themeColor="text1"/>
          <w:sz w:val="24"/>
          <w14:textFill>
            <w14:solidFill>
              <w14:schemeClr w14:val="tx1"/>
            </w14:solidFill>
          </w14:textFill>
        </w:rPr>
        <w:t>地面</w:t>
      </w:r>
      <w:r>
        <w:rPr>
          <w:rFonts w:hint="eastAsia" w:ascii="仿宋" w:hAnsi="仿宋" w:eastAsia="仿宋" w:cs="仿宋_GB2312"/>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430" w:lineRule="exact"/>
        <w:ind w:firstLine="480"/>
        <w:jc w:val="left"/>
        <w:textAlignment w:val="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发生火灾、煤尘爆炸、瓦斯爆炸事故时，位于事故地点回风流的人员应立即佩戴好自救器，并沿便捷路线撤至1</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3机</w:t>
      </w:r>
      <w:r>
        <w:rPr>
          <w:rFonts w:ascii="仿宋" w:hAnsi="仿宋" w:eastAsia="仿宋"/>
          <w:color w:val="000000" w:themeColor="text1"/>
          <w:sz w:val="24"/>
          <w14:textFill>
            <w14:solidFill>
              <w14:schemeClr w14:val="tx1"/>
            </w14:solidFill>
          </w14:textFill>
        </w:rPr>
        <w:t>联巷</w:t>
      </w:r>
      <w:r>
        <w:rPr>
          <w:rFonts w:hint="eastAsia" w:ascii="仿宋" w:hAnsi="仿宋" w:eastAsia="仿宋"/>
          <w:color w:val="000000" w:themeColor="text1"/>
          <w:sz w:val="24"/>
          <w14:textFill>
            <w14:solidFill>
              <w14:schemeClr w14:val="tx1"/>
            </w14:solidFill>
          </w14:textFill>
        </w:rPr>
        <w:t>，经北翼辅助运输大巷至副立井回到地面。</w:t>
      </w:r>
    </w:p>
    <w:p>
      <w:pPr>
        <w:keepNext w:val="0"/>
        <w:keepLines w:val="0"/>
        <w:pageBreakBefore w:val="0"/>
        <w:widowControl w:val="0"/>
        <w:kinsoku/>
        <w:wordWrap/>
        <w:overflowPunct/>
        <w:topLinePunct w:val="0"/>
        <w:autoSpaceDE/>
        <w:autoSpaceDN/>
        <w:bidi w:val="0"/>
        <w:snapToGrid w:val="0"/>
        <w:spacing w:line="430" w:lineRule="exact"/>
        <w:ind w:firstLine="0" w:firstLineChars="0"/>
        <w:jc w:val="left"/>
        <w:textAlignment w:val="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2、避水灾路线：</w:t>
      </w:r>
    </w:p>
    <w:p>
      <w:pPr>
        <w:pStyle w:val="12"/>
        <w:keepNext w:val="0"/>
        <w:keepLines w:val="0"/>
        <w:pageBreakBefore w:val="0"/>
        <w:widowControl w:val="0"/>
        <w:kinsoku/>
        <w:wordWrap/>
        <w:overflowPunct/>
        <w:topLinePunct w:val="0"/>
        <w:autoSpaceDE/>
        <w:autoSpaceDN/>
        <w:bidi w:val="0"/>
        <w:adjustRightInd w:val="0"/>
        <w:snapToGrid w:val="0"/>
        <w:spacing w:after="0" w:line="430" w:lineRule="exact"/>
        <w:ind w:firstLine="232" w:firstLineChars="1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（1）处于出水地点上方人员：</w:t>
      </w:r>
    </w:p>
    <w:p>
      <w:pPr>
        <w:keepNext w:val="0"/>
        <w:keepLines w:val="0"/>
        <w:pageBreakBefore w:val="0"/>
        <w:widowControl w:val="0"/>
        <w:kinsoku/>
        <w:wordWrap/>
        <w:overflowPunct/>
        <w:topLinePunct w:val="0"/>
        <w:autoSpaceDE/>
        <w:autoSpaceDN/>
        <w:bidi w:val="0"/>
        <w:snapToGrid w:val="0"/>
        <w:spacing w:line="430" w:lineRule="exact"/>
        <w:ind w:firstLine="48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1303工作面→1303机巷→1303机联巷</w:t>
      </w:r>
      <w:r>
        <w:rPr>
          <w:rFonts w:ascii="仿宋" w:hAnsi="仿宋" w:eastAsia="仿宋"/>
          <w:color w:val="000000" w:themeColor="text1"/>
          <w:sz w:val="24"/>
          <w14:textFill>
            <w14:solidFill>
              <w14:schemeClr w14:val="tx1"/>
            </w14:solidFill>
          </w14:textFill>
        </w:rPr>
        <w:t>第</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第</w:t>
      </w:r>
      <w:r>
        <w:rPr>
          <w:rFonts w:ascii="仿宋" w:hAnsi="仿宋" w:eastAsia="仿宋"/>
          <w:color w:val="000000" w:themeColor="text1"/>
          <w:sz w:val="24"/>
          <w14:textFill>
            <w14:solidFill>
              <w14:schemeClr w14:val="tx1"/>
            </w14:solidFill>
          </w14:textFill>
        </w:rPr>
        <w:t>二中部车场</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北翼辅助运输大巷/北翼带式输送机巷</w:t>
      </w:r>
      <w:r>
        <w:rPr>
          <w:rFonts w:hint="eastAsia" w:ascii="仿宋" w:hAnsi="仿宋" w:eastAsia="仿宋" w:cs="仿宋"/>
          <w:color w:val="000000" w:themeColor="text1"/>
          <w:sz w:val="24"/>
          <w14:textFill>
            <w14:solidFill>
              <w14:schemeClr w14:val="tx1"/>
            </w14:solidFill>
          </w14:textFill>
        </w:rPr>
        <w:t>→主斜井→地面。</w:t>
      </w:r>
    </w:p>
    <w:p>
      <w:pPr>
        <w:pStyle w:val="12"/>
        <w:keepNext w:val="0"/>
        <w:keepLines w:val="0"/>
        <w:pageBreakBefore w:val="0"/>
        <w:widowControl w:val="0"/>
        <w:numPr>
          <w:ilvl w:val="0"/>
          <w:numId w:val="5"/>
        </w:numPr>
        <w:kinsoku/>
        <w:wordWrap/>
        <w:overflowPunct/>
        <w:topLinePunct w:val="0"/>
        <w:autoSpaceDE/>
        <w:autoSpaceDN/>
        <w:bidi w:val="0"/>
        <w:adjustRightInd w:val="0"/>
        <w:snapToGrid w:val="0"/>
        <w:spacing w:after="0" w:line="430" w:lineRule="exact"/>
        <w:ind w:firstLine="232" w:firstLineChars="100"/>
        <w:jc w:val="left"/>
        <w:textAlignment w:val="auto"/>
        <w:rPr>
          <w:rFonts w:hint="eastAsia"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处于出水点下方人员，无法穿越出水地点时：</w:t>
      </w:r>
    </w:p>
    <w:p>
      <w:pPr>
        <w:pStyle w:val="13"/>
        <w:numPr>
          <w:ilvl w:val="0"/>
          <w:numId w:val="0"/>
        </w:numPr>
      </w:pPr>
    </w:p>
    <w:p>
      <w:pPr>
        <w:keepNext w:val="0"/>
        <w:keepLines w:val="0"/>
        <w:pageBreakBefore w:val="0"/>
        <w:widowControl w:val="0"/>
        <w:kinsoku/>
        <w:wordWrap/>
        <w:overflowPunct/>
        <w:topLinePunct w:val="0"/>
        <w:autoSpaceDE/>
        <w:autoSpaceDN/>
        <w:bidi w:val="0"/>
        <w:snapToGrid w:val="0"/>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1303 工作面→1303风巷</w:t>
      </w:r>
      <w:r>
        <w:rPr>
          <w:rFonts w:hint="eastAsia" w:ascii="仿宋" w:hAnsi="仿宋" w:eastAsia="仿宋" w:cs="仿宋_GB2312"/>
          <w:color w:val="000000" w:themeColor="text1"/>
          <w:kern w:val="0"/>
          <w:sz w:val="24"/>
          <w14:textFill>
            <w14:solidFill>
              <w14:schemeClr w14:val="tx1"/>
            </w14:solidFill>
          </w14:textFill>
        </w:rPr>
        <w:t>→1303风联巷→</w:t>
      </w:r>
      <w:r>
        <w:rPr>
          <w:rFonts w:hint="eastAsia" w:ascii="仿宋" w:hAnsi="仿宋" w:eastAsia="仿宋" w:cs="仿宋_GB2312"/>
          <w:color w:val="000000" w:themeColor="text1"/>
          <w:kern w:val="0"/>
          <w:sz w:val="24"/>
          <w:lang w:val="en-US" w:eastAsia="zh-CN"/>
          <w14:textFill>
            <w14:solidFill>
              <w14:schemeClr w14:val="tx1"/>
            </w14:solidFill>
          </w14:textFill>
        </w:rPr>
        <w:t>北翼回风大巷</w:t>
      </w:r>
      <w:r>
        <w:rPr>
          <w:rFonts w:hint="eastAsia" w:ascii="仿宋" w:hAnsi="仿宋" w:eastAsia="仿宋" w:cs="仿宋"/>
          <w:color w:val="000000" w:themeColor="text1"/>
          <w:sz w:val="24"/>
          <w14:textFill>
            <w14:solidFill>
              <w14:schemeClr w14:val="tx1"/>
            </w14:solidFill>
          </w14:textFill>
        </w:rPr>
        <w:t>→主斜井→地面。</w:t>
      </w:r>
    </w:p>
    <w:p>
      <w:pPr>
        <w:keepNext w:val="0"/>
        <w:keepLines w:val="0"/>
        <w:pageBreakBefore w:val="0"/>
        <w:widowControl w:val="0"/>
        <w:kinsoku/>
        <w:wordWrap/>
        <w:overflowPunct/>
        <w:topLinePunct w:val="0"/>
        <w:autoSpaceDE/>
        <w:autoSpaceDN/>
        <w:bidi w:val="0"/>
        <w:snapToGrid w:val="0"/>
        <w:ind w:firstLine="0" w:firstLineChars="0"/>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3、避冲击地压路线：</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（1）施工地点→1303机巷→</w:t>
      </w:r>
      <w:r>
        <w:rPr>
          <w:rFonts w:hint="eastAsia" w:ascii="仿宋" w:hAnsi="仿宋" w:eastAsia="仿宋" w:cs="仿宋_GB2312"/>
          <w:color w:val="000000" w:themeColor="text1"/>
          <w:sz w:val="24"/>
          <w14:textFill>
            <w14:solidFill>
              <w14:schemeClr w14:val="tx1"/>
            </w14:solidFill>
          </w14:textFill>
        </w:rPr>
        <w:t>1303机联巷</w:t>
      </w:r>
      <w:r>
        <w:rPr>
          <w:rFonts w:ascii="仿宋" w:hAnsi="仿宋" w:eastAsia="仿宋"/>
          <w:color w:val="000000" w:themeColor="text1"/>
          <w:sz w:val="24"/>
          <w14:textFill>
            <w14:solidFill>
              <w14:schemeClr w14:val="tx1"/>
            </w14:solidFill>
          </w14:textFill>
        </w:rPr>
        <w:t>第</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第</w:t>
      </w:r>
      <w:r>
        <w:rPr>
          <w:rFonts w:ascii="仿宋" w:hAnsi="仿宋" w:eastAsia="仿宋"/>
          <w:color w:val="000000" w:themeColor="text1"/>
          <w:sz w:val="24"/>
          <w14:textFill>
            <w14:solidFill>
              <w14:schemeClr w14:val="tx1"/>
            </w14:solidFill>
          </w14:textFill>
        </w:rPr>
        <w:t>二中部车场</w:t>
      </w:r>
      <w:r>
        <w:rPr>
          <w:rFonts w:hint="eastAsia" w:ascii="仿宋" w:hAnsi="仿宋" w:eastAsia="仿宋" w:cs="仿宋_GB2312"/>
          <w:color w:val="000000" w:themeColor="text1"/>
          <w:kern w:val="0"/>
          <w:sz w:val="24"/>
          <w14:textFill>
            <w14:solidFill>
              <w14:schemeClr w14:val="tx1"/>
            </w14:solidFill>
          </w14:textFill>
        </w:rPr>
        <w:t>→北翼辅助运输大巷→井底车场→</w:t>
      </w:r>
      <w:r>
        <w:rPr>
          <w:rFonts w:hint="eastAsia" w:ascii="仿宋" w:hAnsi="仿宋" w:eastAsia="仿宋" w:cs="仿宋_GB2312"/>
          <w:color w:val="000000" w:themeColor="text1"/>
          <w:sz w:val="24"/>
          <w14:textFill>
            <w14:solidFill>
              <w14:schemeClr w14:val="tx1"/>
            </w14:solidFill>
          </w14:textFill>
        </w:rPr>
        <w:t>地面</w:t>
      </w:r>
      <w:r>
        <w:rPr>
          <w:rFonts w:hint="eastAsia" w:ascii="仿宋" w:hAnsi="仿宋" w:eastAsia="仿宋" w:cs="仿宋_GB2312"/>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ind w:firstLine="48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（2）施工地点→1303风巷→1303风联巷→1305提料斜巷→北翼辅助运输大巷→井底车场→</w:t>
      </w:r>
      <w:r>
        <w:rPr>
          <w:rFonts w:hint="eastAsia" w:ascii="仿宋" w:hAnsi="仿宋" w:eastAsia="仿宋" w:cs="仿宋_GB2312"/>
          <w:color w:val="000000" w:themeColor="text1"/>
          <w:sz w:val="24"/>
          <w14:textFill>
            <w14:solidFill>
              <w14:schemeClr w14:val="tx1"/>
            </w14:solidFill>
          </w14:textFill>
        </w:rPr>
        <w:t>地面</w:t>
      </w:r>
      <w:r>
        <w:rPr>
          <w:rFonts w:hint="eastAsia" w:ascii="仿宋" w:hAnsi="仿宋" w:eastAsia="仿宋" w:cs="仿宋_GB2312"/>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对于在生产过程中发生的自然灾害及人身、机电事故，必须及时准确地向矿调度与控制中心和区值班人员汇报，并在矿调度与控制中心的统一指挥下及时处理，且做好自救和互救工作。</w:t>
      </w:r>
    </w:p>
    <w:p>
      <w:pPr>
        <w:keepNext w:val="0"/>
        <w:keepLines w:val="0"/>
        <w:pageBreakBefore w:val="0"/>
        <w:widowControl w:val="0"/>
        <w:kinsoku/>
        <w:wordWrap/>
        <w:overflowPunct/>
        <w:topLinePunct w:val="0"/>
        <w:autoSpaceDE/>
        <w:autoSpaceDN/>
        <w:bidi w:val="0"/>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见附图12：1303工作面避灾路线图</w:t>
      </w:r>
    </w:p>
    <w:p>
      <w:pPr>
        <w:pStyle w:val="4"/>
        <w:keepNext w:val="0"/>
        <w:keepLines w:val="0"/>
        <w:snapToGrid w:val="0"/>
        <w:spacing w:before="0" w:after="0"/>
        <w:ind w:firstLine="0" w:firstLineChars="0"/>
        <w:jc w:val="both"/>
        <w:rPr>
          <w:rFonts w:ascii="黑体" w:hAnsi="黑体" w:eastAsia="黑体" w:cs="仿宋_GB2312"/>
          <w:color w:val="000000" w:themeColor="text1"/>
          <w:sz w:val="28"/>
          <w:szCs w:val="28"/>
          <w14:textFill>
            <w14:solidFill>
              <w14:schemeClr w14:val="tx1"/>
            </w14:solidFill>
          </w14:textFill>
        </w:rPr>
      </w:pPr>
    </w:p>
    <w:p>
      <w:pPr>
        <w:rPr>
          <w:rFonts w:ascii="黑体" w:hAnsi="黑体" w:eastAsia="黑体" w:cs="仿宋_GB2312"/>
          <w:color w:val="000000" w:themeColor="text1"/>
          <w:sz w:val="28"/>
          <w:szCs w:val="28"/>
          <w14:textFill>
            <w14:solidFill>
              <w14:schemeClr w14:val="tx1"/>
            </w14:solidFill>
          </w14:textFill>
        </w:rPr>
      </w:pPr>
    </w:p>
    <w:p>
      <w:pPr>
        <w:pStyle w:val="4"/>
        <w:keepNext w:val="0"/>
        <w:keepLines w:val="0"/>
        <w:snapToGrid w:val="0"/>
        <w:spacing w:before="0" w:after="0"/>
        <w:ind w:firstLine="0" w:firstLineChars="0"/>
        <w:rPr>
          <w:rFonts w:hint="default" w:ascii="仿宋" w:hAnsi="仿宋" w:eastAsia="黑体" w:cs="仿宋_GB2312"/>
          <w:color w:val="000000" w:themeColor="text1"/>
          <w:lang w:val="en-US"/>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1303工作面</w:t>
      </w:r>
      <w:r>
        <w:rPr>
          <w:rFonts w:hint="eastAsia" w:ascii="黑体" w:hAnsi="黑体" w:eastAsia="黑体" w:cs="仿宋_GB2312"/>
          <w:color w:val="000000" w:themeColor="text1"/>
          <w:sz w:val="28"/>
          <w:szCs w:val="28"/>
          <w:lang w:val="en-US" w:eastAsia="zh-CN"/>
          <w14:textFill>
            <w14:solidFill>
              <w14:schemeClr w14:val="tx1"/>
            </w14:solidFill>
          </w14:textFill>
        </w:rPr>
        <w:t>重大</w:t>
      </w:r>
      <w:r>
        <w:rPr>
          <w:rFonts w:hint="eastAsia" w:ascii="黑体" w:hAnsi="黑体" w:eastAsia="黑体" w:cs="仿宋_GB2312"/>
          <w:color w:val="000000" w:themeColor="text1"/>
          <w:sz w:val="28"/>
          <w:szCs w:val="28"/>
          <w14:textFill>
            <w14:solidFill>
              <w14:schemeClr w14:val="tx1"/>
            </w14:solidFill>
          </w14:textFill>
        </w:rPr>
        <w:t>安全风险</w:t>
      </w:r>
      <w:r>
        <w:rPr>
          <w:rFonts w:hint="eastAsia" w:ascii="黑体" w:hAnsi="黑体" w:eastAsia="黑体" w:cs="仿宋_GB2312"/>
          <w:color w:val="000000" w:themeColor="text1"/>
          <w:sz w:val="28"/>
          <w:szCs w:val="28"/>
          <w:lang w:val="en-US" w:eastAsia="zh-CN"/>
          <w14:textFill>
            <w14:solidFill>
              <w14:schemeClr w14:val="tx1"/>
            </w14:solidFill>
          </w14:textFill>
        </w:rPr>
        <w:t>辨识评估</w:t>
      </w:r>
    </w:p>
    <w:p>
      <w:pPr>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1303工作面安全风险辨识评估</w:t>
      </w:r>
    </w:p>
    <w:p>
      <w:pPr>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1、风险辨识方法</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次采用作业条件危险性评价法，对辨识出的安全风险进行逐项评估。该方法采用与风险有关的三种因素指标值的乘积来评估操作人员伤亡风险大小，计算公式为D=L×E×C。其中：L表示事件发生的可能性、E表示人员暴露于危险环境中的频繁程度、C表示可能造成的后果、D表示危险性。安全风险评估按危害程度、控制能力和管理层次将安全风险划分为重大风险、较大风险、一般风险、低风险四个等级。D值大于等于320，确定为重大风险，小于320大于等于160确定为较大风险，小于160大于等于70确定为一般风险，小于70确定为低风险。</w:t>
      </w:r>
    </w:p>
    <w:p>
      <w:pPr>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2、风险辨识范围</w:t>
      </w:r>
    </w:p>
    <w:p>
      <w:pPr>
        <w:snapToGrid w:val="0"/>
        <w:ind w:firstLine="48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1303工作面、机巷、风巷、机联巷、风联巷。</w:t>
      </w:r>
    </w:p>
    <w:p>
      <w:pPr>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3、评估参数</w:t>
      </w:r>
    </w:p>
    <w:p>
      <w:pPr>
        <w:snapToGrid w:val="0"/>
        <w:ind w:firstLine="480"/>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表1  评估参数表</w:t>
      </w:r>
    </w:p>
    <w:tbl>
      <w:tblPr>
        <w:tblStyle w:val="36"/>
        <w:tblW w:w="8986"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3"/>
        <w:gridCol w:w="1294"/>
        <w:gridCol w:w="1293"/>
        <w:gridCol w:w="1509"/>
        <w:gridCol w:w="1294"/>
        <w:gridCol w:w="2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2" w:hRule="atLeast"/>
        </w:trPr>
        <w:tc>
          <w:tcPr>
            <w:tcW w:w="258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发生事故的可能性（L）</w:t>
            </w:r>
          </w:p>
        </w:tc>
        <w:tc>
          <w:tcPr>
            <w:tcW w:w="2802" w:type="dxa"/>
            <w:gridSpan w:val="2"/>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人员暴露于危险环境中的频繁程度（E）</w:t>
            </w:r>
          </w:p>
        </w:tc>
        <w:tc>
          <w:tcPr>
            <w:tcW w:w="3597" w:type="dxa"/>
            <w:gridSpan w:val="2"/>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发生事故可能造成的后果（C）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6" w:hRule="atLeast"/>
        </w:trPr>
        <w:tc>
          <w:tcPr>
            <w:tcW w:w="1293" w:type="dxa"/>
            <w:tcBorders>
              <w:top w:val="single" w:color="000000" w:sz="4" w:space="0"/>
              <w:left w:val="single" w:color="000000" w:sz="4" w:space="0"/>
              <w:bottom w:val="single" w:color="000000" w:sz="4" w:space="0"/>
              <w:right w:val="single" w:color="000000" w:sz="4" w:space="0"/>
            </w:tcBorders>
            <w:vAlign w:val="center"/>
          </w:tcPr>
          <w:p>
            <w:pPr>
              <w:snapToGrid w:val="0"/>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分数值</w:t>
            </w:r>
          </w:p>
        </w:tc>
        <w:tc>
          <w:tcPr>
            <w:tcW w:w="1294" w:type="dxa"/>
            <w:tcBorders>
              <w:top w:val="single" w:color="000000" w:sz="4" w:space="0"/>
              <w:left w:val="nil"/>
              <w:bottom w:val="single" w:color="000000" w:sz="4" w:space="0"/>
              <w:right w:val="single" w:color="000000" w:sz="4" w:space="0"/>
            </w:tcBorders>
            <w:vAlign w:val="center"/>
          </w:tcPr>
          <w:p>
            <w:pPr>
              <w:snapToGrid w:val="0"/>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可能程度</w:t>
            </w:r>
          </w:p>
        </w:tc>
        <w:tc>
          <w:tcPr>
            <w:tcW w:w="1293" w:type="dxa"/>
            <w:tcBorders>
              <w:top w:val="single" w:color="000000" w:sz="4" w:space="0"/>
              <w:left w:val="nil"/>
              <w:bottom w:val="single" w:color="000000" w:sz="4" w:space="0"/>
              <w:right w:val="single" w:color="000000" w:sz="4" w:space="0"/>
            </w:tcBorders>
            <w:vAlign w:val="center"/>
          </w:tcPr>
          <w:p>
            <w:pPr>
              <w:snapToGrid w:val="0"/>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分数值</w:t>
            </w:r>
          </w:p>
        </w:tc>
        <w:tc>
          <w:tcPr>
            <w:tcW w:w="1509" w:type="dxa"/>
            <w:tcBorders>
              <w:top w:val="single" w:color="000000" w:sz="4" w:space="0"/>
              <w:left w:val="nil"/>
              <w:bottom w:val="single" w:color="000000" w:sz="4" w:space="0"/>
              <w:right w:val="single" w:color="000000" w:sz="4" w:space="0"/>
            </w:tcBorders>
            <w:vAlign w:val="center"/>
          </w:tcPr>
          <w:p>
            <w:pPr>
              <w:snapToGrid w:val="0"/>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频繁程度</w:t>
            </w:r>
          </w:p>
        </w:tc>
        <w:tc>
          <w:tcPr>
            <w:tcW w:w="1294" w:type="dxa"/>
            <w:tcBorders>
              <w:top w:val="single" w:color="000000" w:sz="4" w:space="0"/>
              <w:left w:val="nil"/>
              <w:bottom w:val="single" w:color="000000" w:sz="4" w:space="0"/>
              <w:right w:val="single" w:color="000000" w:sz="4" w:space="0"/>
            </w:tcBorders>
            <w:vAlign w:val="center"/>
          </w:tcPr>
          <w:p>
            <w:pPr>
              <w:snapToGrid w:val="0"/>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分数值</w:t>
            </w:r>
          </w:p>
        </w:tc>
        <w:tc>
          <w:tcPr>
            <w:tcW w:w="2303" w:type="dxa"/>
            <w:tcBorders>
              <w:top w:val="single" w:color="000000" w:sz="4" w:space="0"/>
              <w:left w:val="nil"/>
              <w:bottom w:val="single" w:color="000000" w:sz="4" w:space="0"/>
              <w:right w:val="single" w:color="000000" w:sz="4" w:space="0"/>
            </w:tcBorders>
            <w:vAlign w:val="center"/>
          </w:tcPr>
          <w:p>
            <w:pPr>
              <w:snapToGrid w:val="0"/>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后果严重程度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5" w:hRule="atLeast"/>
        </w:trPr>
        <w:tc>
          <w:tcPr>
            <w:tcW w:w="1293" w:type="dxa"/>
            <w:tcBorders>
              <w:top w:val="single" w:color="000000" w:sz="4" w:space="0"/>
              <w:left w:val="single" w:color="000000" w:sz="4" w:space="0"/>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完全可能预料</w:t>
            </w:r>
          </w:p>
        </w:tc>
        <w:tc>
          <w:tcPr>
            <w:tcW w:w="129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w:t>
            </w:r>
          </w:p>
        </w:tc>
        <w:tc>
          <w:tcPr>
            <w:tcW w:w="1509"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连续暴露</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100</w:t>
            </w:r>
          </w:p>
        </w:tc>
        <w:tc>
          <w:tcPr>
            <w:tcW w:w="230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大灾难，许多人死亡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92" w:hRule="atLeast"/>
        </w:trPr>
        <w:tc>
          <w:tcPr>
            <w:tcW w:w="1293" w:type="dxa"/>
            <w:tcBorders>
              <w:top w:val="single" w:color="000000" w:sz="4" w:space="0"/>
              <w:left w:val="single" w:color="000000" w:sz="4" w:space="0"/>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6</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相当可能</w:t>
            </w:r>
          </w:p>
        </w:tc>
        <w:tc>
          <w:tcPr>
            <w:tcW w:w="129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6</w:t>
            </w:r>
          </w:p>
        </w:tc>
        <w:tc>
          <w:tcPr>
            <w:tcW w:w="1509"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每天工作时间暴露</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40</w:t>
            </w:r>
          </w:p>
        </w:tc>
        <w:tc>
          <w:tcPr>
            <w:tcW w:w="230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灾难，数人死亡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4" w:hRule="atLeast"/>
        </w:trPr>
        <w:tc>
          <w:tcPr>
            <w:tcW w:w="1293" w:type="dxa"/>
            <w:tcBorders>
              <w:top w:val="single" w:color="000000" w:sz="4" w:space="0"/>
              <w:left w:val="single" w:color="000000" w:sz="4" w:space="0"/>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可能，但不经常</w:t>
            </w:r>
          </w:p>
        </w:tc>
        <w:tc>
          <w:tcPr>
            <w:tcW w:w="129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c>
          <w:tcPr>
            <w:tcW w:w="1509"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每周1次</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15</w:t>
            </w:r>
          </w:p>
        </w:tc>
        <w:tc>
          <w:tcPr>
            <w:tcW w:w="230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非常严重，1人死亡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6" w:hRule="atLeast"/>
        </w:trPr>
        <w:tc>
          <w:tcPr>
            <w:tcW w:w="1293" w:type="dxa"/>
            <w:tcBorders>
              <w:top w:val="single" w:color="000000" w:sz="4" w:space="0"/>
              <w:left w:val="single" w:color="000000" w:sz="4" w:space="0"/>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可能性小，完全意外</w:t>
            </w:r>
          </w:p>
        </w:tc>
        <w:tc>
          <w:tcPr>
            <w:tcW w:w="129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w:t>
            </w:r>
          </w:p>
        </w:tc>
        <w:tc>
          <w:tcPr>
            <w:tcW w:w="1509"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每月1次</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7</w:t>
            </w:r>
          </w:p>
        </w:tc>
        <w:tc>
          <w:tcPr>
            <w:tcW w:w="230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严重，重伤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6" w:hRule="atLeast"/>
        </w:trPr>
        <w:tc>
          <w:tcPr>
            <w:tcW w:w="1293" w:type="dxa"/>
            <w:tcBorders>
              <w:top w:val="single" w:color="000000" w:sz="4" w:space="0"/>
              <w:left w:val="single" w:color="000000" w:sz="4" w:space="0"/>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0.5</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很不可能，可以设想</w:t>
            </w:r>
          </w:p>
        </w:tc>
        <w:tc>
          <w:tcPr>
            <w:tcW w:w="129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w:t>
            </w:r>
          </w:p>
        </w:tc>
        <w:tc>
          <w:tcPr>
            <w:tcW w:w="1509"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每年几次</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c>
          <w:tcPr>
            <w:tcW w:w="230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重大，致残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6" w:hRule="atLeast"/>
        </w:trPr>
        <w:tc>
          <w:tcPr>
            <w:tcW w:w="1293" w:type="dxa"/>
            <w:tcBorders>
              <w:top w:val="single" w:color="000000" w:sz="4" w:space="0"/>
              <w:left w:val="single" w:color="000000" w:sz="4" w:space="0"/>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0.2</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极不可能</w:t>
            </w:r>
          </w:p>
        </w:tc>
        <w:tc>
          <w:tcPr>
            <w:tcW w:w="129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0.5</w:t>
            </w:r>
          </w:p>
        </w:tc>
        <w:tc>
          <w:tcPr>
            <w:tcW w:w="1509"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非常罕见</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w:t>
            </w:r>
          </w:p>
        </w:tc>
        <w:tc>
          <w:tcPr>
            <w:tcW w:w="230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引人注目，需要救护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2" w:hRule="atLeast"/>
        </w:trPr>
        <w:tc>
          <w:tcPr>
            <w:tcW w:w="1293" w:type="dxa"/>
            <w:tcBorders>
              <w:top w:val="single" w:color="000000" w:sz="4" w:space="0"/>
              <w:left w:val="single" w:color="000000" w:sz="4" w:space="0"/>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0.1</w:t>
            </w: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实际不可能</w:t>
            </w:r>
          </w:p>
        </w:tc>
        <w:tc>
          <w:tcPr>
            <w:tcW w:w="129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p>
        </w:tc>
        <w:tc>
          <w:tcPr>
            <w:tcW w:w="1509"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p>
        </w:tc>
        <w:tc>
          <w:tcPr>
            <w:tcW w:w="1294"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p>
        </w:tc>
        <w:tc>
          <w:tcPr>
            <w:tcW w:w="2303" w:type="dxa"/>
            <w:tcBorders>
              <w:top w:val="single" w:color="000000" w:sz="4" w:space="0"/>
              <w:left w:val="nil"/>
              <w:bottom w:val="single" w:color="000000" w:sz="4" w:space="0"/>
              <w:right w:val="single" w:color="000000" w:sz="4" w:space="0"/>
            </w:tcBorders>
            <w:vAlign w:val="center"/>
          </w:tcPr>
          <w:p>
            <w:pPr>
              <w:snapToGrid w:val="0"/>
              <w:spacing w:line="300" w:lineRule="exact"/>
              <w:ind w:firstLine="0" w:firstLineChars="0"/>
              <w:jc w:val="center"/>
              <w:rPr>
                <w:rFonts w:ascii="仿宋" w:hAnsi="仿宋" w:eastAsia="仿宋" w:cs="仿宋_GB2312"/>
                <w:color w:val="000000" w:themeColor="text1"/>
                <w:sz w:val="21"/>
                <w:szCs w:val="21"/>
                <w14:textFill>
                  <w14:solidFill>
                    <w14:schemeClr w14:val="tx1"/>
                  </w14:solidFill>
                </w14:textFill>
              </w:rPr>
            </w:pPr>
          </w:p>
        </w:tc>
      </w:tr>
    </w:tbl>
    <w:p>
      <w:pPr>
        <w:pStyle w:val="13"/>
        <w:ind w:firstLine="600"/>
        <w:rPr>
          <w:color w:val="FF0000"/>
        </w:rPr>
        <w:sectPr>
          <w:headerReference r:id="rId5" w:type="default"/>
          <w:footerReference r:id="rId6" w:type="default"/>
          <w:pgSz w:w="11906" w:h="16838"/>
          <w:pgMar w:top="1440" w:right="1871" w:bottom="1440" w:left="1800" w:header="851" w:footer="992" w:gutter="0"/>
          <w:pgNumType w:start="1"/>
          <w:cols w:space="720" w:num="1"/>
          <w:docGrid w:type="lines" w:linePitch="312" w:charSpace="0"/>
        </w:sectPr>
      </w:pPr>
    </w:p>
    <w:p>
      <w:pPr>
        <w:ind w:firstLine="0" w:firstLineChars="0"/>
        <w:jc w:val="center"/>
      </w:pPr>
      <w:r>
        <w:rPr>
          <w:rFonts w:hint="eastAsia" w:ascii="宋体" w:hAnsi="宋体"/>
          <w:b/>
          <w:bCs/>
          <w:sz w:val="28"/>
          <w:szCs w:val="28"/>
        </w:rPr>
        <w:t>1303工作面重大风险辨识表</w:t>
      </w:r>
    </w:p>
    <w:tbl>
      <w:tblPr>
        <w:tblStyle w:val="36"/>
        <w:tblpPr w:leftFromText="180" w:rightFromText="180" w:vertAnchor="text" w:horzAnchor="page" w:tblpX="1948" w:tblpY="3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157"/>
        <w:gridCol w:w="2224"/>
        <w:gridCol w:w="825"/>
        <w:gridCol w:w="664"/>
        <w:gridCol w:w="633"/>
        <w:gridCol w:w="643"/>
        <w:gridCol w:w="705"/>
        <w:gridCol w:w="972"/>
        <w:gridCol w:w="3253"/>
        <w:gridCol w:w="834"/>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0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ascii="仿宋" w:hAnsi="仿宋" w:eastAsia="仿宋" w:cs="仿宋"/>
                <w:color w:val="000000"/>
                <w:sz w:val="18"/>
                <w:szCs w:val="18"/>
              </w:rPr>
            </w:pPr>
            <w:r>
              <w:rPr>
                <w:rFonts w:hint="eastAsia" w:ascii="仿宋" w:hAnsi="仿宋" w:eastAsia="仿宋" w:cs="仿宋"/>
                <w:color w:val="000000"/>
                <w:sz w:val="18"/>
                <w:szCs w:val="18"/>
              </w:rPr>
              <w:t>序号</w:t>
            </w:r>
          </w:p>
        </w:tc>
        <w:tc>
          <w:tcPr>
            <w:tcW w:w="115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风险地点</w:t>
            </w:r>
          </w:p>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及项目</w:t>
            </w:r>
          </w:p>
        </w:tc>
        <w:tc>
          <w:tcPr>
            <w:tcW w:w="222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风险描述</w:t>
            </w:r>
          </w:p>
        </w:tc>
        <w:tc>
          <w:tcPr>
            <w:tcW w:w="82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风险类型</w:t>
            </w:r>
          </w:p>
        </w:tc>
        <w:tc>
          <w:tcPr>
            <w:tcW w:w="3617" w:type="dxa"/>
            <w:gridSpan w:val="5"/>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风 险 评 估</w:t>
            </w:r>
          </w:p>
        </w:tc>
        <w:tc>
          <w:tcPr>
            <w:tcW w:w="32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控制措施</w:t>
            </w:r>
          </w:p>
        </w:tc>
        <w:tc>
          <w:tcPr>
            <w:tcW w:w="83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180" w:firstLineChars="100"/>
              <w:jc w:val="center"/>
              <w:rPr>
                <w:rFonts w:ascii="仿宋" w:hAnsi="仿宋" w:eastAsia="仿宋" w:cs="仿宋"/>
                <w:color w:val="000000"/>
                <w:sz w:val="18"/>
                <w:szCs w:val="18"/>
              </w:rPr>
            </w:pPr>
            <w:r>
              <w:rPr>
                <w:rFonts w:hint="eastAsia" w:ascii="仿宋" w:hAnsi="仿宋" w:eastAsia="仿宋" w:cs="仿宋"/>
                <w:color w:val="000000"/>
                <w:sz w:val="18"/>
                <w:szCs w:val="18"/>
              </w:rPr>
              <w:t>管控</w:t>
            </w:r>
          </w:p>
          <w:p>
            <w:pPr>
              <w:snapToGrid w:val="0"/>
              <w:spacing w:line="240" w:lineRule="auto"/>
              <w:ind w:firstLine="0" w:firstLineChars="0"/>
              <w:rPr>
                <w:rFonts w:ascii="仿宋" w:hAnsi="仿宋" w:eastAsia="仿宋" w:cs="仿宋"/>
                <w:color w:val="000000"/>
                <w:sz w:val="18"/>
                <w:szCs w:val="18"/>
              </w:rPr>
            </w:pPr>
            <w:r>
              <w:rPr>
                <w:rFonts w:hint="eastAsia" w:ascii="仿宋" w:hAnsi="仿宋" w:eastAsia="仿宋" w:cs="仿宋"/>
                <w:color w:val="000000"/>
                <w:sz w:val="18"/>
                <w:szCs w:val="18"/>
              </w:rPr>
              <w:t>负责人</w:t>
            </w:r>
          </w:p>
        </w:tc>
        <w:tc>
          <w:tcPr>
            <w:tcW w:w="90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分管责任人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p>
        </w:tc>
        <w:tc>
          <w:tcPr>
            <w:tcW w:w="1157"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p>
        </w:tc>
        <w:tc>
          <w:tcPr>
            <w:tcW w:w="222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p>
        </w:tc>
        <w:tc>
          <w:tcPr>
            <w:tcW w:w="825"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p>
        </w:tc>
        <w:tc>
          <w:tcPr>
            <w:tcW w:w="66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可能</w:t>
            </w:r>
          </w:p>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性L</w:t>
            </w:r>
          </w:p>
        </w:tc>
        <w:tc>
          <w:tcPr>
            <w:tcW w:w="63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暴露</w:t>
            </w:r>
          </w:p>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率E</w:t>
            </w:r>
          </w:p>
        </w:tc>
        <w:tc>
          <w:tcPr>
            <w:tcW w:w="64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后果</w:t>
            </w:r>
          </w:p>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C</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风险</w:t>
            </w:r>
          </w:p>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值D</w:t>
            </w:r>
          </w:p>
        </w:tc>
        <w:tc>
          <w:tcPr>
            <w:tcW w:w="97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风险</w:t>
            </w:r>
          </w:p>
          <w:p>
            <w:pPr>
              <w:snapToGrid w:val="0"/>
              <w:spacing w:line="240" w:lineRule="auto"/>
              <w:ind w:firstLine="0" w:firstLineChars="0"/>
              <w:jc w:val="center"/>
              <w:rPr>
                <w:rFonts w:ascii="仿宋" w:hAnsi="仿宋" w:eastAsia="仿宋" w:cs="仿宋"/>
                <w:color w:val="000000"/>
                <w:sz w:val="18"/>
                <w:szCs w:val="18"/>
              </w:rPr>
            </w:pPr>
            <w:r>
              <w:rPr>
                <w:rFonts w:hint="eastAsia" w:ascii="仿宋" w:hAnsi="仿宋" w:eastAsia="仿宋" w:cs="仿宋"/>
                <w:color w:val="000000"/>
                <w:sz w:val="18"/>
                <w:szCs w:val="18"/>
              </w:rPr>
              <w:t>等级</w:t>
            </w:r>
          </w:p>
        </w:tc>
        <w:tc>
          <w:tcPr>
            <w:tcW w:w="3253" w:type="dxa"/>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p>
        </w:tc>
        <w:tc>
          <w:tcPr>
            <w:tcW w:w="834" w:type="dxa"/>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p>
        </w:tc>
        <w:tc>
          <w:tcPr>
            <w:tcW w:w="906" w:type="dxa"/>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left"/>
              <w:rPr>
                <w:rFonts w:ascii="仿宋" w:hAnsi="仿宋" w:eastAsia="仿宋" w:cs="仿宋"/>
                <w:color w:val="000000"/>
                <w:sz w:val="18"/>
                <w:szCs w:val="18"/>
              </w:rPr>
            </w:pPr>
            <w:r>
              <w:rPr>
                <w:rFonts w:hint="eastAsia" w:ascii="仿宋" w:hAnsi="仿宋" w:eastAsia="仿宋" w:cs="仿宋"/>
                <w:color w:val="000000"/>
                <w:sz w:val="18"/>
                <w:szCs w:val="18"/>
              </w:rPr>
              <w:t>1</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left"/>
              <w:rPr>
                <w:rFonts w:ascii="仿宋" w:hAnsi="仿宋" w:eastAsia="仿宋" w:cs="仿宋"/>
                <w:color w:val="000000"/>
                <w:sz w:val="18"/>
                <w:szCs w:val="18"/>
              </w:rPr>
            </w:pPr>
            <w:r>
              <w:rPr>
                <w:rFonts w:hint="eastAsia" w:ascii="仿宋" w:hAnsi="仿宋" w:eastAsia="仿宋" w:cs="仿宋"/>
                <w:color w:val="000000"/>
                <w:sz w:val="18"/>
                <w:szCs w:val="18"/>
              </w:rPr>
              <w:t>1303工作面</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1303工作面初采、正常回采期间，采空区不能及时垮落，采空区漏风较大；切眼断面大，受矿压影响顶煤易压裂破碎；初采推进速度一般相对较慢，松散煤体及采空区遗煤氧化升温时间长，有自然发火隐患。</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自然发火</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3</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jc w:val="center"/>
              <w:rPr>
                <w:rFonts w:ascii="仿宋" w:hAnsi="仿宋" w:eastAsia="仿宋" w:cs="仿宋"/>
                <w:sz w:val="20"/>
                <w:szCs w:val="20"/>
              </w:rPr>
            </w:pPr>
            <w:r>
              <w:rPr>
                <w:rFonts w:hint="eastAsia" w:ascii="仿宋" w:hAnsi="仿宋" w:eastAsia="仿宋" w:cs="仿宋"/>
                <w:sz w:val="20"/>
                <w:szCs w:val="20"/>
              </w:rPr>
              <w:t>40</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eastAsia="仿宋" w:cs="仿宋"/>
                <w:sz w:val="20"/>
                <w:szCs w:val="20"/>
              </w:rPr>
            </w:pPr>
            <w:r>
              <w:rPr>
                <w:rFonts w:hint="eastAsia" w:ascii="仿宋" w:hAnsi="仿宋" w:eastAsia="仿宋" w:cs="仿宋"/>
                <w:sz w:val="20"/>
                <w:szCs w:val="20"/>
              </w:rPr>
              <w:t>720</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重大风险</w:t>
            </w:r>
          </w:p>
        </w:tc>
        <w:tc>
          <w:tcPr>
            <w:tcW w:w="32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1.保证推进度。每日不低于1.73m，工作面回采推进度小于1.73m/d时，对采空区进行预防性灌浆。</w:t>
            </w:r>
          </w:p>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2.黄泥灌浆。机巷布置一趟Ф108mm灌浆管路，出口布置在30-60m范围内。正常回采期间，对采空区进行预防性灌浆，灌浆周期间隔不超过15天。</w:t>
            </w:r>
          </w:p>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3.机巷注氮。机巷注氮管路出口距工作面进风隅角30-60m范围内。正常回采期间，采用间断性注氮，注氮周期每月不少于4次。</w:t>
            </w:r>
          </w:p>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4.端头封堵。正常回采期间，每圆班在进、回风隅角分别垛袋堵漏并挂风障,周期来压期间垛袋墙外喷涂克斯达无机防灭火材料，减少采空区漏风。</w:t>
            </w:r>
          </w:p>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5.液态CO2。正常回采期间，当工作面采空区及回风温度、CO有异常上升趋势时，利用预埋的机、风巷防火管路适时灌注液态CO2，防止采空区出现自然发火隐患。</w:t>
            </w:r>
          </w:p>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6.预测预报。每班对隅角、架间及回风流检测CO、CH4、温度等参数，发现异常时，两侧附近10m范围内每架检查，每天对上隅角、架间（人工检测CO浓度较大地点）采样一次，利用色谱分析其气体成份；利用机、风巷预埋的采空区束管，每天采气样进行分析；上隅角、回风流传感器按规定吊挂、调校，确保监控有效； </w:t>
            </w:r>
          </w:p>
          <w:p>
            <w:pPr>
              <w:snapToGrid w:val="0"/>
              <w:spacing w:line="240" w:lineRule="auto"/>
              <w:ind w:firstLine="0" w:firstLineChars="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7.开展员工专项培训，使员工熟知避灾路线及自燃发火征兆，提高应急避灾、救灾能力。</w:t>
            </w:r>
          </w:p>
        </w:tc>
        <w:tc>
          <w:tcPr>
            <w:tcW w:w="8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180" w:firstLineChars="100"/>
              <w:textAlignment w:val="baseline"/>
              <w:rPr>
                <w:rFonts w:ascii="仿宋" w:hAnsi="仿宋" w:eastAsia="仿宋" w:cs="仿宋"/>
                <w:color w:val="000000"/>
                <w:sz w:val="18"/>
                <w:szCs w:val="18"/>
              </w:rPr>
            </w:pPr>
            <w:r>
              <w:rPr>
                <w:rFonts w:hint="eastAsia" w:ascii="仿宋" w:hAnsi="仿宋" w:eastAsia="仿宋" w:cs="仿宋"/>
                <w:color w:val="000000"/>
                <w:sz w:val="18"/>
                <w:szCs w:val="18"/>
              </w:rPr>
              <w:t>纵峰</w:t>
            </w:r>
          </w:p>
        </w:tc>
        <w:tc>
          <w:tcPr>
            <w:tcW w:w="9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赵振中</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秦庆举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left"/>
              <w:rPr>
                <w:rFonts w:ascii="仿宋" w:hAnsi="仿宋" w:eastAsia="仿宋" w:cs="仿宋"/>
                <w:color w:val="000000"/>
                <w:sz w:val="18"/>
                <w:szCs w:val="18"/>
              </w:rPr>
            </w:pPr>
            <w:r>
              <w:rPr>
                <w:rFonts w:hint="eastAsia" w:ascii="仿宋" w:hAnsi="仿宋" w:eastAsia="仿宋" w:cs="仿宋"/>
                <w:color w:val="000000"/>
                <w:sz w:val="18"/>
                <w:szCs w:val="18"/>
              </w:rPr>
              <w:t>2</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left"/>
              <w:rPr>
                <w:rFonts w:ascii="仿宋" w:hAnsi="仿宋" w:eastAsia="仿宋" w:cs="仿宋"/>
                <w:color w:val="000000"/>
                <w:sz w:val="18"/>
                <w:szCs w:val="18"/>
              </w:rPr>
            </w:pPr>
            <w:r>
              <w:rPr>
                <w:rFonts w:hint="eastAsia" w:ascii="仿宋" w:hAnsi="仿宋" w:eastAsia="仿宋" w:cs="仿宋"/>
                <w:color w:val="000000"/>
                <w:sz w:val="18"/>
                <w:szCs w:val="18"/>
              </w:rPr>
              <w:t>1303工作面</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1303工作面回采期间，采空区顶板垮落，瓦斯涌出量较大，可能导致工作面瓦斯超限。</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瓦斯</w:t>
            </w:r>
          </w:p>
          <w:p>
            <w:pPr>
              <w:snapToGrid w:val="0"/>
              <w:spacing w:line="240" w:lineRule="auto"/>
              <w:ind w:firstLine="0" w:firstLineChars="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超限</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3</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jc w:val="center"/>
              <w:rPr>
                <w:rFonts w:ascii="仿宋" w:hAnsi="仿宋" w:eastAsia="仿宋" w:cs="仿宋"/>
                <w:sz w:val="20"/>
                <w:szCs w:val="20"/>
              </w:rPr>
            </w:pPr>
            <w:r>
              <w:rPr>
                <w:rFonts w:hint="eastAsia" w:ascii="仿宋" w:hAnsi="仿宋" w:eastAsia="仿宋" w:cs="仿宋"/>
                <w:sz w:val="20"/>
                <w:szCs w:val="20"/>
              </w:rPr>
              <w:t>40</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eastAsia="仿宋" w:cs="仿宋"/>
                <w:sz w:val="20"/>
                <w:szCs w:val="20"/>
              </w:rPr>
            </w:pPr>
            <w:r>
              <w:rPr>
                <w:rFonts w:hint="eastAsia" w:ascii="仿宋" w:hAnsi="仿宋" w:eastAsia="仿宋" w:cs="仿宋"/>
                <w:sz w:val="20"/>
                <w:szCs w:val="20"/>
              </w:rPr>
              <w:t>720</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重大风险</w:t>
            </w:r>
          </w:p>
        </w:tc>
        <w:tc>
          <w:tcPr>
            <w:tcW w:w="32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1.严格执行瓦斯专项治理安全技术措施。保证工作面进风大于最小需风量1583m³/min，匀速割煤，根据瓦斯涌出情况，合理调配风量；</w:t>
            </w:r>
          </w:p>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2.加强端头堵漏，减少漏风；</w:t>
            </w:r>
          </w:p>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3.瓦斯抽采。利用1303机、风巷高位钻孔、1303风巷采空区埋管抽采采空区瓦斯；                            4.开展员工专项培训，使员工熟知避灾路线及瓦斯超限征兆，提高应急避灾、救灾能力，每周六进行安全学习培训；</w:t>
            </w:r>
          </w:p>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5.瓦斯检查员加强日常巡查工作面架间瓦斯检查。回风隅角、回风流每班检查三遍，工作面架间每班检查一遍，保证数据真实准确，发现异常及时汇报；传感器的安装符合要求；发现瓦斯浓度异常现象，及时处理、汇报；</w:t>
            </w:r>
          </w:p>
          <w:p>
            <w:pPr>
              <w:snapToGrid w:val="0"/>
              <w:spacing w:line="240" w:lineRule="auto"/>
              <w:ind w:firstLine="0" w:firstLineChars="0"/>
              <w:jc w:val="left"/>
              <w:rPr>
                <w:rFonts w:hint="eastAsia" w:ascii="仿宋" w:hAnsi="仿宋" w:eastAsia="仿宋" w:cs="仿宋"/>
                <w:color w:val="000000"/>
                <w:sz w:val="18"/>
                <w:szCs w:val="18"/>
              </w:rPr>
            </w:pPr>
            <w:r>
              <w:rPr>
                <w:rFonts w:hint="eastAsia" w:ascii="仿宋" w:hAnsi="仿宋" w:eastAsia="仿宋" w:cs="仿宋"/>
                <w:color w:val="000000"/>
                <w:sz w:val="18"/>
                <w:szCs w:val="18"/>
              </w:rPr>
              <w:t>6.加强瓦斯传感器、监测线的检修，确保正常运行；</w:t>
            </w:r>
          </w:p>
          <w:p>
            <w:pPr>
              <w:snapToGrid w:val="0"/>
              <w:spacing w:line="240" w:lineRule="auto"/>
              <w:ind w:firstLine="0" w:firstLineChars="0"/>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7.工作面过断层等地质构造时，加强瓦斯检查，严格按照过断层措施要求施工。</w:t>
            </w:r>
          </w:p>
        </w:tc>
        <w:tc>
          <w:tcPr>
            <w:tcW w:w="8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180" w:firstLineChars="100"/>
              <w:textAlignment w:val="baseline"/>
              <w:rPr>
                <w:rFonts w:ascii="仿宋" w:hAnsi="仿宋" w:eastAsia="仿宋" w:cs="仿宋"/>
                <w:color w:val="000000"/>
                <w:sz w:val="18"/>
                <w:szCs w:val="18"/>
              </w:rPr>
            </w:pPr>
            <w:r>
              <w:rPr>
                <w:rFonts w:hint="eastAsia" w:ascii="仿宋" w:hAnsi="仿宋" w:eastAsia="仿宋" w:cs="仿宋"/>
                <w:color w:val="000000"/>
                <w:sz w:val="18"/>
                <w:szCs w:val="18"/>
              </w:rPr>
              <w:t>纵峰</w:t>
            </w:r>
          </w:p>
        </w:tc>
        <w:tc>
          <w:tcPr>
            <w:tcW w:w="9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赵振中</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秦庆举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eastAsia="宋体"/>
                <w:sz w:val="20"/>
                <w:szCs w:val="20"/>
              </w:rPr>
            </w:pPr>
            <w:r>
              <w:rPr>
                <w:rFonts w:hint="eastAsia" w:eastAsia="宋体"/>
                <w:sz w:val="20"/>
                <w:szCs w:val="20"/>
              </w:rPr>
              <w:t>3</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z w:val="20"/>
                <w:szCs w:val="20"/>
              </w:rPr>
            </w:pPr>
            <w:r>
              <w:rPr>
                <w:rFonts w:hint="eastAsia" w:ascii="仿宋" w:hAnsi="仿宋" w:eastAsia="仿宋" w:cs="仿宋"/>
                <w:color w:val="000000"/>
                <w:sz w:val="18"/>
                <w:szCs w:val="18"/>
              </w:rPr>
              <w:t>1303工作面</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eastAsia="宋体"/>
                <w:sz w:val="20"/>
                <w:szCs w:val="20"/>
              </w:rPr>
            </w:pPr>
            <w:r>
              <w:rPr>
                <w:rFonts w:hint="eastAsia" w:ascii="仿宋" w:hAnsi="仿宋" w:eastAsia="仿宋" w:cs="仿宋"/>
                <w:color w:val="000000"/>
                <w:sz w:val="18"/>
                <w:szCs w:val="18"/>
              </w:rPr>
              <w:t>1303工作面回采后，上覆岩层中会产生离层空间积水，在水量增大、矿压变化等综合影响下，离层水有溃入工作面的风险，预计离层水灾变最大突水量420m³/h。</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仿宋" w:hAnsi="仿宋" w:eastAsia="仿宋" w:cs="仿宋"/>
                <w:sz w:val="20"/>
                <w:szCs w:val="20"/>
              </w:rPr>
            </w:pPr>
            <w:r>
              <w:rPr>
                <w:rFonts w:hint="eastAsia" w:ascii="仿宋" w:hAnsi="仿宋" w:eastAsia="仿宋" w:cs="仿宋"/>
                <w:sz w:val="20"/>
                <w:szCs w:val="20"/>
              </w:rPr>
              <w:t>水害</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3</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jc w:val="center"/>
              <w:rPr>
                <w:rFonts w:ascii="仿宋" w:hAnsi="仿宋" w:eastAsia="仿宋" w:cs="仿宋"/>
                <w:sz w:val="20"/>
                <w:szCs w:val="20"/>
              </w:rPr>
            </w:pPr>
            <w:r>
              <w:rPr>
                <w:rFonts w:hint="eastAsia" w:ascii="仿宋" w:hAnsi="仿宋" w:eastAsia="仿宋" w:cs="仿宋"/>
                <w:sz w:val="20"/>
                <w:szCs w:val="20"/>
              </w:rPr>
              <w:t>40</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eastAsia="仿宋" w:cs="仿宋"/>
                <w:sz w:val="20"/>
                <w:szCs w:val="20"/>
              </w:rPr>
            </w:pPr>
            <w:r>
              <w:rPr>
                <w:rFonts w:hint="eastAsia" w:ascii="仿宋" w:hAnsi="仿宋" w:eastAsia="仿宋" w:cs="仿宋"/>
                <w:sz w:val="20"/>
                <w:szCs w:val="20"/>
              </w:rPr>
              <w:t>720</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重大风险</w:t>
            </w:r>
          </w:p>
        </w:tc>
        <w:tc>
          <w:tcPr>
            <w:tcW w:w="325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hint="eastAsia" w:ascii="仿宋" w:hAnsi="仿宋" w:eastAsia="仿宋" w:cs="仿宋"/>
                <w:color w:val="000000"/>
                <w:sz w:val="18"/>
                <w:szCs w:val="18"/>
              </w:rPr>
            </w:pPr>
            <w:r>
              <w:rPr>
                <w:rFonts w:hint="eastAsia" w:ascii="仿宋" w:hAnsi="仿宋" w:eastAsia="仿宋" w:cs="仿宋"/>
                <w:color w:val="000000"/>
                <w:sz w:val="18"/>
                <w:szCs w:val="18"/>
              </w:rPr>
              <w:t>1.为防止1303工作面回采期间顶板离层水害溃入工作面，1303工作面地面1307-SP2孔保持抽水，施工地面抽排水钻孔1303-CP1孔，对1303工作面上覆岩层离层空间积水进行抽排和疏放，保证工作面安全回采；</w:t>
            </w:r>
          </w:p>
          <w:p>
            <w:pPr>
              <w:spacing w:line="280" w:lineRule="exact"/>
              <w:ind w:firstLine="0" w:firstLineChars="0"/>
              <w:rPr>
                <w:rFonts w:hint="eastAsia" w:ascii="仿宋" w:hAnsi="仿宋" w:eastAsia="仿宋" w:cs="仿宋"/>
                <w:color w:val="000000"/>
                <w:sz w:val="18"/>
                <w:szCs w:val="18"/>
              </w:rPr>
            </w:pPr>
            <w:r>
              <w:rPr>
                <w:rFonts w:hint="eastAsia" w:ascii="仿宋" w:hAnsi="仿宋" w:eastAsia="仿宋" w:cs="仿宋"/>
                <w:color w:val="000000"/>
                <w:sz w:val="18"/>
                <w:szCs w:val="18"/>
              </w:rPr>
              <w:t>2.继续加强水文孔和抽排水孔水位、微震变化、矿压显现、淋水、瓦斯涌出等涌水征兆的日分析，并做好预测预警工作；</w:t>
            </w:r>
          </w:p>
          <w:p>
            <w:pPr>
              <w:spacing w:line="280" w:lineRule="exact"/>
              <w:ind w:firstLine="0" w:firstLineChars="0"/>
              <w:rPr>
                <w:rFonts w:hint="eastAsia" w:ascii="仿宋" w:hAnsi="仿宋" w:eastAsia="仿宋" w:cs="仿宋"/>
                <w:color w:val="000000"/>
                <w:sz w:val="18"/>
                <w:szCs w:val="18"/>
              </w:rPr>
            </w:pPr>
            <w:r>
              <w:rPr>
                <w:rFonts w:hint="eastAsia" w:ascii="仿宋" w:hAnsi="仿宋" w:eastAsia="仿宋" w:cs="仿宋"/>
                <w:color w:val="000000"/>
                <w:sz w:val="18"/>
                <w:szCs w:val="18"/>
              </w:rPr>
              <w:t>3.1303工作面利用水沟自流排水，及时清理两巷水沟、沉淀池和水仓淤煤，定期检修机巷水仓内水泵，确保机、风巷排水通畅；</w:t>
            </w:r>
          </w:p>
          <w:p>
            <w:pPr>
              <w:spacing w:line="280" w:lineRule="exact"/>
              <w:ind w:firstLine="0" w:firstLineChars="0"/>
              <w:rPr>
                <w:rFonts w:hint="eastAsia" w:ascii="仿宋" w:hAnsi="仿宋" w:eastAsia="仿宋" w:cs="仿宋"/>
                <w:color w:val="000000"/>
                <w:sz w:val="18"/>
                <w:szCs w:val="18"/>
              </w:rPr>
            </w:pPr>
            <w:r>
              <w:rPr>
                <w:rFonts w:hint="eastAsia" w:ascii="仿宋" w:hAnsi="仿宋" w:eastAsia="仿宋" w:cs="仿宋"/>
                <w:color w:val="000000"/>
                <w:sz w:val="18"/>
                <w:szCs w:val="18"/>
              </w:rPr>
              <w:t>4.结合地面三维地震、井下物探、钻探等资料，3月份1303工作面机头段揭露CF6断层，断层落差0-3m；在构造发育和顶煤较厚区段等位置，坚持限高开采或只采不放。</w:t>
            </w:r>
          </w:p>
          <w:p>
            <w:pPr>
              <w:spacing w:line="280" w:lineRule="exact"/>
              <w:ind w:firstLine="0" w:firstLineChars="0"/>
              <w:rPr>
                <w:rFonts w:hint="eastAsia" w:ascii="仿宋" w:hAnsi="仿宋" w:eastAsia="仿宋" w:cs="仿宋"/>
                <w:color w:val="000000"/>
                <w:sz w:val="18"/>
                <w:szCs w:val="18"/>
              </w:rPr>
            </w:pPr>
            <w:r>
              <w:rPr>
                <w:rFonts w:hint="eastAsia" w:ascii="仿宋" w:hAnsi="仿宋" w:eastAsia="仿宋" w:cs="仿宋"/>
                <w:color w:val="000000"/>
                <w:sz w:val="18"/>
                <w:szCs w:val="18"/>
              </w:rPr>
              <w:t>5.继续开展工作面关键层超前深孔预裂爆破工作，降低裂隙发育高度和矿压显现强度；</w:t>
            </w:r>
          </w:p>
          <w:p>
            <w:pPr>
              <w:spacing w:line="280" w:lineRule="exact"/>
              <w:ind w:firstLine="0" w:firstLineChars="0"/>
              <w:rPr>
                <w:rFonts w:hint="eastAsia" w:ascii="仿宋" w:hAnsi="仿宋" w:eastAsia="仿宋" w:cs="仿宋"/>
                <w:color w:val="000000"/>
                <w:sz w:val="18"/>
                <w:szCs w:val="18"/>
              </w:rPr>
            </w:pPr>
            <w:r>
              <w:rPr>
                <w:rFonts w:hint="eastAsia" w:ascii="仿宋" w:hAnsi="仿宋" w:eastAsia="仿宋" w:cs="仿宋"/>
                <w:color w:val="000000"/>
                <w:sz w:val="18"/>
                <w:szCs w:val="18"/>
              </w:rPr>
              <w:t>6.结合地面三维地震、井下物探、钻探等资料做好全面综合分析，利用分析成果按时下发水文地质预测预报并做好工作面水情研判工作；</w:t>
            </w:r>
          </w:p>
          <w:p>
            <w:pPr>
              <w:spacing w:line="280" w:lineRule="exact"/>
              <w:ind w:firstLine="0" w:firstLineChars="0"/>
              <w:rPr>
                <w:rFonts w:hint="eastAsia" w:ascii="仿宋" w:hAnsi="仿宋" w:eastAsia="仿宋" w:cs="仿宋"/>
                <w:color w:val="000000"/>
                <w:sz w:val="18"/>
                <w:szCs w:val="18"/>
              </w:rPr>
            </w:pPr>
            <w:r>
              <w:rPr>
                <w:rFonts w:hint="eastAsia" w:ascii="仿宋" w:hAnsi="仿宋" w:eastAsia="仿宋" w:cs="仿宋"/>
                <w:color w:val="000000"/>
                <w:sz w:val="18"/>
                <w:szCs w:val="18"/>
              </w:rPr>
              <w:t>7.3月份工作面回采期间，强化工作面现场管理，保证支架初撑力（不小于24MPa）与架型，工作面匀速推进均衡放煤，避免停采滞采；</w:t>
            </w:r>
          </w:p>
          <w:p>
            <w:pPr>
              <w:spacing w:line="280" w:lineRule="exact"/>
              <w:ind w:firstLine="0" w:firstLineChars="0"/>
            </w:pPr>
            <w:r>
              <w:rPr>
                <w:rFonts w:hint="eastAsia" w:ascii="仿宋" w:hAnsi="仿宋" w:eastAsia="仿宋" w:cs="仿宋"/>
                <w:color w:val="000000"/>
                <w:sz w:val="18"/>
                <w:szCs w:val="18"/>
              </w:rPr>
              <w:t>8.加强员工培训学习，贯彻落实《招贤矿业公司1303工作面水灾应急预案及现场处置方案》内容，如发现突水征兆，立即按照预案内容进行撤人处置。</w:t>
            </w:r>
          </w:p>
        </w:tc>
        <w:tc>
          <w:tcPr>
            <w:tcW w:w="8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180" w:firstLineChars="100"/>
              <w:textAlignment w:val="baseline"/>
              <w:rPr>
                <w:rFonts w:ascii="仿宋" w:hAnsi="仿宋" w:eastAsia="仿宋" w:cs="仿宋"/>
                <w:color w:val="000000"/>
                <w:sz w:val="18"/>
                <w:szCs w:val="18"/>
              </w:rPr>
            </w:pPr>
            <w:r>
              <w:rPr>
                <w:rFonts w:hint="eastAsia" w:ascii="仿宋" w:hAnsi="仿宋" w:eastAsia="仿宋" w:cs="仿宋"/>
                <w:color w:val="000000"/>
                <w:sz w:val="18"/>
                <w:szCs w:val="18"/>
              </w:rPr>
              <w:t>纵峰</w:t>
            </w:r>
          </w:p>
        </w:tc>
        <w:tc>
          <w:tcPr>
            <w:tcW w:w="9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赵振中</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秦庆举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eastAsia="宋体"/>
                <w:sz w:val="20"/>
                <w:szCs w:val="20"/>
              </w:rPr>
            </w:pPr>
            <w:r>
              <w:rPr>
                <w:rFonts w:hint="eastAsia" w:eastAsia="宋体"/>
                <w:sz w:val="20"/>
                <w:szCs w:val="20"/>
              </w:rPr>
              <w:t>4</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z w:val="20"/>
                <w:szCs w:val="20"/>
              </w:rPr>
            </w:pPr>
            <w:r>
              <w:rPr>
                <w:rFonts w:hint="eastAsia" w:ascii="仿宋" w:hAnsi="仿宋" w:eastAsia="仿宋" w:cs="仿宋"/>
                <w:color w:val="000000"/>
                <w:sz w:val="18"/>
                <w:szCs w:val="18"/>
              </w:rPr>
              <w:t>1303工作面</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360"/>
              <w:jc w:val="left"/>
              <w:rPr>
                <w:rFonts w:eastAsia="宋体"/>
                <w:sz w:val="20"/>
                <w:szCs w:val="20"/>
              </w:rPr>
            </w:pPr>
            <w:r>
              <w:rPr>
                <w:rFonts w:hint="eastAsia" w:ascii="仿宋" w:hAnsi="仿宋" w:eastAsia="仿宋" w:cs="仿宋"/>
                <w:color w:val="000000"/>
                <w:sz w:val="18"/>
                <w:szCs w:val="18"/>
              </w:rPr>
              <w:t>1303工作面冲击地压危险状态等级Wt= 0.52 ，为中等冲击危险性；共划分强冲击危险区域3处，中等冲击危险区域9处，其余为弱冲击危险区，存在发生冲击地压风险。3月份回采范围机巷为弱和中等冲击危险区域，风巷为中等冲击危险区域。</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仿宋" w:hAnsi="仿宋" w:eastAsia="仿宋" w:cs="仿宋"/>
                <w:sz w:val="20"/>
                <w:szCs w:val="20"/>
              </w:rPr>
            </w:pPr>
            <w:r>
              <w:rPr>
                <w:rFonts w:hint="eastAsia" w:ascii="仿宋" w:hAnsi="仿宋" w:eastAsia="仿宋" w:cs="仿宋"/>
                <w:sz w:val="20"/>
                <w:szCs w:val="20"/>
              </w:rPr>
              <w:t>冲击地压</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3</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jc w:val="center"/>
              <w:rPr>
                <w:rFonts w:ascii="仿宋" w:hAnsi="仿宋" w:eastAsia="仿宋" w:cs="仿宋"/>
                <w:sz w:val="20"/>
                <w:szCs w:val="20"/>
              </w:rPr>
            </w:pPr>
            <w:r>
              <w:rPr>
                <w:rFonts w:hint="eastAsia" w:ascii="仿宋" w:hAnsi="仿宋" w:eastAsia="仿宋" w:cs="仿宋"/>
                <w:sz w:val="20"/>
                <w:szCs w:val="20"/>
              </w:rPr>
              <w:t>40</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eastAsia="仿宋" w:cs="仿宋"/>
                <w:sz w:val="20"/>
                <w:szCs w:val="20"/>
              </w:rPr>
            </w:pPr>
            <w:r>
              <w:rPr>
                <w:rFonts w:hint="eastAsia" w:ascii="仿宋" w:hAnsi="仿宋" w:eastAsia="仿宋" w:cs="仿宋"/>
                <w:sz w:val="20"/>
                <w:szCs w:val="20"/>
              </w:rPr>
              <w:t>720</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重大风险</w:t>
            </w:r>
          </w:p>
        </w:tc>
        <w:tc>
          <w:tcPr>
            <w:tcW w:w="3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textAlignment w:val="baseline"/>
              <w:rPr>
                <w:rFonts w:hint="eastAsia" w:ascii="仿宋" w:hAnsi="仿宋" w:eastAsia="仿宋" w:cs="仿宋"/>
                <w:color w:val="000000"/>
                <w:sz w:val="18"/>
                <w:szCs w:val="18"/>
              </w:rPr>
            </w:pPr>
            <w:r>
              <w:rPr>
                <w:rFonts w:hint="eastAsia" w:ascii="仿宋" w:hAnsi="仿宋" w:eastAsia="仿宋" w:cs="仿宋"/>
                <w:color w:val="000000"/>
                <w:sz w:val="18"/>
                <w:szCs w:val="18"/>
              </w:rPr>
              <w:t>1.结合构造、矿压、回采进度、综合监测等资料做好全面综合分析，利用分析成果按时下发预测预报并做好工作面冲击地压研判工作；</w:t>
            </w:r>
          </w:p>
          <w:p>
            <w:pPr>
              <w:adjustRightInd w:val="0"/>
              <w:snapToGrid w:val="0"/>
              <w:spacing w:line="240" w:lineRule="auto"/>
              <w:ind w:firstLine="0" w:firstLineChars="0"/>
              <w:textAlignment w:val="baseline"/>
              <w:rPr>
                <w:rFonts w:hint="eastAsia" w:ascii="仿宋" w:hAnsi="仿宋" w:eastAsia="仿宋" w:cs="仿宋"/>
                <w:color w:val="000000"/>
                <w:sz w:val="18"/>
                <w:szCs w:val="18"/>
              </w:rPr>
            </w:pPr>
            <w:r>
              <w:rPr>
                <w:rFonts w:hint="eastAsia" w:ascii="仿宋" w:hAnsi="仿宋" w:eastAsia="仿宋" w:cs="仿宋"/>
                <w:color w:val="000000"/>
                <w:sz w:val="18"/>
                <w:szCs w:val="18"/>
              </w:rPr>
              <w:t>2.加强微震、应力在线、地音监测，并做好日分析；</w:t>
            </w:r>
          </w:p>
          <w:p>
            <w:pPr>
              <w:adjustRightInd w:val="0"/>
              <w:snapToGrid w:val="0"/>
              <w:spacing w:line="240" w:lineRule="auto"/>
              <w:ind w:firstLine="0" w:firstLineChars="0"/>
              <w:textAlignment w:val="baseline"/>
              <w:rPr>
                <w:rFonts w:hint="eastAsia" w:ascii="仿宋" w:hAnsi="仿宋" w:eastAsia="仿宋" w:cs="仿宋"/>
                <w:color w:val="000000"/>
                <w:sz w:val="18"/>
                <w:szCs w:val="18"/>
              </w:rPr>
            </w:pPr>
            <w:r>
              <w:rPr>
                <w:rFonts w:hint="eastAsia" w:ascii="仿宋" w:hAnsi="仿宋" w:eastAsia="仿宋" w:cs="仿宋"/>
                <w:color w:val="000000"/>
                <w:sz w:val="18"/>
                <w:szCs w:val="18"/>
              </w:rPr>
              <w:t>3.施工帮部大直径卸压钻孔、顶板预裂爆破钻孔、走向切顶钻孔，确保超前工作面不少于200m；在冲击地压危险区进行解危卸压施工的，应当撤出该区域内与解危卸压施工无关的人员，停止运转与解危卸压施工无关的设备；3月计划施工帮部卸压钻孔279个，顶板预裂爆破钻孔52个，走向切顶钻孔20个，底板卸压钻孔184个；</w:t>
            </w:r>
          </w:p>
          <w:p>
            <w:pPr>
              <w:adjustRightInd w:val="0"/>
              <w:snapToGrid w:val="0"/>
              <w:spacing w:line="240" w:lineRule="auto"/>
              <w:ind w:firstLine="0" w:firstLineChars="0"/>
              <w:textAlignment w:val="baseline"/>
              <w:rPr>
                <w:rFonts w:hint="eastAsia" w:ascii="仿宋" w:hAnsi="仿宋" w:eastAsia="仿宋" w:cs="仿宋"/>
                <w:color w:val="000000"/>
                <w:sz w:val="18"/>
                <w:szCs w:val="18"/>
              </w:rPr>
            </w:pPr>
            <w:r>
              <w:rPr>
                <w:rFonts w:hint="eastAsia" w:ascii="仿宋" w:hAnsi="仿宋" w:eastAsia="仿宋" w:cs="仿宋"/>
                <w:color w:val="000000"/>
                <w:sz w:val="18"/>
                <w:szCs w:val="18"/>
              </w:rPr>
              <w:t>4.按照生产组织通知单要求，保证工作面匀速、连续推进，控制采高；确保工作面支架初撑力达标，两巷超前支护符合规定要求；</w:t>
            </w:r>
          </w:p>
          <w:p>
            <w:pPr>
              <w:adjustRightInd w:val="0"/>
              <w:snapToGrid w:val="0"/>
              <w:spacing w:line="240" w:lineRule="auto"/>
              <w:ind w:firstLine="0" w:firstLineChars="0"/>
              <w:textAlignment w:val="baseline"/>
              <w:rPr>
                <w:rFonts w:hint="eastAsia" w:ascii="仿宋" w:hAnsi="仿宋" w:eastAsia="仿宋" w:cs="仿宋"/>
                <w:color w:val="000000"/>
                <w:sz w:val="18"/>
                <w:szCs w:val="18"/>
              </w:rPr>
            </w:pPr>
            <w:r>
              <w:rPr>
                <w:rFonts w:hint="eastAsia" w:ascii="仿宋" w:hAnsi="仿宋" w:eastAsia="仿宋" w:cs="仿宋"/>
                <w:color w:val="000000"/>
                <w:sz w:val="18"/>
                <w:szCs w:val="18"/>
              </w:rPr>
              <w:t>5.中等及强冲击危险区生产时，临空巷道超前300m必须实行封闭管理，严禁人员进入；</w:t>
            </w:r>
          </w:p>
          <w:p>
            <w:pPr>
              <w:adjustRightInd w:val="0"/>
              <w:snapToGrid w:val="0"/>
              <w:spacing w:line="240" w:lineRule="auto"/>
              <w:ind w:firstLine="0" w:firstLineChars="0"/>
              <w:textAlignment w:val="baseline"/>
              <w:rPr>
                <w:rFonts w:hint="eastAsia" w:ascii="仿宋" w:hAnsi="仿宋" w:eastAsia="仿宋" w:cs="仿宋"/>
                <w:color w:val="000000"/>
                <w:sz w:val="18"/>
                <w:szCs w:val="18"/>
              </w:rPr>
            </w:pPr>
            <w:r>
              <w:rPr>
                <w:rFonts w:hint="eastAsia" w:ascii="仿宋" w:hAnsi="仿宋" w:eastAsia="仿宋" w:cs="仿宋"/>
                <w:color w:val="000000"/>
                <w:sz w:val="18"/>
                <w:szCs w:val="18"/>
              </w:rPr>
              <w:t>6.采动影响区域内严禁巷道维修与回采平行作业、严禁同一区域多点维修，严禁间距小于150m维修；</w:t>
            </w:r>
          </w:p>
          <w:p>
            <w:pPr>
              <w:adjustRightInd w:val="0"/>
              <w:snapToGrid w:val="0"/>
              <w:spacing w:line="240" w:lineRule="auto"/>
              <w:ind w:firstLine="0" w:firstLineChars="0"/>
              <w:textAlignment w:val="baseline"/>
              <w:rPr>
                <w:rFonts w:hint="eastAsia" w:ascii="仿宋" w:hAnsi="仿宋" w:eastAsia="仿宋" w:cs="仿宋"/>
                <w:color w:val="000000"/>
                <w:sz w:val="18"/>
                <w:szCs w:val="18"/>
              </w:rPr>
            </w:pPr>
            <w:r>
              <w:rPr>
                <w:rFonts w:hint="eastAsia" w:ascii="仿宋" w:hAnsi="仿宋" w:eastAsia="仿宋" w:cs="仿宋"/>
                <w:color w:val="000000"/>
                <w:sz w:val="18"/>
                <w:szCs w:val="18"/>
              </w:rPr>
              <w:t>7.按规定码放设备、材料，吊挂管线、设置压风自救系统；</w:t>
            </w:r>
          </w:p>
          <w:p>
            <w:pPr>
              <w:adjustRightInd w:val="0"/>
              <w:snapToGrid w:val="0"/>
              <w:spacing w:line="240" w:lineRule="auto"/>
              <w:ind w:firstLine="0" w:firstLineChars="0"/>
              <w:textAlignment w:val="baseline"/>
            </w:pPr>
            <w:r>
              <w:rPr>
                <w:rFonts w:hint="eastAsia" w:ascii="仿宋" w:hAnsi="仿宋" w:eastAsia="仿宋" w:cs="仿宋"/>
                <w:color w:val="000000"/>
                <w:sz w:val="18"/>
                <w:szCs w:val="18"/>
              </w:rPr>
              <w:t>8.加强员工培训，提高应急避灾、救灾能力，进入工作面的所有作业人员必须穿防冲服、戴防冲帽；</w:t>
            </w:r>
          </w:p>
        </w:tc>
        <w:tc>
          <w:tcPr>
            <w:tcW w:w="8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180" w:firstLineChars="100"/>
              <w:textAlignment w:val="baseline"/>
              <w:rPr>
                <w:rFonts w:ascii="仿宋" w:hAnsi="仿宋" w:eastAsia="仿宋" w:cs="仿宋"/>
                <w:color w:val="000000"/>
                <w:sz w:val="18"/>
                <w:szCs w:val="18"/>
              </w:rPr>
            </w:pPr>
            <w:r>
              <w:rPr>
                <w:rFonts w:hint="eastAsia" w:ascii="仿宋" w:hAnsi="仿宋" w:eastAsia="仿宋" w:cs="仿宋"/>
                <w:color w:val="000000"/>
                <w:sz w:val="18"/>
                <w:szCs w:val="18"/>
              </w:rPr>
              <w:t>纵峰</w:t>
            </w:r>
          </w:p>
        </w:tc>
        <w:tc>
          <w:tcPr>
            <w:tcW w:w="9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赵振中</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秦庆举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9" w:hRule="atLeast"/>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eastAsia="宋体"/>
                <w:sz w:val="20"/>
                <w:szCs w:val="20"/>
              </w:rPr>
            </w:pPr>
            <w:r>
              <w:rPr>
                <w:rFonts w:hint="eastAsia" w:eastAsia="宋体"/>
                <w:sz w:val="20"/>
                <w:szCs w:val="20"/>
              </w:rPr>
              <w:t>5</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仿宋" w:hAnsi="仿宋" w:eastAsia="仿宋" w:cs="仿宋"/>
                <w:color w:val="000000"/>
                <w:sz w:val="18"/>
                <w:szCs w:val="18"/>
              </w:rPr>
            </w:pPr>
            <w:r>
              <w:rPr>
                <w:rFonts w:hint="eastAsia" w:ascii="仿宋" w:hAnsi="仿宋" w:eastAsia="仿宋" w:cs="仿宋"/>
                <w:color w:val="000000"/>
                <w:sz w:val="18"/>
                <w:szCs w:val="18"/>
              </w:rPr>
              <w:t>1303工作面</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仿宋" w:hAnsi="仿宋" w:eastAsia="仿宋" w:cs="仿宋"/>
                <w:color w:val="000000"/>
                <w:sz w:val="18"/>
                <w:szCs w:val="18"/>
              </w:rPr>
            </w:pPr>
            <w:r>
              <w:rPr>
                <w:rFonts w:ascii="仿宋" w:hAnsi="仿宋" w:eastAsia="仿宋" w:cs="仿宋"/>
                <w:color w:val="000000"/>
                <w:sz w:val="18"/>
                <w:szCs w:val="18"/>
              </w:rPr>
              <w:t>1303综放工作面收作期间，存在片帮、掉顶风险；抽架期间存在支架倾倒的风险。</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仿宋" w:hAnsi="仿宋" w:eastAsia="仿宋" w:cs="仿宋"/>
                <w:sz w:val="20"/>
                <w:szCs w:val="20"/>
              </w:rPr>
            </w:pPr>
            <w:r>
              <w:rPr>
                <w:rFonts w:hint="eastAsia" w:ascii="仿宋" w:hAnsi="仿宋" w:eastAsia="仿宋" w:cs="仿宋"/>
                <w:sz w:val="20"/>
                <w:szCs w:val="20"/>
              </w:rPr>
              <w:t>顶板</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3</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rPr>
                <w:rFonts w:ascii="仿宋" w:hAnsi="仿宋" w:eastAsia="仿宋" w:cs="仿宋"/>
                <w:sz w:val="20"/>
                <w:szCs w:val="20"/>
              </w:rPr>
            </w:pPr>
            <w:r>
              <w:rPr>
                <w:rFonts w:hint="eastAsia" w:ascii="仿宋" w:hAnsi="仿宋" w:eastAsia="仿宋" w:cs="仿宋"/>
                <w:sz w:val="20"/>
                <w:szCs w:val="20"/>
              </w:rPr>
              <w:t>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00" w:firstLineChars="100"/>
              <w:jc w:val="center"/>
              <w:rPr>
                <w:rFonts w:ascii="仿宋" w:hAnsi="仿宋" w:eastAsia="仿宋" w:cs="仿宋"/>
                <w:sz w:val="20"/>
                <w:szCs w:val="20"/>
              </w:rPr>
            </w:pPr>
            <w:r>
              <w:rPr>
                <w:rFonts w:hint="eastAsia" w:ascii="仿宋" w:hAnsi="仿宋" w:eastAsia="仿宋" w:cs="仿宋"/>
                <w:sz w:val="20"/>
                <w:szCs w:val="20"/>
              </w:rPr>
              <w:t>40</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eastAsia="仿宋" w:cs="仿宋"/>
                <w:sz w:val="20"/>
                <w:szCs w:val="20"/>
              </w:rPr>
            </w:pPr>
            <w:r>
              <w:rPr>
                <w:rFonts w:hint="eastAsia" w:ascii="仿宋" w:hAnsi="仿宋" w:eastAsia="仿宋" w:cs="仿宋"/>
                <w:sz w:val="20"/>
                <w:szCs w:val="20"/>
              </w:rPr>
              <w:t>720</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color w:val="000000"/>
                <w:sz w:val="18"/>
                <w:szCs w:val="18"/>
              </w:rPr>
              <w:t>重大风险</w:t>
            </w:r>
          </w:p>
        </w:tc>
        <w:tc>
          <w:tcPr>
            <w:tcW w:w="3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textAlignment w:val="baseline"/>
              <w:rPr>
                <w:rFonts w:ascii="仿宋" w:hAnsi="仿宋" w:eastAsia="仿宋" w:cs="仿宋"/>
                <w:color w:val="000000"/>
                <w:sz w:val="18"/>
                <w:szCs w:val="18"/>
              </w:rPr>
            </w:pPr>
            <w:r>
              <w:rPr>
                <w:rFonts w:ascii="仿宋" w:hAnsi="仿宋" w:eastAsia="仿宋" w:cs="仿宋"/>
                <w:color w:val="000000"/>
                <w:sz w:val="18"/>
                <w:szCs w:val="18"/>
              </w:rPr>
              <w:t>①编制专项安全技术措施并严格执行，落实现场的跟班督导工作。</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ascii="仿宋" w:hAnsi="仿宋" w:eastAsia="仿宋" w:cs="仿宋"/>
                <w:color w:val="000000"/>
                <w:sz w:val="18"/>
                <w:szCs w:val="18"/>
              </w:rPr>
              <w:t>②保障工作面在用单体初撑力不小于11.5MPa,液压支架及单元式支架初撑力不小于24MPa。</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ascii="仿宋" w:hAnsi="仿宋" w:eastAsia="仿宋" w:cs="仿宋"/>
                <w:color w:val="000000"/>
                <w:sz w:val="18"/>
                <w:szCs w:val="18"/>
              </w:rPr>
              <w:t>③人员进入煤壁作业严格执行敲帮问顶制度，作业期间安排专人观察顶板、煤壁及支护情况，发现顶板来压、片帮等异常及时停止作业，进行处理。</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ascii="仿宋" w:hAnsi="仿宋" w:eastAsia="仿宋" w:cs="仿宋"/>
                <w:color w:val="000000"/>
                <w:sz w:val="18"/>
                <w:szCs w:val="18"/>
              </w:rPr>
              <w:t>④抽架后及时支护顶板并拉移掩护支架，顶板破碎时要使用工字钢配合支护顶板、并使用木料背帮过顶严实。</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ascii="仿宋" w:hAnsi="仿宋" w:eastAsia="仿宋" w:cs="仿宋"/>
                <w:color w:val="000000"/>
                <w:sz w:val="18"/>
                <w:szCs w:val="18"/>
              </w:rPr>
              <w:t>⑤三四岔门安装单元式支架或打锚索加固顶板。</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ascii="仿宋" w:hAnsi="仿宋" w:eastAsia="仿宋" w:cs="仿宋"/>
                <w:color w:val="000000"/>
                <w:sz w:val="18"/>
                <w:szCs w:val="18"/>
              </w:rPr>
              <w:t>⑥工作面遇顶板破碎、片帮严重时及时施工人工超前管理顶板，人工超前管理顶板必须编制措施并贯彻后方</w:t>
            </w:r>
            <w:r>
              <w:rPr>
                <w:rFonts w:hint="eastAsia" w:ascii="仿宋" w:hAnsi="仿宋" w:eastAsia="仿宋" w:cs="仿宋"/>
                <w:color w:val="000000"/>
                <w:sz w:val="18"/>
                <w:szCs w:val="18"/>
              </w:rPr>
              <w:t>可施工</w:t>
            </w:r>
            <w:r>
              <w:rPr>
                <w:rFonts w:ascii="仿宋" w:hAnsi="仿宋" w:eastAsia="仿宋" w:cs="仿宋"/>
                <w:color w:val="000000"/>
                <w:sz w:val="18"/>
                <w:szCs w:val="18"/>
              </w:rPr>
              <w:t>。                                                         ⑦抽架期间，支架支架下方严禁有人，抽架绞车要始终带紧绳，防止支架下滑、倾倒。</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ascii="仿宋" w:hAnsi="仿宋" w:eastAsia="仿宋" w:cs="仿宋"/>
                <w:color w:val="000000"/>
                <w:sz w:val="18"/>
                <w:szCs w:val="18"/>
              </w:rPr>
              <w:t>⑧单元式支架在安装、使用、挪移过程中采取放倒措施。</w:t>
            </w:r>
          </w:p>
        </w:tc>
        <w:tc>
          <w:tcPr>
            <w:tcW w:w="8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180" w:firstLineChars="100"/>
              <w:textAlignment w:val="baseline"/>
              <w:rPr>
                <w:rFonts w:ascii="仿宋" w:hAnsi="仿宋" w:eastAsia="仿宋" w:cs="仿宋"/>
                <w:color w:val="000000"/>
                <w:sz w:val="18"/>
                <w:szCs w:val="18"/>
              </w:rPr>
            </w:pPr>
            <w:r>
              <w:rPr>
                <w:rFonts w:hint="eastAsia" w:ascii="仿宋" w:hAnsi="仿宋" w:eastAsia="仿宋" w:cs="仿宋"/>
                <w:color w:val="000000"/>
                <w:sz w:val="18"/>
                <w:szCs w:val="18"/>
              </w:rPr>
              <w:t>纵峰</w:t>
            </w:r>
          </w:p>
        </w:tc>
        <w:tc>
          <w:tcPr>
            <w:tcW w:w="9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赵振中</w:t>
            </w:r>
          </w:p>
          <w:p>
            <w:pPr>
              <w:adjustRightInd w:val="0"/>
              <w:snapToGrid w:val="0"/>
              <w:spacing w:line="240" w:lineRule="auto"/>
              <w:ind w:firstLine="0" w:firstLineChars="0"/>
              <w:textAlignment w:val="baseline"/>
              <w:rPr>
                <w:rFonts w:ascii="仿宋" w:hAnsi="仿宋" w:eastAsia="仿宋" w:cs="仿宋"/>
                <w:color w:val="000000"/>
                <w:sz w:val="18"/>
                <w:szCs w:val="18"/>
              </w:rPr>
            </w:pPr>
            <w:r>
              <w:rPr>
                <w:rFonts w:hint="eastAsia" w:ascii="仿宋" w:hAnsi="仿宋" w:eastAsia="仿宋" w:cs="仿宋"/>
                <w:color w:val="000000"/>
                <w:sz w:val="18"/>
                <w:szCs w:val="18"/>
              </w:rPr>
              <w:t>秦庆举</w:t>
            </w:r>
          </w:p>
        </w:tc>
      </w:tr>
    </w:tbl>
    <w:p>
      <w:pPr>
        <w:pStyle w:val="3"/>
        <w:keepNext/>
        <w:keepLines/>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仿宋_GB2312" w:hAnsi="仿宋" w:eastAsia="仿宋_GB2312" w:cs="仿宋"/>
          <w:b w:val="0"/>
          <w:bCs/>
          <w:kern w:val="2"/>
          <w:sz w:val="24"/>
          <w:szCs w:val="24"/>
          <w:lang w:val="en-US" w:eastAsia="zh-CN" w:bidi="ar-SA"/>
        </w:rPr>
      </w:pPr>
      <w:r>
        <w:rPr>
          <w:rFonts w:hint="eastAsia" w:ascii="仿宋_GB2312" w:hAnsi="仿宋" w:cs="仿宋"/>
          <w:b w:val="0"/>
          <w:bCs/>
          <w:kern w:val="2"/>
          <w:sz w:val="24"/>
          <w:szCs w:val="24"/>
          <w:lang w:val="en-US" w:eastAsia="zh-CN" w:bidi="ar-SA"/>
        </w:rPr>
        <w:t>4、</w:t>
      </w:r>
      <w:r>
        <w:rPr>
          <w:rFonts w:hint="eastAsia" w:ascii="仿宋_GB2312" w:hAnsi="仿宋" w:eastAsia="仿宋_GB2312" w:cs="仿宋"/>
          <w:b w:val="0"/>
          <w:bCs/>
          <w:kern w:val="2"/>
          <w:sz w:val="24"/>
          <w:szCs w:val="24"/>
          <w:lang w:val="en-US" w:eastAsia="zh-CN" w:bidi="ar-SA"/>
        </w:rPr>
        <w:t>重大安全风险辨识评估结果</w:t>
      </w:r>
    </w:p>
    <w:p>
      <w:pPr>
        <w:pStyle w:val="3"/>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 w:eastAsia="仿宋_GB2312" w:cs="仿宋"/>
          <w:b w:val="0"/>
          <w:bCs/>
          <w:kern w:val="2"/>
          <w:sz w:val="24"/>
          <w:szCs w:val="24"/>
          <w:lang w:val="en-US" w:eastAsia="zh-CN" w:bidi="ar-SA"/>
        </w:rPr>
      </w:pPr>
      <w:r>
        <w:rPr>
          <w:rFonts w:hint="eastAsia" w:ascii="仿宋_GB2312" w:hAnsi="仿宋" w:eastAsia="仿宋_GB2312" w:cs="仿宋"/>
          <w:b w:val="0"/>
          <w:bCs/>
          <w:kern w:val="2"/>
          <w:sz w:val="24"/>
          <w:szCs w:val="24"/>
          <w:lang w:val="en-US" w:eastAsia="zh-CN" w:bidi="ar-SA"/>
        </w:rPr>
        <w:t>通过对130</w:t>
      </w:r>
      <w:r>
        <w:rPr>
          <w:rFonts w:hint="eastAsia" w:ascii="仿宋_GB2312" w:hAnsi="仿宋" w:cs="仿宋"/>
          <w:b w:val="0"/>
          <w:bCs/>
          <w:kern w:val="2"/>
          <w:sz w:val="24"/>
          <w:szCs w:val="24"/>
          <w:lang w:val="en-US" w:eastAsia="zh-CN" w:bidi="ar-SA"/>
        </w:rPr>
        <w:t>3</w:t>
      </w:r>
      <w:r>
        <w:rPr>
          <w:rFonts w:hint="eastAsia" w:ascii="仿宋_GB2312" w:hAnsi="仿宋" w:eastAsia="仿宋_GB2312" w:cs="仿宋"/>
          <w:b w:val="0"/>
          <w:bCs/>
          <w:kern w:val="2"/>
          <w:sz w:val="24"/>
          <w:szCs w:val="24"/>
          <w:lang w:val="en-US" w:eastAsia="zh-CN" w:bidi="ar-SA"/>
        </w:rPr>
        <w:t>工作面</w:t>
      </w:r>
      <w:r>
        <w:rPr>
          <w:rFonts w:hint="eastAsia" w:ascii="仿宋_GB2312" w:hAnsi="仿宋" w:cs="仿宋"/>
          <w:b w:val="0"/>
          <w:bCs/>
          <w:kern w:val="2"/>
          <w:sz w:val="24"/>
          <w:szCs w:val="24"/>
          <w:lang w:val="en-US" w:eastAsia="zh-CN" w:bidi="ar-SA"/>
        </w:rPr>
        <w:t>重大</w:t>
      </w:r>
      <w:r>
        <w:rPr>
          <w:rFonts w:hint="eastAsia" w:ascii="仿宋_GB2312" w:hAnsi="仿宋" w:eastAsia="仿宋_GB2312" w:cs="仿宋"/>
          <w:b w:val="0"/>
          <w:bCs/>
          <w:kern w:val="2"/>
          <w:sz w:val="24"/>
          <w:szCs w:val="24"/>
          <w:lang w:val="en-US" w:eastAsia="zh-CN" w:bidi="ar-SA"/>
        </w:rPr>
        <w:t>安全风险辨识列出</w:t>
      </w:r>
      <w:r>
        <w:rPr>
          <w:rFonts w:hint="eastAsia" w:ascii="仿宋_GB2312" w:hAnsi="仿宋" w:cs="仿宋"/>
          <w:b w:val="0"/>
          <w:bCs/>
          <w:kern w:val="2"/>
          <w:sz w:val="24"/>
          <w:szCs w:val="24"/>
          <w:lang w:val="en-US" w:eastAsia="zh-CN" w:bidi="ar-SA"/>
        </w:rPr>
        <w:t>重大</w:t>
      </w:r>
      <w:r>
        <w:rPr>
          <w:rFonts w:hint="eastAsia" w:ascii="仿宋_GB2312" w:hAnsi="仿宋" w:eastAsia="仿宋_GB2312" w:cs="仿宋"/>
          <w:b w:val="0"/>
          <w:bCs/>
          <w:kern w:val="2"/>
          <w:sz w:val="24"/>
          <w:szCs w:val="24"/>
          <w:lang w:val="en-US" w:eastAsia="zh-CN" w:bidi="ar-SA"/>
        </w:rPr>
        <w:t>风险清单</w:t>
      </w:r>
      <w:r>
        <w:rPr>
          <w:rFonts w:hint="eastAsia" w:ascii="仿宋_GB2312" w:hAnsi="仿宋" w:cs="仿宋"/>
          <w:b w:val="0"/>
          <w:bCs/>
          <w:kern w:val="2"/>
          <w:sz w:val="24"/>
          <w:szCs w:val="24"/>
          <w:lang w:val="en-US" w:eastAsia="zh-CN" w:bidi="ar-SA"/>
        </w:rPr>
        <w:t>，要求</w:t>
      </w:r>
      <w:r>
        <w:rPr>
          <w:rFonts w:hint="eastAsia" w:ascii="仿宋_GB2312" w:hAnsi="仿宋" w:eastAsia="仿宋_GB2312" w:cs="仿宋"/>
          <w:b w:val="0"/>
          <w:bCs/>
          <w:kern w:val="2"/>
          <w:sz w:val="24"/>
          <w:szCs w:val="24"/>
          <w:lang w:val="en-US" w:eastAsia="zh-CN" w:bidi="ar-SA"/>
        </w:rPr>
        <w:t>采煤部</w:t>
      </w:r>
      <w:r>
        <w:rPr>
          <w:rFonts w:hint="eastAsia" w:ascii="仿宋_GB2312" w:hAnsi="仿宋" w:cs="仿宋"/>
          <w:b w:val="0"/>
          <w:bCs/>
          <w:kern w:val="2"/>
          <w:sz w:val="24"/>
          <w:szCs w:val="24"/>
          <w:lang w:val="en-US" w:eastAsia="zh-CN" w:bidi="ar-SA"/>
        </w:rPr>
        <w:t>职工</w:t>
      </w:r>
      <w:r>
        <w:rPr>
          <w:rFonts w:hint="eastAsia" w:ascii="仿宋_GB2312" w:hAnsi="仿宋" w:eastAsia="仿宋_GB2312" w:cs="仿宋"/>
          <w:b w:val="0"/>
          <w:bCs/>
          <w:kern w:val="2"/>
          <w:sz w:val="24"/>
          <w:szCs w:val="24"/>
          <w:lang w:val="en-US" w:eastAsia="zh-CN" w:bidi="ar-SA"/>
        </w:rPr>
        <w:t>掌握安全风险因素，为工作面工作</w:t>
      </w:r>
      <w:r>
        <w:rPr>
          <w:rFonts w:hint="eastAsia" w:ascii="仿宋_GB2312" w:hAnsi="仿宋" w:cs="仿宋"/>
          <w:b w:val="0"/>
          <w:bCs/>
          <w:kern w:val="2"/>
          <w:sz w:val="24"/>
          <w:szCs w:val="24"/>
          <w:lang w:val="en-US" w:eastAsia="zh-CN" w:bidi="ar-SA"/>
        </w:rPr>
        <w:t>安全回采</w:t>
      </w:r>
      <w:r>
        <w:rPr>
          <w:rFonts w:hint="eastAsia" w:ascii="仿宋_GB2312" w:hAnsi="仿宋" w:eastAsia="仿宋_GB2312" w:cs="仿宋"/>
          <w:b w:val="0"/>
          <w:bCs/>
          <w:kern w:val="2"/>
          <w:sz w:val="24"/>
          <w:szCs w:val="24"/>
          <w:lang w:val="en-US" w:eastAsia="zh-CN" w:bidi="ar-SA"/>
        </w:rPr>
        <w:t>提供保障，进一步完善</w:t>
      </w:r>
      <w:r>
        <w:rPr>
          <w:rFonts w:hint="eastAsia" w:ascii="仿宋_GB2312" w:hAnsi="仿宋" w:cs="仿宋"/>
          <w:b w:val="0"/>
          <w:bCs/>
          <w:kern w:val="2"/>
          <w:sz w:val="24"/>
          <w:szCs w:val="24"/>
          <w:lang w:val="en-US" w:eastAsia="zh-CN" w:bidi="ar-SA"/>
        </w:rPr>
        <w:t>作业规程及相关</w:t>
      </w:r>
      <w:r>
        <w:rPr>
          <w:rFonts w:hint="eastAsia" w:ascii="仿宋_GB2312" w:hAnsi="仿宋" w:eastAsia="仿宋_GB2312" w:cs="仿宋"/>
          <w:b w:val="0"/>
          <w:bCs/>
          <w:kern w:val="2"/>
          <w:sz w:val="24"/>
          <w:szCs w:val="24"/>
          <w:lang w:val="en-US" w:eastAsia="zh-CN" w:bidi="ar-SA"/>
        </w:rPr>
        <w:t>安全技术措施。</w:t>
      </w:r>
    </w:p>
    <w:p>
      <w:pPr>
        <w:pStyle w:val="13"/>
        <w:pageBreakBefore w:val="0"/>
        <w:widowControl w:val="0"/>
        <w:kinsoku/>
        <w:wordWrap/>
        <w:overflowPunct/>
        <w:topLinePunct w:val="0"/>
        <w:autoSpaceDE/>
        <w:autoSpaceDN/>
        <w:bidi w:val="0"/>
        <w:snapToGrid/>
        <w:spacing w:line="400" w:lineRule="exact"/>
        <w:ind w:firstLine="600"/>
        <w:rPr>
          <w:color w:val="FF0000"/>
        </w:rPr>
        <w:sectPr>
          <w:pgSz w:w="16838" w:h="11906" w:orient="landscape"/>
          <w:pgMar w:top="1800" w:right="1440" w:bottom="1871" w:left="1440" w:header="851" w:footer="992" w:gutter="0"/>
          <w:cols w:space="720" w:num="1"/>
          <w:docGrid w:type="lines" w:linePitch="312" w:charSpace="0"/>
        </w:sectPr>
      </w:pPr>
    </w:p>
    <w:p>
      <w:pPr>
        <w:spacing w:before="63" w:beforeLines="20" w:after="63" w:afterLines="20" w:line="240" w:lineRule="auto"/>
        <w:ind w:firstLine="0" w:firstLineChars="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附图1：1303</w:t>
      </w:r>
      <w:r>
        <w:rPr>
          <w:rFonts w:hint="eastAsia" w:ascii="仿宋" w:hAnsi="仿宋" w:eastAsia="仿宋" w:cs="仿宋_GB2312"/>
          <w:color w:val="000000" w:themeColor="text1"/>
          <w:sz w:val="24"/>
          <w14:textFill>
            <w14:solidFill>
              <w14:schemeClr w14:val="tx1"/>
            </w14:solidFill>
          </w14:textFill>
        </w:rPr>
        <w:t>工作面综合柱状图</w:t>
      </w:r>
    </w:p>
    <w:p>
      <w:pPr>
        <w:pStyle w:val="12"/>
        <w:ind w:firstLine="420"/>
        <w:jc w:val="center"/>
        <w:sectPr>
          <w:headerReference r:id="rId9" w:type="first"/>
          <w:footerReference r:id="rId12" w:type="first"/>
          <w:headerReference r:id="rId7" w:type="default"/>
          <w:footerReference r:id="rId10" w:type="default"/>
          <w:headerReference r:id="rId8" w:type="even"/>
          <w:footerReference r:id="rId11" w:type="even"/>
          <w:pgSz w:w="11906" w:h="16838"/>
          <w:pgMar w:top="1361" w:right="1474" w:bottom="1361" w:left="1474" w:header="850" w:footer="992" w:gutter="0"/>
          <w:pgNumType w:fmt="numberInDash"/>
          <w:cols w:space="0" w:num="1"/>
          <w:docGrid w:type="lines" w:linePitch="318" w:charSpace="0"/>
        </w:sectPr>
      </w:pPr>
      <w:r>
        <w:drawing>
          <wp:inline distT="0" distB="0" distL="0" distR="0">
            <wp:extent cx="2663190" cy="8373745"/>
            <wp:effectExtent l="0" t="0" r="381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70641" cy="8395966"/>
                    </a:xfrm>
                    <a:prstGeom prst="rect">
                      <a:avLst/>
                    </a:prstGeom>
                  </pic:spPr>
                </pic:pic>
              </a:graphicData>
            </a:graphic>
          </wp:inline>
        </w:drawing>
      </w:r>
    </w:p>
    <w:p>
      <w:pPr>
        <w:spacing w:before="63" w:beforeLines="20" w:after="63" w:afterLines="20" w:line="240" w:lineRule="auto"/>
        <w:ind w:firstLine="0" w:firstLineChars="0"/>
        <w:rPr>
          <w:rFonts w:hint="default" w:ascii="仿宋" w:hAnsi="仿宋" w:eastAsia="仿宋" w:cs="仿宋_GB2312"/>
          <w:color w:val="FF0000"/>
          <w:sz w:val="24"/>
          <w:lang w:val="en-US" w:eastAsia="zh-CN"/>
        </w:rPr>
      </w:pPr>
      <w:r>
        <w:rPr>
          <w:rFonts w:hint="eastAsia" w:ascii="仿宋" w:hAnsi="仿宋" w:eastAsia="仿宋" w:cs="仿宋_GB2312"/>
          <w:color w:val="000000" w:themeColor="text1"/>
          <w:kern w:val="0"/>
          <w:sz w:val="24"/>
          <w14:textFill>
            <w14:solidFill>
              <w14:schemeClr w14:val="tx1"/>
            </w14:solidFill>
          </w14:textFill>
        </w:rPr>
        <w:t>附图2：1303</w:t>
      </w:r>
      <w:r>
        <w:rPr>
          <w:rFonts w:hint="eastAsia" w:ascii="仿宋" w:hAnsi="仿宋" w:eastAsia="仿宋" w:cs="仿宋_GB2312"/>
          <w:color w:val="000000" w:themeColor="text1"/>
          <w:sz w:val="24"/>
          <w14:textFill>
            <w14:solidFill>
              <w14:schemeClr w14:val="tx1"/>
            </w14:solidFill>
          </w14:textFill>
        </w:rPr>
        <w:t>工作面及巷道布置图</w:t>
      </w:r>
    </w:p>
    <w:p>
      <w:pPr>
        <w:pStyle w:val="3"/>
        <w:keepNext w:val="0"/>
        <w:keepLines w:val="0"/>
        <w:ind w:firstLine="562"/>
        <w:rPr>
          <w:rFonts w:ascii="宋体" w:hAnsi="宋体" w:eastAsia="宋体" w:cs="宋体"/>
          <w:sz w:val="24"/>
          <w:szCs w:val="24"/>
        </w:rPr>
      </w:pPr>
    </w:p>
    <w:p>
      <w:pPr>
        <w:pStyle w:val="3"/>
        <w:keepNext w:val="0"/>
        <w:keepLines w:val="0"/>
        <w:ind w:firstLine="562"/>
        <w:rPr>
          <w:color w:val="FF0000"/>
        </w:rPr>
      </w:pPr>
      <w:r>
        <w:rPr>
          <w:rFonts w:ascii="宋体" w:hAnsi="宋体" w:eastAsia="宋体" w:cs="宋体"/>
          <w:sz w:val="24"/>
          <w:szCs w:val="24"/>
        </w:rPr>
        <w:drawing>
          <wp:inline distT="0" distB="0" distL="114300" distR="114300">
            <wp:extent cx="8957945" cy="2697480"/>
            <wp:effectExtent l="0" t="0" r="14605" b="7620"/>
            <wp:docPr id="4" name="图片 4" descr="G0I(D1BL3CZNKAIB8QFV0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0I(D1BL3CZNKAIB8QFV0K9"/>
                    <pic:cNvPicPr>
                      <a:picLocks noChangeAspect="1"/>
                    </pic:cNvPicPr>
                  </pic:nvPicPr>
                  <pic:blipFill>
                    <a:blip r:embed="rId48"/>
                    <a:stretch>
                      <a:fillRect/>
                    </a:stretch>
                  </pic:blipFill>
                  <pic:spPr>
                    <a:xfrm>
                      <a:off x="0" y="0"/>
                      <a:ext cx="8957945" cy="2697480"/>
                    </a:xfrm>
                    <a:prstGeom prst="rect">
                      <a:avLst/>
                    </a:prstGeom>
                  </pic:spPr>
                </pic:pic>
              </a:graphicData>
            </a:graphic>
          </wp:inline>
        </w:drawing>
      </w:r>
    </w:p>
    <w:p>
      <w:pPr>
        <w:pStyle w:val="12"/>
        <w:ind w:firstLine="0" w:firstLineChars="0"/>
        <w:rPr>
          <w:color w:val="FF0000"/>
        </w:rPr>
        <w:sectPr>
          <w:headerReference r:id="rId15" w:type="first"/>
          <w:footerReference r:id="rId18" w:type="first"/>
          <w:headerReference r:id="rId13" w:type="default"/>
          <w:footerReference r:id="rId16" w:type="default"/>
          <w:headerReference r:id="rId14" w:type="even"/>
          <w:footerReference r:id="rId17" w:type="even"/>
          <w:pgSz w:w="16838" w:h="11906" w:orient="landscape"/>
          <w:pgMar w:top="1474" w:right="1361" w:bottom="1474" w:left="1361" w:header="850" w:footer="992" w:gutter="0"/>
          <w:pgNumType w:fmt="numberInDash"/>
          <w:cols w:space="0" w:num="1"/>
          <w:docGrid w:type="lines" w:linePitch="318" w:charSpace="0"/>
        </w:sectPr>
      </w:pPr>
    </w:p>
    <w:p>
      <w:pPr>
        <w:pStyle w:val="2"/>
        <w:spacing w:before="63" w:beforeLines="20" w:after="63" w:afterLines="20" w:line="240" w:lineRule="auto"/>
        <w:ind w:firstLine="0" w:firstLineChars="0"/>
        <w:jc w:val="left"/>
        <w:rPr>
          <w:rFonts w:ascii="仿宋" w:hAnsi="仿宋" w:eastAsia="仿宋" w:cs="仿宋_GB2312"/>
          <w:color w:val="000000" w:themeColor="text1"/>
          <w:kern w:val="0"/>
          <w14:textFill>
            <w14:solidFill>
              <w14:schemeClr w14:val="tx1"/>
            </w14:solidFill>
          </w14:textFill>
        </w:rPr>
      </w:pPr>
      <w:r>
        <w:rPr>
          <w:rFonts w:hint="eastAsia" w:ascii="仿宋" w:hAnsi="仿宋" w:eastAsia="仿宋" w:cs="仿宋_GB2312"/>
          <w:color w:val="000000" w:themeColor="text1"/>
          <w:kern w:val="0"/>
          <w14:textFill>
            <w14:solidFill>
              <w14:schemeClr w14:val="tx1"/>
            </w14:solidFill>
          </w14:textFill>
        </w:rPr>
        <w:t>附图3：1303工作面设备布置及支护示意图</w:t>
      </w:r>
    </w:p>
    <w:p>
      <w:pPr>
        <w:pStyle w:val="2"/>
        <w:spacing w:before="63" w:beforeLines="20" w:after="63" w:afterLines="20" w:line="240" w:lineRule="auto"/>
        <w:ind w:leftChars="-295" w:hanging="619" w:hangingChars="258"/>
        <w:jc w:val="left"/>
        <w:rPr>
          <w:rFonts w:ascii="仿宋" w:hAnsi="仿宋" w:eastAsia="仿宋" w:cs="仿宋_GB2312"/>
          <w:color w:val="FF0000"/>
          <w:kern w:val="0"/>
        </w:rPr>
      </w:pPr>
    </w:p>
    <w:p>
      <w:pPr>
        <w:pStyle w:val="2"/>
        <w:spacing w:before="63" w:beforeLines="20" w:after="63" w:afterLines="20" w:line="240" w:lineRule="auto"/>
        <w:ind w:left="0" w:leftChars="-202" w:hanging="424" w:hangingChars="177"/>
        <w:jc w:val="center"/>
        <w:rPr>
          <w:rFonts w:hint="eastAsia" w:ascii="仿宋" w:hAnsi="仿宋" w:eastAsia="宋体"/>
          <w:color w:val="FF0000"/>
          <w:lang w:eastAsia="zh-CN"/>
        </w:rPr>
        <w:sectPr>
          <w:pgSz w:w="16838" w:h="11906" w:orient="landscape"/>
          <w:pgMar w:top="1179" w:right="1440" w:bottom="1179" w:left="1440" w:header="850" w:footer="992" w:gutter="0"/>
          <w:pgNumType w:fmt="numberInDash"/>
          <w:cols w:space="0" w:num="1"/>
          <w:docGrid w:type="lines" w:linePitch="318" w:charSpace="0"/>
        </w:sectPr>
      </w:pPr>
      <w:r>
        <w:rPr>
          <w:rFonts w:ascii="宋体" w:hAnsi="宋体" w:eastAsia="宋体" w:cs="宋体"/>
          <w:sz w:val="24"/>
          <w:szCs w:val="24"/>
        </w:rPr>
        <w:drawing>
          <wp:inline distT="0" distB="0" distL="114300" distR="114300">
            <wp:extent cx="8888095" cy="4528185"/>
            <wp:effectExtent l="0" t="0" r="8255" b="571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49"/>
                    <a:stretch>
                      <a:fillRect/>
                    </a:stretch>
                  </pic:blipFill>
                  <pic:spPr>
                    <a:xfrm>
                      <a:off x="0" y="0"/>
                      <a:ext cx="8888095" cy="4528185"/>
                    </a:xfrm>
                    <a:prstGeom prst="rect">
                      <a:avLst/>
                    </a:prstGeom>
                    <a:noFill/>
                    <a:ln w="9525">
                      <a:noFill/>
                    </a:ln>
                  </pic:spPr>
                </pic:pic>
              </a:graphicData>
            </a:graphic>
          </wp:inline>
        </w:drawing>
      </w: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附图4:1303工作面运输系统示意图</w:t>
      </w:r>
    </w:p>
    <w:p>
      <w:pPr>
        <w:pStyle w:val="3"/>
        <w:keepNext w:val="0"/>
        <w:keepLines w:val="0"/>
        <w:ind w:firstLine="562"/>
        <w:rPr>
          <w:color w:val="FF0000"/>
        </w:rPr>
      </w:pPr>
    </w:p>
    <w:p>
      <w:pPr>
        <w:pStyle w:val="12"/>
        <w:ind w:leftChars="-135" w:hanging="283" w:hangingChars="135"/>
        <w:jc w:val="center"/>
        <w:rPr>
          <w:color w:val="FF0000"/>
        </w:rPr>
      </w:pPr>
      <w:r>
        <w:drawing>
          <wp:inline distT="0" distB="0" distL="0" distR="0">
            <wp:extent cx="9255125" cy="3289300"/>
            <wp:effectExtent l="0" t="0" r="3175"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0"/>
                    <a:stretch>
                      <a:fillRect/>
                    </a:stretch>
                  </pic:blipFill>
                  <pic:spPr>
                    <a:xfrm>
                      <a:off x="0" y="0"/>
                      <a:ext cx="9253317" cy="3289300"/>
                    </a:xfrm>
                    <a:prstGeom prst="rect">
                      <a:avLst/>
                    </a:prstGeom>
                  </pic:spPr>
                </pic:pic>
              </a:graphicData>
            </a:graphic>
          </wp:inline>
        </w:drawing>
      </w:r>
    </w:p>
    <w:p>
      <w:pPr>
        <w:pStyle w:val="12"/>
        <w:ind w:firstLine="420"/>
        <w:rPr>
          <w:color w:val="FF0000"/>
        </w:rPr>
      </w:pPr>
    </w:p>
    <w:p>
      <w:pPr>
        <w:pStyle w:val="2"/>
        <w:spacing w:line="240" w:lineRule="auto"/>
        <w:ind w:firstLine="0" w:firstLineChars="0"/>
        <w:rPr>
          <w:color w:val="FF0000"/>
        </w:rPr>
      </w:pPr>
    </w:p>
    <w:p>
      <w:pPr>
        <w:spacing w:before="63" w:beforeLines="20" w:after="63" w:afterLines="20" w:line="240" w:lineRule="auto"/>
        <w:ind w:left="-420" w:leftChars="-200" w:firstLine="0" w:firstLineChars="0"/>
        <w:jc w:val="center"/>
        <w:rPr>
          <w:rFonts w:ascii="仿宋" w:hAnsi="仿宋" w:eastAsia="仿宋" w:cs="仿宋_GB2312"/>
          <w:color w:val="FF0000"/>
          <w:sz w:val="24"/>
        </w:rPr>
      </w:pPr>
    </w:p>
    <w:p>
      <w:pPr>
        <w:spacing w:before="63" w:beforeLines="20" w:after="63" w:afterLines="20" w:line="240" w:lineRule="auto"/>
        <w:ind w:firstLine="0" w:firstLineChars="0"/>
        <w:rPr>
          <w:rFonts w:ascii="仿宋" w:hAnsi="仿宋" w:eastAsia="仿宋" w:cs="仿宋_GB2312"/>
          <w:color w:val="FF0000"/>
          <w:kern w:val="0"/>
          <w:sz w:val="24"/>
        </w:rPr>
        <w:sectPr>
          <w:pgSz w:w="16838" w:h="11906" w:orient="landscape"/>
          <w:pgMar w:top="1179" w:right="1440" w:bottom="1179" w:left="1440" w:header="850" w:footer="992" w:gutter="0"/>
          <w:pgNumType w:fmt="numberInDash"/>
          <w:cols w:space="0" w:num="1"/>
          <w:docGrid w:type="lines" w:linePitch="318" w:charSpace="0"/>
        </w:sectPr>
      </w:pP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附图5:1303工作面通风系统图</w:t>
      </w:r>
    </w:p>
    <w:p>
      <w:pPr>
        <w:pStyle w:val="13"/>
        <w:ind w:left="0" w:leftChars="0" w:firstLine="0" w:firstLineChars="0"/>
      </w:pPr>
    </w:p>
    <w:p>
      <w:pPr>
        <w:pStyle w:val="12"/>
        <w:ind w:leftChars="-135" w:hanging="324" w:hangingChars="135"/>
      </w:pPr>
      <w:r>
        <w:rPr>
          <w:rFonts w:ascii="宋体" w:hAnsi="宋体" w:eastAsia="宋体" w:cs="宋体"/>
          <w:sz w:val="24"/>
          <w:szCs w:val="24"/>
        </w:rPr>
        <w:drawing>
          <wp:inline distT="0" distB="0" distL="114300" distR="114300">
            <wp:extent cx="9215755" cy="3230245"/>
            <wp:effectExtent l="0" t="0" r="4445" b="8255"/>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1"/>
                    </pic:cNvPicPr>
                  </pic:nvPicPr>
                  <pic:blipFill>
                    <a:blip r:embed="rId51"/>
                    <a:stretch>
                      <a:fillRect/>
                    </a:stretch>
                  </pic:blipFill>
                  <pic:spPr>
                    <a:xfrm>
                      <a:off x="0" y="0"/>
                      <a:ext cx="9215755" cy="3230245"/>
                    </a:xfrm>
                    <a:prstGeom prst="rect">
                      <a:avLst/>
                    </a:prstGeom>
                    <a:noFill/>
                    <a:ln w="9525">
                      <a:noFill/>
                    </a:ln>
                  </pic:spPr>
                </pic:pic>
              </a:graphicData>
            </a:graphic>
          </wp:inline>
        </w:drawing>
      </w:r>
    </w:p>
    <w:p>
      <w:pPr>
        <w:pStyle w:val="3"/>
        <w:keepNext w:val="0"/>
        <w:keepLines w:val="0"/>
        <w:ind w:firstLine="0" w:firstLineChars="0"/>
        <w:jc w:val="left"/>
        <w:rPr>
          <w:color w:val="FF0000"/>
        </w:rPr>
      </w:pP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leftChars="-400" w:hanging="840" w:hangingChars="350"/>
        <w:jc w:val="center"/>
        <w:rPr>
          <w:color w:val="FF0000"/>
        </w:rPr>
        <w:sectPr>
          <w:pgSz w:w="16838" w:h="11906" w:orient="landscape"/>
          <w:pgMar w:top="1179" w:right="1440" w:bottom="1179" w:left="1440" w:header="850" w:footer="992" w:gutter="0"/>
          <w:pgNumType w:fmt="numberInDash"/>
          <w:cols w:space="0" w:num="1"/>
          <w:docGrid w:type="lines" w:linePitch="318" w:charSpace="0"/>
        </w:sectPr>
      </w:pPr>
      <w:r>
        <w:rPr>
          <w:rFonts w:hint="eastAsia" w:ascii="仿宋" w:hAnsi="仿宋" w:eastAsia="仿宋"/>
          <w:color w:val="FF0000"/>
          <w:sz w:val="24"/>
        </w:rPr>
        <w:t xml:space="preserve"> </w:t>
      </w: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附图6:1303工作面排水系统示意图</w:t>
      </w:r>
    </w:p>
    <w:p>
      <w:pPr>
        <w:pStyle w:val="12"/>
        <w:ind w:left="0" w:leftChars="0" w:firstLine="0" w:firstLineChars="0"/>
      </w:pPr>
    </w:p>
    <w:p>
      <w:pPr>
        <w:spacing w:before="63" w:beforeLines="20" w:after="63" w:afterLines="20" w:line="240" w:lineRule="auto"/>
        <w:ind w:leftChars="-135" w:hanging="324" w:hangingChars="135"/>
        <w:rPr>
          <w:rFonts w:ascii="仿宋" w:hAnsi="仿宋" w:eastAsia="仿宋" w:cs="仿宋_GB2312"/>
          <w:color w:val="FF0000"/>
          <w:kern w:val="0"/>
          <w:sz w:val="24"/>
        </w:rPr>
      </w:pPr>
      <w:r>
        <w:rPr>
          <w:rFonts w:ascii="宋体" w:hAnsi="宋体" w:eastAsia="宋体" w:cs="宋体"/>
          <w:sz w:val="24"/>
          <w:szCs w:val="24"/>
        </w:rPr>
        <w:drawing>
          <wp:inline distT="0" distB="0" distL="114300" distR="114300">
            <wp:extent cx="8675370" cy="3600450"/>
            <wp:effectExtent l="0" t="0" r="11430" b="0"/>
            <wp:docPr id="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56"/>
                    <pic:cNvPicPr>
                      <a:picLocks noChangeAspect="1"/>
                    </pic:cNvPicPr>
                  </pic:nvPicPr>
                  <pic:blipFill>
                    <a:blip r:embed="rId52"/>
                    <a:stretch>
                      <a:fillRect/>
                    </a:stretch>
                  </pic:blipFill>
                  <pic:spPr>
                    <a:xfrm>
                      <a:off x="0" y="0"/>
                      <a:ext cx="8675370" cy="3600450"/>
                    </a:xfrm>
                    <a:prstGeom prst="rect">
                      <a:avLst/>
                    </a:prstGeom>
                    <a:noFill/>
                    <a:ln w="9525">
                      <a:noFill/>
                    </a:ln>
                  </pic:spPr>
                </pic:pic>
              </a:graphicData>
            </a:graphic>
          </wp:inline>
        </w:drawing>
      </w:r>
    </w:p>
    <w:p>
      <w:pPr>
        <w:spacing w:before="63" w:beforeLines="20" w:after="63" w:afterLines="20" w:line="240" w:lineRule="auto"/>
        <w:ind w:left="120" w:leftChars="-400" w:hanging="960" w:hangingChars="400"/>
        <w:jc w:val="center"/>
        <w:rPr>
          <w:rFonts w:ascii="仿宋" w:hAnsi="仿宋" w:eastAsia="仿宋" w:cs="仿宋_GB2312"/>
          <w:color w:val="FF0000"/>
          <w:sz w:val="24"/>
        </w:rPr>
      </w:pPr>
    </w:p>
    <w:p>
      <w:pPr>
        <w:spacing w:before="63" w:beforeLines="20" w:after="63" w:afterLines="20" w:line="240" w:lineRule="auto"/>
        <w:ind w:left="-420" w:leftChars="-200" w:firstLine="0" w:firstLineChars="0"/>
        <w:rPr>
          <w:rFonts w:ascii="仿宋" w:hAnsi="仿宋" w:eastAsia="仿宋" w:cs="仿宋_GB2312"/>
          <w:color w:val="FF0000"/>
          <w:sz w:val="24"/>
        </w:rPr>
        <w:sectPr>
          <w:pgSz w:w="16838" w:h="11906" w:orient="landscape"/>
          <w:pgMar w:top="1179" w:right="1440" w:bottom="1179" w:left="1440" w:header="850" w:footer="992" w:gutter="0"/>
          <w:pgNumType w:fmt="numberInDash"/>
          <w:cols w:space="0" w:num="1"/>
          <w:docGrid w:type="lines" w:linePitch="318" w:charSpace="0"/>
        </w:sectPr>
      </w:pPr>
    </w:p>
    <w:p>
      <w:pPr>
        <w:spacing w:before="63" w:beforeLines="20" w:after="63" w:afterLines="20" w:line="240" w:lineRule="auto"/>
        <w:ind w:firstLine="0" w:firstLineChars="0"/>
        <w:rPr>
          <w:rFonts w:ascii="仿宋" w:hAnsi="仿宋" w:eastAsia="仿宋" w:cs="仿宋_GB2312"/>
          <w:color w:val="000000" w:themeColor="text1"/>
          <w:kern w:val="0"/>
          <w:sz w:val="30"/>
          <w:szCs w:val="30"/>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附图7:1303工作面供电系统图</w:t>
      </w:r>
    </w:p>
    <w:p>
      <w:pPr>
        <w:spacing w:before="63" w:beforeLines="20" w:after="63" w:afterLines="20" w:line="240" w:lineRule="auto"/>
        <w:ind w:firstLine="0" w:firstLineChars="0"/>
        <w:rPr>
          <w:rFonts w:ascii="仿宋" w:hAnsi="仿宋" w:eastAsia="仿宋" w:cs="仿宋_GB2312"/>
          <w:color w:val="FF0000"/>
          <w:sz w:val="24"/>
        </w:rPr>
      </w:pPr>
    </w:p>
    <w:p>
      <w:pPr>
        <w:pStyle w:val="2"/>
        <w:spacing w:line="240" w:lineRule="auto"/>
        <w:ind w:leftChars="-135" w:hanging="283" w:hangingChars="118"/>
        <w:jc w:val="center"/>
        <w:rPr>
          <w:rFonts w:eastAsia="仿宋"/>
          <w:color w:val="FF0000"/>
        </w:rPr>
        <w:sectPr>
          <w:pgSz w:w="16838" w:h="11906" w:orient="landscape"/>
          <w:pgMar w:top="1179" w:right="1440" w:bottom="1179" w:left="1440" w:header="850" w:footer="992" w:gutter="0"/>
          <w:pgNumType w:fmt="numberInDash"/>
          <w:cols w:space="0" w:num="1"/>
          <w:docGrid w:type="lines" w:linePitch="318" w:charSpace="0"/>
        </w:sectPr>
      </w:pPr>
      <w:r>
        <w:rPr>
          <w:rFonts w:ascii="宋体" w:hAnsi="宋体" w:eastAsia="宋体" w:cs="宋体"/>
          <w:sz w:val="24"/>
          <w:szCs w:val="24"/>
        </w:rPr>
        <w:drawing>
          <wp:inline distT="0" distB="0" distL="114300" distR="114300">
            <wp:extent cx="8246110" cy="5342255"/>
            <wp:effectExtent l="0" t="0" r="2540" b="10795"/>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53"/>
                    <a:stretch>
                      <a:fillRect/>
                    </a:stretch>
                  </pic:blipFill>
                  <pic:spPr>
                    <a:xfrm>
                      <a:off x="0" y="0"/>
                      <a:ext cx="8246110" cy="5342255"/>
                    </a:xfrm>
                    <a:prstGeom prst="rect">
                      <a:avLst/>
                    </a:prstGeom>
                    <a:noFill/>
                    <a:ln w="9525">
                      <a:noFill/>
                    </a:ln>
                  </pic:spPr>
                </pic:pic>
              </a:graphicData>
            </a:graphic>
          </wp:inline>
        </w:drawing>
      </w: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附图8：1303工作面监控系统图   </w:t>
      </w:r>
    </w:p>
    <w:p>
      <w:pPr>
        <w:pStyle w:val="12"/>
        <w:ind w:firstLine="420"/>
      </w:pPr>
    </w:p>
    <w:p>
      <w:pPr>
        <w:pStyle w:val="13"/>
        <w:ind w:firstLine="600"/>
      </w:pPr>
    </w:p>
    <w:p>
      <w:pPr>
        <w:spacing w:before="63" w:beforeLines="20" w:after="63" w:afterLines="20" w:line="240" w:lineRule="auto"/>
        <w:ind w:leftChars="-135" w:hanging="324" w:hangingChars="135"/>
        <w:rPr>
          <w:rFonts w:ascii="仿宋" w:hAnsi="仿宋" w:eastAsia="仿宋" w:cs="仿宋_GB2312"/>
          <w:color w:val="FF0000"/>
          <w:kern w:val="0"/>
          <w:sz w:val="24"/>
        </w:rPr>
      </w:pPr>
      <w:r>
        <w:rPr>
          <w:rFonts w:ascii="宋体" w:hAnsi="宋体" w:eastAsia="宋体" w:cs="宋体"/>
          <w:sz w:val="24"/>
          <w:szCs w:val="24"/>
        </w:rPr>
        <w:drawing>
          <wp:inline distT="0" distB="0" distL="114300" distR="114300">
            <wp:extent cx="9218295" cy="3050540"/>
            <wp:effectExtent l="0" t="0" r="1905" b="16510"/>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54"/>
                    <a:stretch>
                      <a:fillRect/>
                    </a:stretch>
                  </pic:blipFill>
                  <pic:spPr>
                    <a:xfrm>
                      <a:off x="0" y="0"/>
                      <a:ext cx="9218295" cy="3050540"/>
                    </a:xfrm>
                    <a:prstGeom prst="rect">
                      <a:avLst/>
                    </a:prstGeom>
                    <a:noFill/>
                    <a:ln w="9525">
                      <a:noFill/>
                    </a:ln>
                  </pic:spPr>
                </pic:pic>
              </a:graphicData>
            </a:graphic>
          </wp:inline>
        </w:drawing>
      </w:r>
      <w:r>
        <w:rPr>
          <w:rFonts w:hint="eastAsia" w:ascii="仿宋" w:hAnsi="仿宋" w:eastAsia="仿宋" w:cs="仿宋_GB2312"/>
          <w:color w:val="FF0000"/>
          <w:kern w:val="0"/>
          <w:sz w:val="24"/>
        </w:rPr>
        <w:t xml:space="preserve">                                                       </w:t>
      </w: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附图9:1303工作面人员定位及通信系统图</w:t>
      </w:r>
    </w:p>
    <w:p>
      <w:pPr>
        <w:pStyle w:val="13"/>
        <w:ind w:firstLine="600"/>
      </w:pPr>
    </w:p>
    <w:p>
      <w:pPr>
        <w:pStyle w:val="12"/>
        <w:ind w:firstLine="420"/>
      </w:pPr>
      <w:r>
        <w:drawing>
          <wp:inline distT="0" distB="0" distL="114300" distR="114300">
            <wp:extent cx="8860790" cy="2974975"/>
            <wp:effectExtent l="0" t="0" r="16510" b="15875"/>
            <wp:docPr id="21" name="图片 21" descr="G{25AR)VDD[[Y)0IZR%%}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25AR)VDD[[Y)0IZR%%}8K"/>
                    <pic:cNvPicPr>
                      <a:picLocks noChangeAspect="1"/>
                    </pic:cNvPicPr>
                  </pic:nvPicPr>
                  <pic:blipFill>
                    <a:blip r:embed="rId55"/>
                    <a:stretch>
                      <a:fillRect/>
                    </a:stretch>
                  </pic:blipFill>
                  <pic:spPr>
                    <a:xfrm>
                      <a:off x="0" y="0"/>
                      <a:ext cx="8860790" cy="2974975"/>
                    </a:xfrm>
                    <a:prstGeom prst="rect">
                      <a:avLst/>
                    </a:prstGeom>
                  </pic:spPr>
                </pic:pic>
              </a:graphicData>
            </a:graphic>
          </wp:inline>
        </w:drawing>
      </w:r>
    </w:p>
    <w:p>
      <w:pPr>
        <w:pStyle w:val="13"/>
        <w:ind w:firstLine="600"/>
      </w:pPr>
    </w:p>
    <w:p>
      <w:pPr>
        <w:pStyle w:val="13"/>
        <w:ind w:firstLine="600"/>
      </w:pPr>
    </w:p>
    <w:p>
      <w:pPr>
        <w:pStyle w:val="13"/>
        <w:ind w:firstLine="600"/>
      </w:pPr>
    </w:p>
    <w:p>
      <w:pPr>
        <w:pStyle w:val="13"/>
        <w:ind w:firstLine="600"/>
      </w:pPr>
    </w:p>
    <w:p>
      <w:pPr>
        <w:pStyle w:val="13"/>
        <w:ind w:firstLine="600"/>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ascii="仿宋" w:hAnsi="仿宋" w:eastAsia="仿宋" w:cs="仿宋_GB2312"/>
          <w:color w:val="FF0000"/>
          <w:kern w:val="0"/>
          <w:sz w:val="24"/>
        </w:rPr>
      </w:pPr>
      <w:r>
        <w:rPr>
          <w:rFonts w:hint="eastAsia" w:ascii="仿宋" w:hAnsi="仿宋" w:eastAsia="仿宋" w:cs="仿宋_GB2312"/>
          <w:color w:val="000000" w:themeColor="text1"/>
          <w:kern w:val="0"/>
          <w:sz w:val="24"/>
          <w14:textFill>
            <w14:solidFill>
              <w14:schemeClr w14:val="tx1"/>
            </w14:solidFill>
          </w14:textFill>
        </w:rPr>
        <w:t xml:space="preserve">附图10：1303工作面防尘系统图 </w:t>
      </w:r>
    </w:p>
    <w:p>
      <w:pPr>
        <w:pStyle w:val="12"/>
        <w:ind w:firstLine="420"/>
      </w:pPr>
    </w:p>
    <w:p>
      <w:pPr>
        <w:pStyle w:val="13"/>
        <w:ind w:firstLine="600"/>
      </w:pPr>
    </w:p>
    <w:p>
      <w:pPr>
        <w:pStyle w:val="13"/>
        <w:ind w:firstLine="600"/>
      </w:pPr>
    </w:p>
    <w:p>
      <w:pPr>
        <w:ind w:leftChars="-202" w:hanging="424" w:hangingChars="202"/>
        <w:rPr>
          <w:color w:val="FF0000"/>
        </w:rPr>
      </w:pPr>
      <w:r>
        <w:drawing>
          <wp:inline distT="0" distB="0" distL="114300" distR="114300">
            <wp:extent cx="8858250" cy="3210560"/>
            <wp:effectExtent l="0" t="0" r="0" b="8890"/>
            <wp:docPr id="22" name="图片 22" descr="T30@B)0TIJ}672H~O0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30@B)0TIJ}672H~O0T`]19"/>
                    <pic:cNvPicPr>
                      <a:picLocks noChangeAspect="1"/>
                    </pic:cNvPicPr>
                  </pic:nvPicPr>
                  <pic:blipFill>
                    <a:blip r:embed="rId56"/>
                    <a:stretch>
                      <a:fillRect/>
                    </a:stretch>
                  </pic:blipFill>
                  <pic:spPr>
                    <a:xfrm>
                      <a:off x="0" y="0"/>
                      <a:ext cx="8858250" cy="3210560"/>
                    </a:xfrm>
                    <a:prstGeom prst="rect">
                      <a:avLst/>
                    </a:prstGeom>
                  </pic:spPr>
                </pic:pic>
              </a:graphicData>
            </a:graphic>
          </wp:inline>
        </w:drawing>
      </w:r>
    </w:p>
    <w:p>
      <w:pPr>
        <w:ind w:firstLine="420"/>
        <w:rPr>
          <w:color w:val="FF0000"/>
        </w:rPr>
      </w:pPr>
    </w:p>
    <w:p>
      <w:pPr>
        <w:spacing w:before="63" w:beforeLines="20" w:after="63" w:afterLines="20" w:line="240" w:lineRule="auto"/>
        <w:ind w:firstLine="0" w:firstLineChars="0"/>
        <w:rPr>
          <w:rFonts w:ascii="仿宋" w:hAnsi="仿宋" w:eastAsia="仿宋" w:cs="仿宋_GB2312"/>
          <w:color w:val="FF0000"/>
          <w:kern w:val="0"/>
          <w:sz w:val="24"/>
        </w:rPr>
      </w:pPr>
    </w:p>
    <w:p>
      <w:pPr>
        <w:pStyle w:val="12"/>
        <w:ind w:firstLine="420"/>
      </w:pP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firstLine="0" w:firstLineChars="0"/>
        <w:rPr>
          <w:rFonts w:ascii="仿宋" w:hAnsi="仿宋" w:eastAsia="仿宋" w:cs="仿宋_GB2312"/>
          <w:color w:val="FF0000"/>
          <w:kern w:val="0"/>
          <w:sz w:val="24"/>
        </w:rPr>
      </w:pP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附图11：1303工作面防灭火系统图 </w:t>
      </w:r>
    </w:p>
    <w:p>
      <w:pPr>
        <w:pStyle w:val="3"/>
        <w:keepNext w:val="0"/>
        <w:keepLines w:val="0"/>
        <w:ind w:left="0" w:leftChars="0" w:firstLine="0" w:firstLineChars="0"/>
        <w:jc w:val="both"/>
      </w:pPr>
    </w:p>
    <w:p>
      <w:pPr>
        <w:pStyle w:val="3"/>
        <w:keepNext w:val="0"/>
        <w:keepLines w:val="0"/>
        <w:ind w:left="419" w:leftChars="-135" w:hanging="702" w:hangingChars="251"/>
        <w:rPr>
          <w:color w:val="FF0000"/>
        </w:rPr>
      </w:pPr>
      <w:r>
        <w:drawing>
          <wp:inline distT="0" distB="0" distL="114300" distR="114300">
            <wp:extent cx="8858250" cy="3056255"/>
            <wp:effectExtent l="0" t="0" r="0" b="10795"/>
            <wp:docPr id="23" name="图片 23" descr="S[}4YEKOOLTBRAR3G~BW[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4YEKOOLTBRAR3G~BW[98"/>
                    <pic:cNvPicPr>
                      <a:picLocks noChangeAspect="1"/>
                    </pic:cNvPicPr>
                  </pic:nvPicPr>
                  <pic:blipFill>
                    <a:blip r:embed="rId57"/>
                    <a:stretch>
                      <a:fillRect/>
                    </a:stretch>
                  </pic:blipFill>
                  <pic:spPr>
                    <a:xfrm>
                      <a:off x="0" y="0"/>
                      <a:ext cx="8858250" cy="3056255"/>
                    </a:xfrm>
                    <a:prstGeom prst="rect">
                      <a:avLst/>
                    </a:prstGeom>
                  </pic:spPr>
                </pic:pic>
              </a:graphicData>
            </a:graphic>
          </wp:inline>
        </w:drawing>
      </w:r>
    </w:p>
    <w:p>
      <w:pPr>
        <w:ind w:firstLine="420"/>
      </w:pPr>
    </w:p>
    <w:p>
      <w:pPr>
        <w:pStyle w:val="12"/>
        <w:ind w:firstLine="420"/>
      </w:pPr>
    </w:p>
    <w:p>
      <w:pPr>
        <w:pStyle w:val="13"/>
        <w:ind w:firstLine="600"/>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附图12：1303工作面避灾路线系统图</w:t>
      </w:r>
    </w:p>
    <w:p>
      <w:pPr>
        <w:pStyle w:val="13"/>
        <w:ind w:left="0" w:leftChars="0" w:firstLine="0" w:firstLineChars="0"/>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678545" cy="3338195"/>
            <wp:effectExtent l="0" t="0" r="8255" b="14605"/>
            <wp:docPr id="25" name="图片 25" descr="QS3IGX0H(T7%4@]S9O8U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S3IGX0H(T7%4@]S9O8U73D"/>
                    <pic:cNvPicPr>
                      <a:picLocks noChangeAspect="1"/>
                    </pic:cNvPicPr>
                  </pic:nvPicPr>
                  <pic:blipFill>
                    <a:blip r:embed="rId58"/>
                    <a:stretch>
                      <a:fillRect/>
                    </a:stretch>
                  </pic:blipFill>
                  <pic:spPr>
                    <a:xfrm>
                      <a:off x="0" y="0"/>
                      <a:ext cx="8678545" cy="3338195"/>
                    </a:xfrm>
                    <a:prstGeom prst="rect">
                      <a:avLst/>
                    </a:prstGeom>
                  </pic:spPr>
                </pic:pic>
              </a:graphicData>
            </a:graphic>
          </wp:inline>
        </w:drawing>
      </w:r>
    </w:p>
    <w:p>
      <w:pPr>
        <w:pStyle w:val="13"/>
        <w:ind w:firstLine="600"/>
      </w:pPr>
    </w:p>
    <w:p>
      <w:pPr>
        <w:pStyle w:val="13"/>
        <w:ind w:firstLine="600"/>
      </w:pPr>
    </w:p>
    <w:p>
      <w:pPr>
        <w:pStyle w:val="13"/>
        <w:ind w:firstLine="600"/>
      </w:pPr>
    </w:p>
    <w:p>
      <w:pPr>
        <w:pStyle w:val="13"/>
        <w:ind w:firstLine="600"/>
      </w:pPr>
    </w:p>
    <w:p>
      <w:pPr>
        <w:pStyle w:val="13"/>
        <w:ind w:firstLine="600"/>
      </w:pP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p>
    <w:p>
      <w:pPr>
        <w:pStyle w:val="12"/>
      </w:pP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 xml:space="preserve">附图13：1303工作面视频监控系统布置图  </w:t>
      </w:r>
    </w:p>
    <w:p>
      <w:pPr>
        <w:ind w:firstLine="0" w:firstLineChars="0"/>
        <w:rPr>
          <w:rFonts w:ascii="仿宋_GB2312" w:hAnsi="仿宋_GB2312" w:cs="仿宋_GB2312"/>
          <w:color w:val="FF0000"/>
          <w:sz w:val="28"/>
          <w:szCs w:val="28"/>
        </w:rPr>
      </w:pPr>
    </w:p>
    <w:p>
      <w:pPr>
        <w:ind w:leftChars="-337" w:hanging="707" w:hangingChars="337"/>
        <w:jc w:val="center"/>
        <w:rPr>
          <w:color w:val="FF0000"/>
          <w:sz w:val="44"/>
          <w:szCs w:val="52"/>
        </w:rPr>
      </w:pPr>
      <w:r>
        <w:drawing>
          <wp:inline distT="0" distB="0" distL="114300" distR="114300">
            <wp:extent cx="8997315" cy="2846705"/>
            <wp:effectExtent l="0" t="0" r="13335" b="1079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59"/>
                    <a:stretch>
                      <a:fillRect/>
                    </a:stretch>
                  </pic:blipFill>
                  <pic:spPr>
                    <a:xfrm>
                      <a:off x="0" y="0"/>
                      <a:ext cx="8997315" cy="2846705"/>
                    </a:xfrm>
                    <a:prstGeom prst="rect">
                      <a:avLst/>
                    </a:prstGeom>
                    <a:noFill/>
                    <a:ln>
                      <a:noFill/>
                    </a:ln>
                  </pic:spPr>
                </pic:pic>
              </a:graphicData>
            </a:graphic>
          </wp:inline>
        </w:drawing>
      </w:r>
    </w:p>
    <w:p>
      <w:pPr>
        <w:ind w:firstLine="0" w:firstLineChars="0"/>
        <w:jc w:val="center"/>
        <w:rPr>
          <w:color w:val="FF0000"/>
          <w:sz w:val="44"/>
          <w:szCs w:val="52"/>
        </w:rPr>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hint="eastAsia" w:ascii="仿宋" w:hAnsi="仿宋" w:eastAsia="仿宋" w:cs="仿宋_GB2312"/>
          <w:color w:val="000000" w:themeColor="text1"/>
          <w:kern w:val="0"/>
          <w:sz w:val="24"/>
          <w14:textFill>
            <w14:solidFill>
              <w14:schemeClr w14:val="tx1"/>
            </w14:solidFill>
          </w14:textFill>
        </w:rPr>
      </w:pPr>
    </w:p>
    <w:p>
      <w:pPr>
        <w:spacing w:before="63" w:beforeLines="20" w:after="63" w:afterLines="20" w:line="240" w:lineRule="auto"/>
        <w:ind w:firstLine="0" w:firstLineChars="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附图1</w:t>
      </w:r>
      <w:r>
        <w:rPr>
          <w:rFonts w:hint="eastAsia" w:ascii="仿宋" w:hAnsi="仿宋" w:eastAsia="仿宋" w:cs="仿宋_GB2312"/>
          <w:color w:val="000000" w:themeColor="text1"/>
          <w:kern w:val="0"/>
          <w:sz w:val="24"/>
          <w:lang w:val="en-US" w:eastAsia="zh-CN"/>
          <w14:textFill>
            <w14:solidFill>
              <w14:schemeClr w14:val="tx1"/>
            </w14:solidFill>
          </w14:textFill>
        </w:rPr>
        <w:t>4</w:t>
      </w:r>
      <w:r>
        <w:rPr>
          <w:rFonts w:hint="eastAsia" w:ascii="仿宋" w:hAnsi="仿宋" w:eastAsia="仿宋" w:cs="仿宋_GB2312"/>
          <w:color w:val="000000" w:themeColor="text1"/>
          <w:kern w:val="0"/>
          <w:sz w:val="24"/>
          <w14:textFill>
            <w14:solidFill>
              <w14:schemeClr w14:val="tx1"/>
            </w14:solidFill>
          </w14:textFill>
        </w:rPr>
        <w:t>：1303工作面</w:t>
      </w:r>
      <w:r>
        <w:rPr>
          <w:rFonts w:hint="eastAsia" w:ascii="仿宋" w:hAnsi="仿宋" w:eastAsia="仿宋" w:cs="仿宋_GB2312"/>
          <w:color w:val="000000" w:themeColor="text1"/>
          <w:kern w:val="0"/>
          <w:sz w:val="24"/>
          <w:lang w:val="en-US" w:eastAsia="zh-CN"/>
          <w14:textFill>
            <w14:solidFill>
              <w14:schemeClr w14:val="tx1"/>
            </w14:solidFill>
          </w14:textFill>
        </w:rPr>
        <w:t>矿压观测</w:t>
      </w:r>
      <w:r>
        <w:rPr>
          <w:rFonts w:hint="eastAsia" w:ascii="仿宋" w:hAnsi="仿宋" w:eastAsia="仿宋" w:cs="仿宋_GB2312"/>
          <w:color w:val="000000" w:themeColor="text1"/>
          <w:kern w:val="0"/>
          <w:sz w:val="24"/>
          <w14:textFill>
            <w14:solidFill>
              <w14:schemeClr w14:val="tx1"/>
            </w14:solidFill>
          </w14:textFill>
        </w:rPr>
        <w:t xml:space="preserve">布置图  </w:t>
      </w:r>
    </w:p>
    <w:p>
      <w:pPr>
        <w:ind w:firstLine="0" w:firstLineChars="0"/>
        <w:rPr>
          <w:rFonts w:ascii="仿宋_GB2312" w:hAnsi="仿宋_GB2312" w:cs="仿宋_GB2312"/>
          <w:color w:val="FF0000"/>
          <w:sz w:val="28"/>
          <w:szCs w:val="28"/>
        </w:rPr>
      </w:pPr>
    </w:p>
    <w:p>
      <w:pPr>
        <w:ind w:firstLine="0" w:firstLineChars="0"/>
        <w:jc w:val="center"/>
        <w:rPr>
          <w:color w:val="FF0000"/>
          <w:sz w:val="44"/>
          <w:szCs w:val="52"/>
        </w:rPr>
      </w:pPr>
      <w:r>
        <w:drawing>
          <wp:inline distT="0" distB="0" distL="114300" distR="114300">
            <wp:extent cx="8416290" cy="3145790"/>
            <wp:effectExtent l="0" t="0" r="3810" b="16510"/>
            <wp:docPr id="3" name="图片 3" descr="67@UXT]0B56$R{FO~HDOG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7@UXT]0B56$R{FO~HDOG8Q"/>
                    <pic:cNvPicPr>
                      <a:picLocks noChangeAspect="1"/>
                    </pic:cNvPicPr>
                  </pic:nvPicPr>
                  <pic:blipFill>
                    <a:blip r:embed="rId60"/>
                    <a:stretch>
                      <a:fillRect/>
                    </a:stretch>
                  </pic:blipFill>
                  <pic:spPr>
                    <a:xfrm>
                      <a:off x="0" y="0"/>
                      <a:ext cx="8416290" cy="3145790"/>
                    </a:xfrm>
                    <a:prstGeom prst="rect">
                      <a:avLst/>
                    </a:prstGeom>
                  </pic:spPr>
                </pic:pic>
              </a:graphicData>
            </a:graphic>
          </wp:inline>
        </w:drawing>
      </w:r>
    </w:p>
    <w:p>
      <w:pPr>
        <w:ind w:firstLine="0" w:firstLineChars="0"/>
        <w:rPr>
          <w:color w:val="FF0000"/>
          <w:sz w:val="44"/>
          <w:szCs w:val="52"/>
        </w:rPr>
      </w:pPr>
    </w:p>
    <w:p>
      <w:pPr>
        <w:pStyle w:val="4"/>
        <w:keepNext w:val="0"/>
        <w:keepLines w:val="0"/>
        <w:spacing w:before="0" w:after="0"/>
        <w:ind w:firstLine="482"/>
        <w:rPr>
          <w:color w:val="FF0000"/>
        </w:rPr>
        <w:sectPr>
          <w:headerReference r:id="rId19" w:type="default"/>
          <w:footerReference r:id="rId20" w:type="default"/>
          <w:pgSz w:w="16838" w:h="11906" w:orient="landscape"/>
          <w:pgMar w:top="1179" w:right="1440" w:bottom="1179" w:left="1440" w:header="851" w:footer="992" w:gutter="0"/>
          <w:pgNumType w:fmt="numberInDash"/>
          <w:cols w:space="0" w:num="1"/>
          <w:docGrid w:type="linesAndChars" w:linePitch="318" w:charSpace="0"/>
        </w:sectPr>
      </w:pPr>
    </w:p>
    <w:p>
      <w:pPr>
        <w:rPr>
          <w:rFonts w:hint="eastAsia"/>
          <w:sz w:val="28"/>
          <w:szCs w:val="36"/>
          <w:lang w:val="en-US" w:eastAsia="zh-CN"/>
        </w:rPr>
      </w:pPr>
      <w:r>
        <w:rPr>
          <w:rFonts w:hint="eastAsia"/>
          <w:sz w:val="28"/>
          <w:szCs w:val="36"/>
          <w:lang w:val="en-US" w:eastAsia="zh-CN"/>
        </w:rPr>
        <w:t>1303工作面乳化泵站储能器补充使用管理规定：</w:t>
      </w:r>
    </w:p>
    <w:p>
      <w:pPr>
        <w:tabs>
          <w:tab w:val="left" w:pos="429"/>
        </w:tabs>
        <w:bidi w:val="0"/>
        <w:ind w:left="0" w:leftChars="0"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一、</w:t>
      </w:r>
      <w:r>
        <w:rPr>
          <w:rFonts w:hint="eastAsia" w:ascii="仿宋" w:hAnsi="仿宋" w:eastAsia="仿宋" w:cs="仿宋"/>
          <w:color w:val="000000" w:themeColor="text1"/>
          <w:sz w:val="24"/>
          <w:szCs w:val="24"/>
          <w14:textFill>
            <w14:solidFill>
              <w14:schemeClr w14:val="tx1"/>
            </w14:solidFill>
          </w14:textFill>
        </w:rPr>
        <w:t>开机前准备。</w:t>
      </w:r>
      <w:r>
        <w:rPr>
          <w:rFonts w:hint="eastAsia" w:ascii="仿宋" w:hAnsi="仿宋" w:eastAsia="仿宋" w:cs="仿宋"/>
          <w:color w:val="000000" w:themeColor="text1"/>
          <w:sz w:val="24"/>
          <w:szCs w:val="24"/>
          <w14:textFill>
            <w14:solidFill>
              <w14:schemeClr w14:val="tx1"/>
            </w14:solidFill>
          </w14:textFill>
        </w:rPr>
        <w:br w:type="textWrapping"/>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检查各阀都处于中位(除旁通在关以外)。</w:t>
      </w:r>
    </w:p>
    <w:p>
      <w:pPr>
        <w:tabs>
          <w:tab w:val="left" w:pos="429"/>
        </w:tabs>
        <w:bidi w:val="0"/>
        <w:ind w:left="0" w:leftChars="0"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磁力启动器手自动是否在手动上。</w:t>
      </w:r>
      <w:r>
        <w:rPr>
          <w:rFonts w:hint="eastAsia" w:ascii="仿宋" w:hAnsi="仿宋" w:eastAsia="仿宋" w:cs="仿宋"/>
          <w:color w:val="000000" w:themeColor="text1"/>
          <w:sz w:val="24"/>
          <w:szCs w:val="24"/>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手动泄压阀是否关闭。(手动泄压阀要处于关闭状态。)</w:t>
      </w:r>
      <w:r>
        <w:rPr>
          <w:rFonts w:hint="eastAsia" w:ascii="仿宋" w:hAnsi="仿宋" w:eastAsia="仿宋" w:cs="仿宋"/>
          <w:color w:val="000000" w:themeColor="text1"/>
          <w:sz w:val="24"/>
          <w:szCs w:val="24"/>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气源是否接上。(开机气源要接上。)</w:t>
      </w:r>
      <w:r>
        <w:rPr>
          <w:rFonts w:hint="eastAsia" w:ascii="仿宋" w:hAnsi="仿宋" w:eastAsia="仿宋" w:cs="仿宋"/>
          <w:color w:val="000000" w:themeColor="text1"/>
          <w:sz w:val="24"/>
          <w:szCs w:val="24"/>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二、手动自动运行。</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1、打开气源。</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2、板动各阀门手柄，让各阀门处于中位。(注意:旁通在正常使用时要在关的位置。当处于开始，管汇与储能器压力都是样。)</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3、打开磁力启动器上的电源开关。按下启动按钮，电机运转(注意:手动状态下只有按下停止按钮才会停，系统不会自动停止。)当储能器压力到21Mpa时按下停止按钮。</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4、电机自动运行。将手自动转换开关打到自动上，电机运转(注:电机在21Mpa时会自动停止。当系统低于19Mpa时电机又会运转。)自动状态下系统始终会保持在19-21Mpa之间。</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三、系统停止。</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1、停止电源。</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2、将磁力起动箱手自动开关打到手动位置。</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3、打开手动泄压阀卸掉系统压力。</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4、将忠和箱的备用电源开关打到分上。(如在合上会用电池的电，时间长将损坏电池。)</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5、将所有的三位四通阀都打到中位(出旁通外)。</w:t>
      </w:r>
      <w:r>
        <w:rPr>
          <w:rFonts w:hint="eastAsia" w:ascii="仿宋" w:hAnsi="仿宋" w:eastAsia="仿宋" w:cs="仿宋"/>
          <w:color w:val="000000" w:themeColor="text1"/>
          <w:sz w:val="24"/>
          <w:szCs w:val="24"/>
          <w:lang w:val="en-US" w:eastAsia="zh-CN"/>
          <w14:textFill>
            <w14:solidFill>
              <w14:schemeClr w14:val="tx1"/>
            </w14:solidFill>
          </w14:textFill>
        </w:rPr>
        <w:br w:type="textWrapping"/>
      </w:r>
      <w:r>
        <w:rPr>
          <w:rFonts w:hint="eastAsia" w:ascii="仿宋" w:hAnsi="仿宋" w:eastAsia="仿宋" w:cs="仿宋"/>
          <w:color w:val="000000" w:themeColor="text1"/>
          <w:sz w:val="24"/>
          <w:szCs w:val="24"/>
          <w:lang w:val="en-US" w:eastAsia="zh-CN"/>
          <w14:textFill>
            <w14:solidFill>
              <w14:schemeClr w14:val="tx1"/>
            </w14:solidFill>
          </w14:textFill>
        </w:rPr>
        <w:t>6、关掉气源。</w:t>
      </w:r>
    </w:p>
    <w:p>
      <w:pPr>
        <w:tabs>
          <w:tab w:val="left" w:pos="579"/>
        </w:tabs>
        <w:bidi w:val="0"/>
        <w:jc w:val="left"/>
        <w:rPr>
          <w:rFonts w:hint="default" w:ascii="仿宋" w:hAnsi="仿宋" w:eastAsia="仿宋" w:cs="仿宋"/>
          <w:color w:val="000000" w:themeColor="text1"/>
          <w:kern w:val="2"/>
          <w:sz w:val="24"/>
          <w:szCs w:val="24"/>
          <w:lang w:val="en-US" w:eastAsia="zh-CN" w:bidi="ar-SA"/>
          <w14:textFill>
            <w14:solidFill>
              <w14:schemeClr w14:val="tx1"/>
            </w14:solidFill>
          </w14:textFill>
        </w:rPr>
      </w:pPr>
    </w:p>
    <w:sectPr>
      <w:pgSz w:w="11906" w:h="16838"/>
      <w:pgMar w:top="1440" w:right="1179" w:bottom="1440" w:left="1179" w:header="851" w:footer="992" w:gutter="0"/>
      <w:pgNumType w:fmt="numberInDash"/>
      <w:cols w:space="0" w:num="1"/>
      <w:docGrid w:type="linesAndChar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font-weight : 700">
    <w:altName w:val="RomanS"/>
    <w:panose1 w:val="00000000000000000000"/>
    <w:charset w:val="00"/>
    <w:family w:val="auto"/>
    <w:pitch w:val="default"/>
    <w:sig w:usb0="00000000" w:usb1="00000000" w:usb2="00000000"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方正粗黑宋简体">
    <w:altName w:val="宋体"/>
    <w:panose1 w:val="02000000000000000000"/>
    <w:charset w:val="86"/>
    <w:family w:val="auto"/>
    <w:pitch w:val="default"/>
    <w:sig w:usb0="00000000" w:usb1="00000000" w:usb2="00000012" w:usb3="00000000" w:csb0="00040001" w:csb1="00000000"/>
  </w:font>
  <w:font w:name="RomanS">
    <w:panose1 w:val="02000400000000000000"/>
    <w:charset w:val="00"/>
    <w:family w:val="auto"/>
    <w:pitch w:val="default"/>
    <w:sig w:usb0="00000207" w:usb1="00000000" w:usb2="00000000" w:usb3="00000000" w:csb0="0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3990"/>
        <w:tab w:val="center" w:pos="4535"/>
        <w:tab w:val="clear" w:pos="4153"/>
        <w:tab w:val="clear" w:pos="8306"/>
      </w:tabs>
      <w:ind w:firstLine="36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58420" cy="139700"/>
              <wp:effectExtent l="0" t="0" r="0" b="0"/>
              <wp:wrapNone/>
              <wp:docPr id="15"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24"/>
                            <w:ind w:firstLine="0" w:firstLineChars="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1pt;width:4.6pt;mso-position-horizontal:center;mso-position-horizontal-relative:margin;mso-wrap-style:none;z-index:251668480;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W7l30AAAAAIBAAAPAAAAAAAAAAEAIAAAACIAAABkcnMvZG93bnJldi54bWxQSwEC&#10;FAAUAAAACACHTuJAGp1Zc/wBAAAEBAAADgAAAAAAAAABACAAAAAfAQAAZHJzL2Uyb0RvYy54bWxQ&#10;SwUGAAAAAAYABgBZAQAAjQUAAAAA&#10;">
              <v:fill on="f" focussize="0,0"/>
              <v:stroke on="f"/>
              <v:imagedata o:title=""/>
              <o:lock v:ext="edit" aspectratio="f"/>
              <v:textbox inset="0mm,0mm,0mm,0mm" style="mso-fit-shape-to-text:t;">
                <w:txbxContent>
                  <w:p>
                    <w:pPr>
                      <w:pStyle w:val="24"/>
                      <w:ind w:firstLine="0" w:firstLineChars="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t>- 257 -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DQqYSfTAQAApQMAAA4AAAAAAAAAAQAgAAAA&#10;IgEAAGRycy9lMm9Eb2MueG1sUEsFBgAAAAAGAAYAWQEAAGcFAAAAAA==&#10;">
              <v:fill on="f" focussize="0,0"/>
              <v:stroke on="f" weight="1.25pt"/>
              <v:imagedata o:title=""/>
              <o:lock v:ext="edit" aspectratio="f"/>
              <v:textbox inset="0mm,0mm,0mm,0mm" style="mso-fit-shape-to-text:t;">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t>- 257 -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t>- 263 -</w:t>
                          </w:r>
                          <w:r>
                            <w:rPr>
                              <w:rFonts w:hint="eastAsia"/>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f4BBR9IBAACjAwAADgAAAAAAAAABACAAAAAi&#10;AQAAZHJzL2Uyb0RvYy54bWxQSwUGAAAAAAYABgBZAQAAZgUAAAAA&#10;">
              <v:fill on="f" focussize="0,0"/>
              <v:stroke on="f" weight="1.25pt"/>
              <v:imagedata o:title=""/>
              <o:lock v:ext="edit" aspectratio="f"/>
              <v:textbox inset="0mm,0mm,0mm,0mm" style="mso-fit-shape-to-text:t;">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t>- 263 -</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rPr>
        <w:rFonts w:ascii="宋体" w:hAnsi="宋体" w:eastAsia="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4"/>
                            <w:ind w:firstLine="480"/>
                            <w:rPr>
                              <w:rStyle w:val="39"/>
                              <w:rFonts w:ascii="黑体" w:hAnsi="黑体" w:eastAsia="黑体"/>
                              <w:sz w:val="24"/>
                              <w:szCs w:val="24"/>
                            </w:rPr>
                          </w:pPr>
                          <w:r>
                            <w:rPr>
                              <w:rFonts w:ascii="黑体" w:hAnsi="黑体" w:eastAsia="黑体"/>
                              <w:sz w:val="24"/>
                              <w:szCs w:val="24"/>
                            </w:rPr>
                            <w:fldChar w:fldCharType="begin"/>
                          </w:r>
                          <w:r>
                            <w:rPr>
                              <w:rStyle w:val="39"/>
                              <w:rFonts w:ascii="黑体" w:hAnsi="黑体" w:eastAsia="黑体"/>
                              <w:sz w:val="24"/>
                              <w:szCs w:val="24"/>
                            </w:rPr>
                            <w:instrText xml:space="preserve">PAGE  </w:instrText>
                          </w:r>
                          <w:r>
                            <w:rPr>
                              <w:rFonts w:ascii="黑体" w:hAnsi="黑体" w:eastAsia="黑体"/>
                              <w:sz w:val="24"/>
                              <w:szCs w:val="24"/>
                            </w:rPr>
                            <w:fldChar w:fldCharType="separate"/>
                          </w:r>
                          <w:r>
                            <w:rPr>
                              <w:rStyle w:val="39"/>
                              <w:rFonts w:ascii="黑体" w:hAnsi="黑体" w:eastAsia="黑体"/>
                              <w:sz w:val="24"/>
                              <w:szCs w:val="24"/>
                            </w:rPr>
                            <w:t>- 269 -</w:t>
                          </w:r>
                          <w:r>
                            <w:rPr>
                              <w:rFonts w:ascii="黑体" w:hAnsi="黑体" w:eastAsia="黑体"/>
                              <w:sz w:val="24"/>
                              <w:szCs w:val="24"/>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JZScmdIBAACjAwAADgAAAAAAAAABACAAAAAi&#10;AQAAZHJzL2Uyb0RvYy54bWxQSwUGAAAAAAYABgBZAQAAZgUAAAAA&#10;">
              <v:fill on="f" focussize="0,0"/>
              <v:stroke on="f" weight="1.25pt"/>
              <v:imagedata o:title=""/>
              <o:lock v:ext="edit" aspectratio="f"/>
              <v:textbox inset="0mm,0mm,0mm,0mm" style="mso-fit-shape-to-text:t;">
                <w:txbxContent>
                  <w:p>
                    <w:pPr>
                      <w:pStyle w:val="24"/>
                      <w:ind w:firstLine="480"/>
                      <w:rPr>
                        <w:rStyle w:val="39"/>
                        <w:rFonts w:ascii="黑体" w:hAnsi="黑体" w:eastAsia="黑体"/>
                        <w:sz w:val="24"/>
                        <w:szCs w:val="24"/>
                      </w:rPr>
                    </w:pPr>
                    <w:r>
                      <w:rPr>
                        <w:rFonts w:ascii="黑体" w:hAnsi="黑体" w:eastAsia="黑体"/>
                        <w:sz w:val="24"/>
                        <w:szCs w:val="24"/>
                      </w:rPr>
                      <w:fldChar w:fldCharType="begin"/>
                    </w:r>
                    <w:r>
                      <w:rPr>
                        <w:rStyle w:val="39"/>
                        <w:rFonts w:ascii="黑体" w:hAnsi="黑体" w:eastAsia="黑体"/>
                        <w:sz w:val="24"/>
                        <w:szCs w:val="24"/>
                      </w:rPr>
                      <w:instrText xml:space="preserve">PAGE  </w:instrText>
                    </w:r>
                    <w:r>
                      <w:rPr>
                        <w:rFonts w:ascii="黑体" w:hAnsi="黑体" w:eastAsia="黑体"/>
                        <w:sz w:val="24"/>
                        <w:szCs w:val="24"/>
                      </w:rPr>
                      <w:fldChar w:fldCharType="separate"/>
                    </w:r>
                    <w:r>
                      <w:rPr>
                        <w:rStyle w:val="39"/>
                        <w:rFonts w:ascii="黑体" w:hAnsi="黑体" w:eastAsia="黑体"/>
                        <w:sz w:val="24"/>
                        <w:szCs w:val="24"/>
                      </w:rPr>
                      <w:t>- 269 -</w:t>
                    </w:r>
                    <w:r>
                      <w:rPr>
                        <w:rFonts w:ascii="黑体" w:hAnsi="黑体" w:eastAsia="黑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630" w:firstLineChars="300"/>
      <w:jc w:val="both"/>
      <w:rPr>
        <w:u w:val="double"/>
      </w:rPr>
    </w:pPr>
    <w:r>
      <w:rPr>
        <w:rFonts w:hint="eastAsia" w:ascii="方正粗黑宋简体" w:hAnsi="方正粗黑宋简体" w:eastAsia="方正粗黑宋简体" w:cs="方正粗黑宋简体"/>
        <w:sz w:val="21"/>
        <w:szCs w:val="21"/>
        <w:u w:val="double"/>
      </w:rPr>
      <w:drawing>
        <wp:anchor distT="0" distB="0" distL="114300" distR="114300" simplePos="0" relativeHeight="251662336" behindDoc="0" locked="0" layoutInCell="1" allowOverlap="1">
          <wp:simplePos x="0" y="0"/>
          <wp:positionH relativeFrom="column">
            <wp:posOffset>-17145</wp:posOffset>
          </wp:positionH>
          <wp:positionV relativeFrom="paragraph">
            <wp:posOffset>-153035</wp:posOffset>
          </wp:positionV>
          <wp:extent cx="337820" cy="321945"/>
          <wp:effectExtent l="0" t="0" r="5080" b="1905"/>
          <wp:wrapNone/>
          <wp:docPr id="16" name="图片 1" descr="微信图片_2019092811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微信图片_20190928111258"/>
                  <pic:cNvPicPr>
                    <a:picLocks noChangeAspect="1"/>
                  </pic:cNvPicPr>
                </pic:nvPicPr>
                <pic:blipFill>
                  <a:blip r:embed="rId1"/>
                  <a:srcRect l="24950" t="18250" r="24937" b="18250"/>
                  <a:stretch>
                    <a:fillRect/>
                  </a:stretch>
                </pic:blipFill>
                <pic:spPr>
                  <a:xfrm>
                    <a:off x="0" y="0"/>
                    <a:ext cx="337820" cy="321945"/>
                  </a:xfrm>
                  <a:prstGeom prst="rect">
                    <a:avLst/>
                  </a:prstGeom>
                  <a:noFill/>
                  <a:ln w="9525">
                    <a:noFill/>
                  </a:ln>
                </pic:spPr>
              </pic:pic>
            </a:graphicData>
          </a:graphic>
        </wp:anchor>
      </w:drawing>
    </w:r>
    <w:r>
      <w:rPr>
        <w:rFonts w:hint="eastAsia" w:ascii="方正粗黑宋简体" w:hAnsi="方正粗黑宋简体" w:eastAsia="方正粗黑宋简体" w:cs="方正粗黑宋简体"/>
        <w:sz w:val="21"/>
        <w:szCs w:val="21"/>
        <w:u w:val="double"/>
      </w:rPr>
      <w:t>陕西金源招贤矿业有限公司                         1303工作面回采作业规程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CD60D"/>
    <w:multiLevelType w:val="singleLevel"/>
    <w:tmpl w:val="8ACCD60D"/>
    <w:lvl w:ilvl="0" w:tentative="0">
      <w:start w:val="1"/>
      <w:numFmt w:val="lowerLetter"/>
      <w:lvlText w:val="%1."/>
      <w:lvlJc w:val="left"/>
      <w:pPr>
        <w:tabs>
          <w:tab w:val="left" w:pos="312"/>
        </w:tabs>
      </w:pPr>
    </w:lvl>
  </w:abstractNum>
  <w:abstractNum w:abstractNumId="1">
    <w:nsid w:val="DC178C1D"/>
    <w:multiLevelType w:val="singleLevel"/>
    <w:tmpl w:val="DC178C1D"/>
    <w:lvl w:ilvl="0" w:tentative="0">
      <w:start w:val="2"/>
      <w:numFmt w:val="decimal"/>
      <w:suff w:val="nothing"/>
      <w:lvlText w:val="（%1）"/>
      <w:lvlJc w:val="left"/>
    </w:lvl>
  </w:abstractNum>
  <w:abstractNum w:abstractNumId="2">
    <w:nsid w:val="F9AE636B"/>
    <w:multiLevelType w:val="singleLevel"/>
    <w:tmpl w:val="F9AE636B"/>
    <w:lvl w:ilvl="0" w:tentative="0">
      <w:start w:val="1"/>
      <w:numFmt w:val="decimal"/>
      <w:suff w:val="nothing"/>
      <w:lvlText w:val="%1、"/>
      <w:lvlJc w:val="left"/>
    </w:lvl>
  </w:abstractNum>
  <w:abstractNum w:abstractNumId="3">
    <w:nsid w:val="3D06EBAF"/>
    <w:multiLevelType w:val="singleLevel"/>
    <w:tmpl w:val="3D06EBAF"/>
    <w:lvl w:ilvl="0" w:tentative="0">
      <w:start w:val="1"/>
      <w:numFmt w:val="decimal"/>
      <w:suff w:val="nothing"/>
      <w:lvlText w:val="%1、"/>
      <w:lvlJc w:val="left"/>
    </w:lvl>
  </w:abstractNum>
  <w:abstractNum w:abstractNumId="4">
    <w:nsid w:val="4B477EE2"/>
    <w:multiLevelType w:val="singleLevel"/>
    <w:tmpl w:val="4B477EE2"/>
    <w:lvl w:ilvl="0" w:tentative="0">
      <w:start w:val="1"/>
      <w:numFmt w:val="decimal"/>
      <w:suff w:val="nothing"/>
      <w:lvlText w:val="%1、"/>
      <w:lvlJc w:val="left"/>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lNjgzMmIwNWZmMjA2YzYyMmIwZjQxMGZkYjRiZmMifQ=="/>
  </w:docVars>
  <w:rsids>
    <w:rsidRoot w:val="00172A27"/>
    <w:rsid w:val="00000703"/>
    <w:rsid w:val="00000E70"/>
    <w:rsid w:val="00002349"/>
    <w:rsid w:val="000037AD"/>
    <w:rsid w:val="00003DD9"/>
    <w:rsid w:val="000049D2"/>
    <w:rsid w:val="000051D3"/>
    <w:rsid w:val="0000598B"/>
    <w:rsid w:val="00006238"/>
    <w:rsid w:val="00006AE1"/>
    <w:rsid w:val="00007F5F"/>
    <w:rsid w:val="00010593"/>
    <w:rsid w:val="00010617"/>
    <w:rsid w:val="00010F65"/>
    <w:rsid w:val="0001297D"/>
    <w:rsid w:val="00012B51"/>
    <w:rsid w:val="00013BE2"/>
    <w:rsid w:val="00013D3C"/>
    <w:rsid w:val="00014414"/>
    <w:rsid w:val="00014DDC"/>
    <w:rsid w:val="000164E2"/>
    <w:rsid w:val="00017056"/>
    <w:rsid w:val="0001782A"/>
    <w:rsid w:val="00020E2D"/>
    <w:rsid w:val="000220CE"/>
    <w:rsid w:val="000223B3"/>
    <w:rsid w:val="00022977"/>
    <w:rsid w:val="000230FA"/>
    <w:rsid w:val="00024C31"/>
    <w:rsid w:val="00024E67"/>
    <w:rsid w:val="00026871"/>
    <w:rsid w:val="00027CC0"/>
    <w:rsid w:val="00030F35"/>
    <w:rsid w:val="0003201F"/>
    <w:rsid w:val="00032229"/>
    <w:rsid w:val="00033477"/>
    <w:rsid w:val="00033515"/>
    <w:rsid w:val="0003366B"/>
    <w:rsid w:val="0003410E"/>
    <w:rsid w:val="00034BE9"/>
    <w:rsid w:val="00034C6A"/>
    <w:rsid w:val="00034CE5"/>
    <w:rsid w:val="00035666"/>
    <w:rsid w:val="00036ECF"/>
    <w:rsid w:val="000376C8"/>
    <w:rsid w:val="000403F9"/>
    <w:rsid w:val="00040870"/>
    <w:rsid w:val="0004093E"/>
    <w:rsid w:val="00040F3C"/>
    <w:rsid w:val="000415F3"/>
    <w:rsid w:val="00043144"/>
    <w:rsid w:val="000440AD"/>
    <w:rsid w:val="00044592"/>
    <w:rsid w:val="00044DBD"/>
    <w:rsid w:val="00044E72"/>
    <w:rsid w:val="00044FFE"/>
    <w:rsid w:val="0004565D"/>
    <w:rsid w:val="00045AE4"/>
    <w:rsid w:val="000461DB"/>
    <w:rsid w:val="00046945"/>
    <w:rsid w:val="00047436"/>
    <w:rsid w:val="0004791F"/>
    <w:rsid w:val="000500A1"/>
    <w:rsid w:val="00051F07"/>
    <w:rsid w:val="000522DE"/>
    <w:rsid w:val="00052410"/>
    <w:rsid w:val="000528FD"/>
    <w:rsid w:val="00052960"/>
    <w:rsid w:val="0005299C"/>
    <w:rsid w:val="00052CA0"/>
    <w:rsid w:val="00053066"/>
    <w:rsid w:val="0005373C"/>
    <w:rsid w:val="00054778"/>
    <w:rsid w:val="00055678"/>
    <w:rsid w:val="0005589B"/>
    <w:rsid w:val="000559E4"/>
    <w:rsid w:val="000562C0"/>
    <w:rsid w:val="000568F7"/>
    <w:rsid w:val="0005722A"/>
    <w:rsid w:val="000601FB"/>
    <w:rsid w:val="00060A4D"/>
    <w:rsid w:val="0006105F"/>
    <w:rsid w:val="000610F9"/>
    <w:rsid w:val="00061490"/>
    <w:rsid w:val="00061CB4"/>
    <w:rsid w:val="0006304E"/>
    <w:rsid w:val="000634AE"/>
    <w:rsid w:val="00063679"/>
    <w:rsid w:val="000637EB"/>
    <w:rsid w:val="0006389B"/>
    <w:rsid w:val="00063AA1"/>
    <w:rsid w:val="00063DDB"/>
    <w:rsid w:val="0006517B"/>
    <w:rsid w:val="00065635"/>
    <w:rsid w:val="0006658F"/>
    <w:rsid w:val="0006794C"/>
    <w:rsid w:val="00070117"/>
    <w:rsid w:val="00070D87"/>
    <w:rsid w:val="00071B32"/>
    <w:rsid w:val="00072165"/>
    <w:rsid w:val="00072C8B"/>
    <w:rsid w:val="00073733"/>
    <w:rsid w:val="00073E58"/>
    <w:rsid w:val="0007457D"/>
    <w:rsid w:val="00075218"/>
    <w:rsid w:val="0007526D"/>
    <w:rsid w:val="00075884"/>
    <w:rsid w:val="00080697"/>
    <w:rsid w:val="00081656"/>
    <w:rsid w:val="00081EF0"/>
    <w:rsid w:val="000821F7"/>
    <w:rsid w:val="00082806"/>
    <w:rsid w:val="00083118"/>
    <w:rsid w:val="000834E9"/>
    <w:rsid w:val="00083C98"/>
    <w:rsid w:val="000842ED"/>
    <w:rsid w:val="00085614"/>
    <w:rsid w:val="00085630"/>
    <w:rsid w:val="0008625C"/>
    <w:rsid w:val="00086BEA"/>
    <w:rsid w:val="00090E68"/>
    <w:rsid w:val="000919AB"/>
    <w:rsid w:val="00091E0C"/>
    <w:rsid w:val="00092963"/>
    <w:rsid w:val="00092E69"/>
    <w:rsid w:val="000933C1"/>
    <w:rsid w:val="000935E4"/>
    <w:rsid w:val="000964FC"/>
    <w:rsid w:val="00096745"/>
    <w:rsid w:val="000974CD"/>
    <w:rsid w:val="000977C2"/>
    <w:rsid w:val="00097F5A"/>
    <w:rsid w:val="000A1D0B"/>
    <w:rsid w:val="000A3328"/>
    <w:rsid w:val="000A3620"/>
    <w:rsid w:val="000A3637"/>
    <w:rsid w:val="000A3954"/>
    <w:rsid w:val="000A3AA0"/>
    <w:rsid w:val="000A426E"/>
    <w:rsid w:val="000A452C"/>
    <w:rsid w:val="000A45B4"/>
    <w:rsid w:val="000A46AE"/>
    <w:rsid w:val="000A4C60"/>
    <w:rsid w:val="000A6470"/>
    <w:rsid w:val="000A6474"/>
    <w:rsid w:val="000A71FF"/>
    <w:rsid w:val="000A7407"/>
    <w:rsid w:val="000A75E1"/>
    <w:rsid w:val="000A7FE6"/>
    <w:rsid w:val="000B08A7"/>
    <w:rsid w:val="000B0C1C"/>
    <w:rsid w:val="000B0DCE"/>
    <w:rsid w:val="000B0E56"/>
    <w:rsid w:val="000B1B4B"/>
    <w:rsid w:val="000B22B1"/>
    <w:rsid w:val="000B3428"/>
    <w:rsid w:val="000B3A3B"/>
    <w:rsid w:val="000B3FD4"/>
    <w:rsid w:val="000B40AB"/>
    <w:rsid w:val="000B47C4"/>
    <w:rsid w:val="000B4C6E"/>
    <w:rsid w:val="000B54BA"/>
    <w:rsid w:val="000B54D4"/>
    <w:rsid w:val="000B58B3"/>
    <w:rsid w:val="000B5916"/>
    <w:rsid w:val="000B59FD"/>
    <w:rsid w:val="000B5D11"/>
    <w:rsid w:val="000B637D"/>
    <w:rsid w:val="000B6786"/>
    <w:rsid w:val="000B6984"/>
    <w:rsid w:val="000B7204"/>
    <w:rsid w:val="000C05DC"/>
    <w:rsid w:val="000C0681"/>
    <w:rsid w:val="000C0B9D"/>
    <w:rsid w:val="000C1F6D"/>
    <w:rsid w:val="000C2096"/>
    <w:rsid w:val="000C209A"/>
    <w:rsid w:val="000C276E"/>
    <w:rsid w:val="000C2BF1"/>
    <w:rsid w:val="000C3103"/>
    <w:rsid w:val="000C4046"/>
    <w:rsid w:val="000C5438"/>
    <w:rsid w:val="000C57B7"/>
    <w:rsid w:val="000C6F93"/>
    <w:rsid w:val="000C778F"/>
    <w:rsid w:val="000D0C8A"/>
    <w:rsid w:val="000D10CC"/>
    <w:rsid w:val="000D145B"/>
    <w:rsid w:val="000D1E56"/>
    <w:rsid w:val="000D2563"/>
    <w:rsid w:val="000D262C"/>
    <w:rsid w:val="000D296B"/>
    <w:rsid w:val="000D346A"/>
    <w:rsid w:val="000D616A"/>
    <w:rsid w:val="000D6172"/>
    <w:rsid w:val="000D6B29"/>
    <w:rsid w:val="000E036D"/>
    <w:rsid w:val="000E06BA"/>
    <w:rsid w:val="000E08A5"/>
    <w:rsid w:val="000E1029"/>
    <w:rsid w:val="000E28F5"/>
    <w:rsid w:val="000E2C73"/>
    <w:rsid w:val="000E4A45"/>
    <w:rsid w:val="000E7348"/>
    <w:rsid w:val="000F0137"/>
    <w:rsid w:val="000F36F0"/>
    <w:rsid w:val="000F417F"/>
    <w:rsid w:val="000F4C2B"/>
    <w:rsid w:val="000F5BD4"/>
    <w:rsid w:val="000F64B1"/>
    <w:rsid w:val="000F6CE8"/>
    <w:rsid w:val="000F718D"/>
    <w:rsid w:val="00100C33"/>
    <w:rsid w:val="00101E12"/>
    <w:rsid w:val="001025BE"/>
    <w:rsid w:val="001026DE"/>
    <w:rsid w:val="00102D38"/>
    <w:rsid w:val="00102E91"/>
    <w:rsid w:val="00102F9F"/>
    <w:rsid w:val="001031C4"/>
    <w:rsid w:val="00103897"/>
    <w:rsid w:val="00103B51"/>
    <w:rsid w:val="001040C3"/>
    <w:rsid w:val="0010473E"/>
    <w:rsid w:val="001051B6"/>
    <w:rsid w:val="0010588D"/>
    <w:rsid w:val="001108B2"/>
    <w:rsid w:val="00110AED"/>
    <w:rsid w:val="00111535"/>
    <w:rsid w:val="00112038"/>
    <w:rsid w:val="00112168"/>
    <w:rsid w:val="00112B29"/>
    <w:rsid w:val="00112DAE"/>
    <w:rsid w:val="001133A8"/>
    <w:rsid w:val="00113864"/>
    <w:rsid w:val="00114C0F"/>
    <w:rsid w:val="0011594F"/>
    <w:rsid w:val="0011647F"/>
    <w:rsid w:val="0011659F"/>
    <w:rsid w:val="001169C6"/>
    <w:rsid w:val="00116C3E"/>
    <w:rsid w:val="0011705C"/>
    <w:rsid w:val="00117CA7"/>
    <w:rsid w:val="0012032C"/>
    <w:rsid w:val="00120B5A"/>
    <w:rsid w:val="001225AA"/>
    <w:rsid w:val="001227B9"/>
    <w:rsid w:val="00123101"/>
    <w:rsid w:val="00124FA1"/>
    <w:rsid w:val="00124FA5"/>
    <w:rsid w:val="0012643A"/>
    <w:rsid w:val="00126C39"/>
    <w:rsid w:val="00126EAD"/>
    <w:rsid w:val="00127269"/>
    <w:rsid w:val="0013033C"/>
    <w:rsid w:val="001308B8"/>
    <w:rsid w:val="001315D9"/>
    <w:rsid w:val="00132673"/>
    <w:rsid w:val="00132FAF"/>
    <w:rsid w:val="00132FE4"/>
    <w:rsid w:val="00133659"/>
    <w:rsid w:val="0013393E"/>
    <w:rsid w:val="00134D36"/>
    <w:rsid w:val="00134F05"/>
    <w:rsid w:val="00135135"/>
    <w:rsid w:val="00135B64"/>
    <w:rsid w:val="00136831"/>
    <w:rsid w:val="00136CDC"/>
    <w:rsid w:val="00136F67"/>
    <w:rsid w:val="0013790B"/>
    <w:rsid w:val="00140AC2"/>
    <w:rsid w:val="001411C4"/>
    <w:rsid w:val="001412F4"/>
    <w:rsid w:val="00142AF9"/>
    <w:rsid w:val="00142C55"/>
    <w:rsid w:val="00142D5E"/>
    <w:rsid w:val="00144D09"/>
    <w:rsid w:val="00144E49"/>
    <w:rsid w:val="00145025"/>
    <w:rsid w:val="001505FC"/>
    <w:rsid w:val="00150C41"/>
    <w:rsid w:val="00150E65"/>
    <w:rsid w:val="001515BA"/>
    <w:rsid w:val="00151CB3"/>
    <w:rsid w:val="00152850"/>
    <w:rsid w:val="0015480C"/>
    <w:rsid w:val="001548DD"/>
    <w:rsid w:val="001558DF"/>
    <w:rsid w:val="00155FB5"/>
    <w:rsid w:val="00156657"/>
    <w:rsid w:val="001578B7"/>
    <w:rsid w:val="00157E2D"/>
    <w:rsid w:val="0016093D"/>
    <w:rsid w:val="00160C7A"/>
    <w:rsid w:val="00160DDC"/>
    <w:rsid w:val="00160F21"/>
    <w:rsid w:val="001617C2"/>
    <w:rsid w:val="00161AD4"/>
    <w:rsid w:val="00161B49"/>
    <w:rsid w:val="001623D6"/>
    <w:rsid w:val="0016241C"/>
    <w:rsid w:val="0016294A"/>
    <w:rsid w:val="00162D9E"/>
    <w:rsid w:val="00163617"/>
    <w:rsid w:val="0016361D"/>
    <w:rsid w:val="001641AB"/>
    <w:rsid w:val="0016427F"/>
    <w:rsid w:val="00164BFA"/>
    <w:rsid w:val="00164FAF"/>
    <w:rsid w:val="001655AA"/>
    <w:rsid w:val="00165632"/>
    <w:rsid w:val="00165747"/>
    <w:rsid w:val="00165AE6"/>
    <w:rsid w:val="00165FBA"/>
    <w:rsid w:val="0016609D"/>
    <w:rsid w:val="0017160D"/>
    <w:rsid w:val="00172A27"/>
    <w:rsid w:val="00173F49"/>
    <w:rsid w:val="00174B01"/>
    <w:rsid w:val="00174FBE"/>
    <w:rsid w:val="001758F9"/>
    <w:rsid w:val="00176235"/>
    <w:rsid w:val="00176E6B"/>
    <w:rsid w:val="00177B57"/>
    <w:rsid w:val="00177C75"/>
    <w:rsid w:val="00177FDE"/>
    <w:rsid w:val="0018024E"/>
    <w:rsid w:val="0018063B"/>
    <w:rsid w:val="0018240D"/>
    <w:rsid w:val="001825B0"/>
    <w:rsid w:val="0018270A"/>
    <w:rsid w:val="00183D3D"/>
    <w:rsid w:val="00183F3B"/>
    <w:rsid w:val="00184119"/>
    <w:rsid w:val="001845D8"/>
    <w:rsid w:val="001865EF"/>
    <w:rsid w:val="001867ED"/>
    <w:rsid w:val="00186A47"/>
    <w:rsid w:val="00186CDE"/>
    <w:rsid w:val="00191141"/>
    <w:rsid w:val="001919F7"/>
    <w:rsid w:val="00192214"/>
    <w:rsid w:val="00192CDE"/>
    <w:rsid w:val="001934F5"/>
    <w:rsid w:val="001939BF"/>
    <w:rsid w:val="00193AA6"/>
    <w:rsid w:val="0019572A"/>
    <w:rsid w:val="00195AAD"/>
    <w:rsid w:val="00195D49"/>
    <w:rsid w:val="00195F8E"/>
    <w:rsid w:val="00196D16"/>
    <w:rsid w:val="00197993"/>
    <w:rsid w:val="001A07C4"/>
    <w:rsid w:val="001A09B4"/>
    <w:rsid w:val="001A181A"/>
    <w:rsid w:val="001A3614"/>
    <w:rsid w:val="001A43C1"/>
    <w:rsid w:val="001A4DFC"/>
    <w:rsid w:val="001A545D"/>
    <w:rsid w:val="001A5A98"/>
    <w:rsid w:val="001A61D8"/>
    <w:rsid w:val="001A64EA"/>
    <w:rsid w:val="001A7327"/>
    <w:rsid w:val="001A7333"/>
    <w:rsid w:val="001A7DD2"/>
    <w:rsid w:val="001B1120"/>
    <w:rsid w:val="001B1221"/>
    <w:rsid w:val="001B2278"/>
    <w:rsid w:val="001B2604"/>
    <w:rsid w:val="001B2938"/>
    <w:rsid w:val="001B2FF0"/>
    <w:rsid w:val="001B3353"/>
    <w:rsid w:val="001B3B27"/>
    <w:rsid w:val="001B3DB7"/>
    <w:rsid w:val="001B414A"/>
    <w:rsid w:val="001B41B0"/>
    <w:rsid w:val="001B4DEA"/>
    <w:rsid w:val="001B556B"/>
    <w:rsid w:val="001B582E"/>
    <w:rsid w:val="001B6151"/>
    <w:rsid w:val="001B6E32"/>
    <w:rsid w:val="001B75BC"/>
    <w:rsid w:val="001C0B9A"/>
    <w:rsid w:val="001C0DB1"/>
    <w:rsid w:val="001C1239"/>
    <w:rsid w:val="001C12F3"/>
    <w:rsid w:val="001C162A"/>
    <w:rsid w:val="001C1830"/>
    <w:rsid w:val="001C2B35"/>
    <w:rsid w:val="001C37A7"/>
    <w:rsid w:val="001C3BE9"/>
    <w:rsid w:val="001C4862"/>
    <w:rsid w:val="001C5ECF"/>
    <w:rsid w:val="001C63D2"/>
    <w:rsid w:val="001C649C"/>
    <w:rsid w:val="001C779F"/>
    <w:rsid w:val="001C7A08"/>
    <w:rsid w:val="001D094A"/>
    <w:rsid w:val="001D0AF2"/>
    <w:rsid w:val="001D1363"/>
    <w:rsid w:val="001D1BA2"/>
    <w:rsid w:val="001D333A"/>
    <w:rsid w:val="001D42AF"/>
    <w:rsid w:val="001D4F78"/>
    <w:rsid w:val="001D6145"/>
    <w:rsid w:val="001D6D78"/>
    <w:rsid w:val="001D7FBD"/>
    <w:rsid w:val="001E0347"/>
    <w:rsid w:val="001E075F"/>
    <w:rsid w:val="001E0D16"/>
    <w:rsid w:val="001E115B"/>
    <w:rsid w:val="001E1DC3"/>
    <w:rsid w:val="001E1FF3"/>
    <w:rsid w:val="001E2245"/>
    <w:rsid w:val="001E3718"/>
    <w:rsid w:val="001E41A9"/>
    <w:rsid w:val="001E477C"/>
    <w:rsid w:val="001E5765"/>
    <w:rsid w:val="001F1720"/>
    <w:rsid w:val="001F1DF6"/>
    <w:rsid w:val="001F1FC6"/>
    <w:rsid w:val="001F2308"/>
    <w:rsid w:val="001F3C04"/>
    <w:rsid w:val="001F5043"/>
    <w:rsid w:val="001F5063"/>
    <w:rsid w:val="001F50C2"/>
    <w:rsid w:val="001F5FB1"/>
    <w:rsid w:val="001F60F1"/>
    <w:rsid w:val="001F6B08"/>
    <w:rsid w:val="001F6E15"/>
    <w:rsid w:val="001F70D4"/>
    <w:rsid w:val="001F7391"/>
    <w:rsid w:val="001F782D"/>
    <w:rsid w:val="001F7BB7"/>
    <w:rsid w:val="00200B65"/>
    <w:rsid w:val="00200EC3"/>
    <w:rsid w:val="00201B01"/>
    <w:rsid w:val="002023A1"/>
    <w:rsid w:val="00202C25"/>
    <w:rsid w:val="00202C4D"/>
    <w:rsid w:val="002038EA"/>
    <w:rsid w:val="00203958"/>
    <w:rsid w:val="00204692"/>
    <w:rsid w:val="00204DD2"/>
    <w:rsid w:val="0020512E"/>
    <w:rsid w:val="00205DB5"/>
    <w:rsid w:val="00205F62"/>
    <w:rsid w:val="00206285"/>
    <w:rsid w:val="00207F88"/>
    <w:rsid w:val="002103F9"/>
    <w:rsid w:val="002122F7"/>
    <w:rsid w:val="00212899"/>
    <w:rsid w:val="00212B0A"/>
    <w:rsid w:val="00213189"/>
    <w:rsid w:val="002135BB"/>
    <w:rsid w:val="00213AAE"/>
    <w:rsid w:val="00214778"/>
    <w:rsid w:val="00214AED"/>
    <w:rsid w:val="00214B5F"/>
    <w:rsid w:val="00215215"/>
    <w:rsid w:val="00215393"/>
    <w:rsid w:val="0021558C"/>
    <w:rsid w:val="00215935"/>
    <w:rsid w:val="00217401"/>
    <w:rsid w:val="00217467"/>
    <w:rsid w:val="00217C61"/>
    <w:rsid w:val="002204CF"/>
    <w:rsid w:val="002210E7"/>
    <w:rsid w:val="002215A8"/>
    <w:rsid w:val="00221F67"/>
    <w:rsid w:val="00222E5D"/>
    <w:rsid w:val="00223744"/>
    <w:rsid w:val="002238D6"/>
    <w:rsid w:val="00223E02"/>
    <w:rsid w:val="00223EC0"/>
    <w:rsid w:val="00224D6D"/>
    <w:rsid w:val="00225A43"/>
    <w:rsid w:val="002269B1"/>
    <w:rsid w:val="002269BC"/>
    <w:rsid w:val="002277C3"/>
    <w:rsid w:val="00227E2A"/>
    <w:rsid w:val="00227F38"/>
    <w:rsid w:val="00231C6B"/>
    <w:rsid w:val="00232925"/>
    <w:rsid w:val="0023326B"/>
    <w:rsid w:val="002332A3"/>
    <w:rsid w:val="00233833"/>
    <w:rsid w:val="00233A3B"/>
    <w:rsid w:val="0023415A"/>
    <w:rsid w:val="00234AD2"/>
    <w:rsid w:val="00234DF4"/>
    <w:rsid w:val="00234FCE"/>
    <w:rsid w:val="0023534C"/>
    <w:rsid w:val="00236D9D"/>
    <w:rsid w:val="002375AE"/>
    <w:rsid w:val="0024012D"/>
    <w:rsid w:val="00240258"/>
    <w:rsid w:val="0024053E"/>
    <w:rsid w:val="0024054B"/>
    <w:rsid w:val="0024183C"/>
    <w:rsid w:val="00241EF3"/>
    <w:rsid w:val="0024226C"/>
    <w:rsid w:val="002425D5"/>
    <w:rsid w:val="002427C5"/>
    <w:rsid w:val="00242BD2"/>
    <w:rsid w:val="00243425"/>
    <w:rsid w:val="00243474"/>
    <w:rsid w:val="0024556F"/>
    <w:rsid w:val="002455BC"/>
    <w:rsid w:val="00245F29"/>
    <w:rsid w:val="00250858"/>
    <w:rsid w:val="002511F4"/>
    <w:rsid w:val="002514AA"/>
    <w:rsid w:val="002514D2"/>
    <w:rsid w:val="002519A4"/>
    <w:rsid w:val="00252A2E"/>
    <w:rsid w:val="0025382F"/>
    <w:rsid w:val="00254EAA"/>
    <w:rsid w:val="002558C6"/>
    <w:rsid w:val="00256916"/>
    <w:rsid w:val="00256F37"/>
    <w:rsid w:val="002574EA"/>
    <w:rsid w:val="00257870"/>
    <w:rsid w:val="00257AA9"/>
    <w:rsid w:val="00257F36"/>
    <w:rsid w:val="00260344"/>
    <w:rsid w:val="002608D8"/>
    <w:rsid w:val="002618E1"/>
    <w:rsid w:val="00264C18"/>
    <w:rsid w:val="00264D63"/>
    <w:rsid w:val="00264D7C"/>
    <w:rsid w:val="00265C86"/>
    <w:rsid w:val="0026603E"/>
    <w:rsid w:val="00266E6A"/>
    <w:rsid w:val="0026716D"/>
    <w:rsid w:val="00267379"/>
    <w:rsid w:val="00270301"/>
    <w:rsid w:val="00270936"/>
    <w:rsid w:val="002709BB"/>
    <w:rsid w:val="002713DA"/>
    <w:rsid w:val="00271A10"/>
    <w:rsid w:val="00272B0B"/>
    <w:rsid w:val="002732DF"/>
    <w:rsid w:val="002740B1"/>
    <w:rsid w:val="00274FB2"/>
    <w:rsid w:val="0027506E"/>
    <w:rsid w:val="002757BE"/>
    <w:rsid w:val="00276208"/>
    <w:rsid w:val="00276D42"/>
    <w:rsid w:val="00277537"/>
    <w:rsid w:val="002804F1"/>
    <w:rsid w:val="00280BC5"/>
    <w:rsid w:val="00280F20"/>
    <w:rsid w:val="00281B78"/>
    <w:rsid w:val="002823D7"/>
    <w:rsid w:val="00282EF9"/>
    <w:rsid w:val="002843A2"/>
    <w:rsid w:val="00285640"/>
    <w:rsid w:val="0028564F"/>
    <w:rsid w:val="00285BA9"/>
    <w:rsid w:val="00285D28"/>
    <w:rsid w:val="00285DD7"/>
    <w:rsid w:val="00286B06"/>
    <w:rsid w:val="00290750"/>
    <w:rsid w:val="00291173"/>
    <w:rsid w:val="002915B2"/>
    <w:rsid w:val="002916BF"/>
    <w:rsid w:val="002919F9"/>
    <w:rsid w:val="00291FD4"/>
    <w:rsid w:val="00292A61"/>
    <w:rsid w:val="00293CF2"/>
    <w:rsid w:val="0029422C"/>
    <w:rsid w:val="00294CDC"/>
    <w:rsid w:val="00295580"/>
    <w:rsid w:val="00295A5C"/>
    <w:rsid w:val="002962A1"/>
    <w:rsid w:val="00296767"/>
    <w:rsid w:val="00296ABC"/>
    <w:rsid w:val="00296E83"/>
    <w:rsid w:val="0029766B"/>
    <w:rsid w:val="002976F5"/>
    <w:rsid w:val="00297A44"/>
    <w:rsid w:val="002A136F"/>
    <w:rsid w:val="002A1A9B"/>
    <w:rsid w:val="002A1AA9"/>
    <w:rsid w:val="002A1D36"/>
    <w:rsid w:val="002A1F14"/>
    <w:rsid w:val="002A2284"/>
    <w:rsid w:val="002A314A"/>
    <w:rsid w:val="002A3A96"/>
    <w:rsid w:val="002A4567"/>
    <w:rsid w:val="002A4593"/>
    <w:rsid w:val="002A4882"/>
    <w:rsid w:val="002A5780"/>
    <w:rsid w:val="002A5F6B"/>
    <w:rsid w:val="002A7232"/>
    <w:rsid w:val="002A729B"/>
    <w:rsid w:val="002A764F"/>
    <w:rsid w:val="002B0A53"/>
    <w:rsid w:val="002B0B1D"/>
    <w:rsid w:val="002B1D39"/>
    <w:rsid w:val="002B2D45"/>
    <w:rsid w:val="002B349F"/>
    <w:rsid w:val="002B3BBA"/>
    <w:rsid w:val="002B3C6D"/>
    <w:rsid w:val="002B3DAA"/>
    <w:rsid w:val="002B3F19"/>
    <w:rsid w:val="002B50AB"/>
    <w:rsid w:val="002B5546"/>
    <w:rsid w:val="002B574F"/>
    <w:rsid w:val="002B57F3"/>
    <w:rsid w:val="002B5ECF"/>
    <w:rsid w:val="002B6602"/>
    <w:rsid w:val="002B6AAE"/>
    <w:rsid w:val="002B72AC"/>
    <w:rsid w:val="002C056B"/>
    <w:rsid w:val="002C14EA"/>
    <w:rsid w:val="002C16BD"/>
    <w:rsid w:val="002C2A0F"/>
    <w:rsid w:val="002C2B98"/>
    <w:rsid w:val="002C3DC5"/>
    <w:rsid w:val="002C4FF1"/>
    <w:rsid w:val="002C59C9"/>
    <w:rsid w:val="002C5D4C"/>
    <w:rsid w:val="002C65DD"/>
    <w:rsid w:val="002C66D3"/>
    <w:rsid w:val="002C726E"/>
    <w:rsid w:val="002D0CC2"/>
    <w:rsid w:val="002D1920"/>
    <w:rsid w:val="002D1EB1"/>
    <w:rsid w:val="002D2AA7"/>
    <w:rsid w:val="002D315D"/>
    <w:rsid w:val="002D3B04"/>
    <w:rsid w:val="002D3CA2"/>
    <w:rsid w:val="002D429F"/>
    <w:rsid w:val="002D4D6E"/>
    <w:rsid w:val="002D5682"/>
    <w:rsid w:val="002D5D29"/>
    <w:rsid w:val="002D6ADC"/>
    <w:rsid w:val="002D72C2"/>
    <w:rsid w:val="002D7337"/>
    <w:rsid w:val="002D747A"/>
    <w:rsid w:val="002D7553"/>
    <w:rsid w:val="002E0189"/>
    <w:rsid w:val="002E15B3"/>
    <w:rsid w:val="002E1BD7"/>
    <w:rsid w:val="002E1F76"/>
    <w:rsid w:val="002E2167"/>
    <w:rsid w:val="002E3580"/>
    <w:rsid w:val="002E3D13"/>
    <w:rsid w:val="002E3D29"/>
    <w:rsid w:val="002E3FC1"/>
    <w:rsid w:val="002E499A"/>
    <w:rsid w:val="002E52A9"/>
    <w:rsid w:val="002E7479"/>
    <w:rsid w:val="002E759E"/>
    <w:rsid w:val="002F25AB"/>
    <w:rsid w:val="002F2ABF"/>
    <w:rsid w:val="002F2B83"/>
    <w:rsid w:val="002F30A2"/>
    <w:rsid w:val="002F504A"/>
    <w:rsid w:val="002F5575"/>
    <w:rsid w:val="002F5EE7"/>
    <w:rsid w:val="002F5FF6"/>
    <w:rsid w:val="0030079C"/>
    <w:rsid w:val="0030097C"/>
    <w:rsid w:val="0030198F"/>
    <w:rsid w:val="00301A4D"/>
    <w:rsid w:val="00302171"/>
    <w:rsid w:val="0030412B"/>
    <w:rsid w:val="003052F7"/>
    <w:rsid w:val="0030570A"/>
    <w:rsid w:val="00305AA9"/>
    <w:rsid w:val="00305E42"/>
    <w:rsid w:val="003060DB"/>
    <w:rsid w:val="00306209"/>
    <w:rsid w:val="00306B4F"/>
    <w:rsid w:val="00307090"/>
    <w:rsid w:val="0030720F"/>
    <w:rsid w:val="003079F0"/>
    <w:rsid w:val="00310018"/>
    <w:rsid w:val="0031048E"/>
    <w:rsid w:val="003104D3"/>
    <w:rsid w:val="00311100"/>
    <w:rsid w:val="003115BA"/>
    <w:rsid w:val="00311CDA"/>
    <w:rsid w:val="00311DE3"/>
    <w:rsid w:val="003123B4"/>
    <w:rsid w:val="0031276D"/>
    <w:rsid w:val="00312DED"/>
    <w:rsid w:val="00313B47"/>
    <w:rsid w:val="00313FE9"/>
    <w:rsid w:val="003146E7"/>
    <w:rsid w:val="003149A0"/>
    <w:rsid w:val="003153E2"/>
    <w:rsid w:val="00316C86"/>
    <w:rsid w:val="00317124"/>
    <w:rsid w:val="0031768F"/>
    <w:rsid w:val="00317840"/>
    <w:rsid w:val="003178DA"/>
    <w:rsid w:val="00320B84"/>
    <w:rsid w:val="003212C9"/>
    <w:rsid w:val="00321F95"/>
    <w:rsid w:val="00322057"/>
    <w:rsid w:val="0032220B"/>
    <w:rsid w:val="0032225A"/>
    <w:rsid w:val="00323B00"/>
    <w:rsid w:val="00323B12"/>
    <w:rsid w:val="00324427"/>
    <w:rsid w:val="00324627"/>
    <w:rsid w:val="00324EC8"/>
    <w:rsid w:val="00325407"/>
    <w:rsid w:val="00325C8F"/>
    <w:rsid w:val="00325D6D"/>
    <w:rsid w:val="0032642F"/>
    <w:rsid w:val="00326472"/>
    <w:rsid w:val="00326DDA"/>
    <w:rsid w:val="0032747A"/>
    <w:rsid w:val="003274EA"/>
    <w:rsid w:val="0032758E"/>
    <w:rsid w:val="0033047E"/>
    <w:rsid w:val="00330990"/>
    <w:rsid w:val="00331EEE"/>
    <w:rsid w:val="00331F35"/>
    <w:rsid w:val="00331FC7"/>
    <w:rsid w:val="00332DA3"/>
    <w:rsid w:val="003334AD"/>
    <w:rsid w:val="0033366C"/>
    <w:rsid w:val="00334016"/>
    <w:rsid w:val="00335D45"/>
    <w:rsid w:val="00336057"/>
    <w:rsid w:val="00336060"/>
    <w:rsid w:val="00336594"/>
    <w:rsid w:val="00336D81"/>
    <w:rsid w:val="0033787E"/>
    <w:rsid w:val="0034008A"/>
    <w:rsid w:val="003401AA"/>
    <w:rsid w:val="00340F28"/>
    <w:rsid w:val="00341EAB"/>
    <w:rsid w:val="00342D42"/>
    <w:rsid w:val="00344DC8"/>
    <w:rsid w:val="003455D4"/>
    <w:rsid w:val="003456A0"/>
    <w:rsid w:val="003458FB"/>
    <w:rsid w:val="0034631A"/>
    <w:rsid w:val="003467A0"/>
    <w:rsid w:val="003471AD"/>
    <w:rsid w:val="003472C1"/>
    <w:rsid w:val="00347627"/>
    <w:rsid w:val="00347B41"/>
    <w:rsid w:val="00347E23"/>
    <w:rsid w:val="003501BB"/>
    <w:rsid w:val="0035096E"/>
    <w:rsid w:val="003510B9"/>
    <w:rsid w:val="00352737"/>
    <w:rsid w:val="00353172"/>
    <w:rsid w:val="0035332E"/>
    <w:rsid w:val="00353BDF"/>
    <w:rsid w:val="00353CDF"/>
    <w:rsid w:val="003546EB"/>
    <w:rsid w:val="00354EB8"/>
    <w:rsid w:val="00354F79"/>
    <w:rsid w:val="003550CA"/>
    <w:rsid w:val="003556B1"/>
    <w:rsid w:val="003557CE"/>
    <w:rsid w:val="0035600E"/>
    <w:rsid w:val="003565E2"/>
    <w:rsid w:val="003570B1"/>
    <w:rsid w:val="0035795F"/>
    <w:rsid w:val="003579AC"/>
    <w:rsid w:val="003579BC"/>
    <w:rsid w:val="00357BCB"/>
    <w:rsid w:val="00357E67"/>
    <w:rsid w:val="00357F72"/>
    <w:rsid w:val="003601B4"/>
    <w:rsid w:val="00360DA1"/>
    <w:rsid w:val="00361175"/>
    <w:rsid w:val="00361630"/>
    <w:rsid w:val="0036186E"/>
    <w:rsid w:val="003625C0"/>
    <w:rsid w:val="00363096"/>
    <w:rsid w:val="003633A4"/>
    <w:rsid w:val="00365AA5"/>
    <w:rsid w:val="00365D85"/>
    <w:rsid w:val="00365DD6"/>
    <w:rsid w:val="00366172"/>
    <w:rsid w:val="0036624D"/>
    <w:rsid w:val="00366251"/>
    <w:rsid w:val="0036692A"/>
    <w:rsid w:val="00366BD9"/>
    <w:rsid w:val="00367064"/>
    <w:rsid w:val="00367312"/>
    <w:rsid w:val="00367322"/>
    <w:rsid w:val="0036784C"/>
    <w:rsid w:val="003735EE"/>
    <w:rsid w:val="0037365D"/>
    <w:rsid w:val="003746EC"/>
    <w:rsid w:val="00375659"/>
    <w:rsid w:val="003756EA"/>
    <w:rsid w:val="00375D2D"/>
    <w:rsid w:val="00376711"/>
    <w:rsid w:val="00376DC6"/>
    <w:rsid w:val="00380E14"/>
    <w:rsid w:val="00380F50"/>
    <w:rsid w:val="00381194"/>
    <w:rsid w:val="0038279B"/>
    <w:rsid w:val="00382D36"/>
    <w:rsid w:val="003837A4"/>
    <w:rsid w:val="00384DC4"/>
    <w:rsid w:val="00385456"/>
    <w:rsid w:val="00385FEC"/>
    <w:rsid w:val="003862FE"/>
    <w:rsid w:val="003863CA"/>
    <w:rsid w:val="003876D4"/>
    <w:rsid w:val="00387F06"/>
    <w:rsid w:val="003901B4"/>
    <w:rsid w:val="00390B01"/>
    <w:rsid w:val="00391C13"/>
    <w:rsid w:val="0039223C"/>
    <w:rsid w:val="00393C6C"/>
    <w:rsid w:val="00393F6B"/>
    <w:rsid w:val="00394700"/>
    <w:rsid w:val="00394A14"/>
    <w:rsid w:val="00395372"/>
    <w:rsid w:val="003953CD"/>
    <w:rsid w:val="003954A6"/>
    <w:rsid w:val="00395854"/>
    <w:rsid w:val="0039693A"/>
    <w:rsid w:val="003969F7"/>
    <w:rsid w:val="00396DBF"/>
    <w:rsid w:val="0039765A"/>
    <w:rsid w:val="003A0275"/>
    <w:rsid w:val="003A0AFB"/>
    <w:rsid w:val="003A138D"/>
    <w:rsid w:val="003A1912"/>
    <w:rsid w:val="003A21D5"/>
    <w:rsid w:val="003A330F"/>
    <w:rsid w:val="003A458B"/>
    <w:rsid w:val="003A5DD5"/>
    <w:rsid w:val="003A634D"/>
    <w:rsid w:val="003A68C5"/>
    <w:rsid w:val="003A701B"/>
    <w:rsid w:val="003A7623"/>
    <w:rsid w:val="003A78CA"/>
    <w:rsid w:val="003B1300"/>
    <w:rsid w:val="003B24AC"/>
    <w:rsid w:val="003B3374"/>
    <w:rsid w:val="003B3730"/>
    <w:rsid w:val="003B3D42"/>
    <w:rsid w:val="003B4D91"/>
    <w:rsid w:val="003B51EB"/>
    <w:rsid w:val="003B568F"/>
    <w:rsid w:val="003B5C0D"/>
    <w:rsid w:val="003B5FBA"/>
    <w:rsid w:val="003B66EB"/>
    <w:rsid w:val="003B6A31"/>
    <w:rsid w:val="003B7A3F"/>
    <w:rsid w:val="003B7B3C"/>
    <w:rsid w:val="003B7BF0"/>
    <w:rsid w:val="003C04EB"/>
    <w:rsid w:val="003C0CD2"/>
    <w:rsid w:val="003C11BB"/>
    <w:rsid w:val="003C1723"/>
    <w:rsid w:val="003C19D0"/>
    <w:rsid w:val="003C2054"/>
    <w:rsid w:val="003C2AA7"/>
    <w:rsid w:val="003C3275"/>
    <w:rsid w:val="003C3A3B"/>
    <w:rsid w:val="003C4980"/>
    <w:rsid w:val="003C49B4"/>
    <w:rsid w:val="003C5861"/>
    <w:rsid w:val="003C59D0"/>
    <w:rsid w:val="003C63C1"/>
    <w:rsid w:val="003C6DC3"/>
    <w:rsid w:val="003C721B"/>
    <w:rsid w:val="003C732D"/>
    <w:rsid w:val="003C7761"/>
    <w:rsid w:val="003C7975"/>
    <w:rsid w:val="003C7D2A"/>
    <w:rsid w:val="003C7DF4"/>
    <w:rsid w:val="003C7FB0"/>
    <w:rsid w:val="003D118F"/>
    <w:rsid w:val="003D2797"/>
    <w:rsid w:val="003D2D27"/>
    <w:rsid w:val="003D3F52"/>
    <w:rsid w:val="003D40C1"/>
    <w:rsid w:val="003D447F"/>
    <w:rsid w:val="003D5151"/>
    <w:rsid w:val="003D6973"/>
    <w:rsid w:val="003D6D83"/>
    <w:rsid w:val="003D721F"/>
    <w:rsid w:val="003E0036"/>
    <w:rsid w:val="003E0D84"/>
    <w:rsid w:val="003E16E7"/>
    <w:rsid w:val="003E20DF"/>
    <w:rsid w:val="003E21AF"/>
    <w:rsid w:val="003E258E"/>
    <w:rsid w:val="003E31D7"/>
    <w:rsid w:val="003E426C"/>
    <w:rsid w:val="003E451A"/>
    <w:rsid w:val="003E45EC"/>
    <w:rsid w:val="003E5102"/>
    <w:rsid w:val="003E527B"/>
    <w:rsid w:val="003E5FCB"/>
    <w:rsid w:val="003E6D50"/>
    <w:rsid w:val="003E72A2"/>
    <w:rsid w:val="003E7CAB"/>
    <w:rsid w:val="003F0D4E"/>
    <w:rsid w:val="003F170A"/>
    <w:rsid w:val="003F1733"/>
    <w:rsid w:val="003F2139"/>
    <w:rsid w:val="003F214E"/>
    <w:rsid w:val="003F2309"/>
    <w:rsid w:val="003F2797"/>
    <w:rsid w:val="003F2DFC"/>
    <w:rsid w:val="003F3312"/>
    <w:rsid w:val="003F389A"/>
    <w:rsid w:val="003F39EC"/>
    <w:rsid w:val="003F3E4A"/>
    <w:rsid w:val="003F4643"/>
    <w:rsid w:val="003F4ED9"/>
    <w:rsid w:val="003F538A"/>
    <w:rsid w:val="003F5C20"/>
    <w:rsid w:val="003F5FB1"/>
    <w:rsid w:val="003F66BD"/>
    <w:rsid w:val="003F7AB6"/>
    <w:rsid w:val="004008DD"/>
    <w:rsid w:val="00400B3E"/>
    <w:rsid w:val="00401BFF"/>
    <w:rsid w:val="00401D47"/>
    <w:rsid w:val="004028BC"/>
    <w:rsid w:val="00402A07"/>
    <w:rsid w:val="004036E1"/>
    <w:rsid w:val="00403EF6"/>
    <w:rsid w:val="00404021"/>
    <w:rsid w:val="00404061"/>
    <w:rsid w:val="00405423"/>
    <w:rsid w:val="00406061"/>
    <w:rsid w:val="00406302"/>
    <w:rsid w:val="004067B3"/>
    <w:rsid w:val="004067BB"/>
    <w:rsid w:val="00406A13"/>
    <w:rsid w:val="00406ADA"/>
    <w:rsid w:val="00406C79"/>
    <w:rsid w:val="00407F0E"/>
    <w:rsid w:val="00410FFD"/>
    <w:rsid w:val="00411643"/>
    <w:rsid w:val="00411B78"/>
    <w:rsid w:val="00411CA3"/>
    <w:rsid w:val="00411D45"/>
    <w:rsid w:val="00412288"/>
    <w:rsid w:val="0041237D"/>
    <w:rsid w:val="0041421F"/>
    <w:rsid w:val="0041447D"/>
    <w:rsid w:val="00414B9D"/>
    <w:rsid w:val="0041665E"/>
    <w:rsid w:val="004179DD"/>
    <w:rsid w:val="0042081D"/>
    <w:rsid w:val="00420B2E"/>
    <w:rsid w:val="00421833"/>
    <w:rsid w:val="0042197A"/>
    <w:rsid w:val="004222A1"/>
    <w:rsid w:val="004222B4"/>
    <w:rsid w:val="0042265D"/>
    <w:rsid w:val="00422A32"/>
    <w:rsid w:val="00422F40"/>
    <w:rsid w:val="0042376A"/>
    <w:rsid w:val="00423B15"/>
    <w:rsid w:val="00424473"/>
    <w:rsid w:val="004244AB"/>
    <w:rsid w:val="00424CF2"/>
    <w:rsid w:val="00424D5C"/>
    <w:rsid w:val="00425395"/>
    <w:rsid w:val="00425698"/>
    <w:rsid w:val="004257E3"/>
    <w:rsid w:val="00426537"/>
    <w:rsid w:val="00426C6F"/>
    <w:rsid w:val="00426E10"/>
    <w:rsid w:val="0042749C"/>
    <w:rsid w:val="00427CD1"/>
    <w:rsid w:val="004300BD"/>
    <w:rsid w:val="00430218"/>
    <w:rsid w:val="004308EF"/>
    <w:rsid w:val="0043111B"/>
    <w:rsid w:val="00431234"/>
    <w:rsid w:val="004315D3"/>
    <w:rsid w:val="00431A4A"/>
    <w:rsid w:val="00431D74"/>
    <w:rsid w:val="00431DF9"/>
    <w:rsid w:val="00431E94"/>
    <w:rsid w:val="00431EBC"/>
    <w:rsid w:val="004321B6"/>
    <w:rsid w:val="004321BC"/>
    <w:rsid w:val="00433034"/>
    <w:rsid w:val="004334AF"/>
    <w:rsid w:val="004344E6"/>
    <w:rsid w:val="00435022"/>
    <w:rsid w:val="0043536E"/>
    <w:rsid w:val="00435666"/>
    <w:rsid w:val="0043669C"/>
    <w:rsid w:val="00437ED8"/>
    <w:rsid w:val="004401DB"/>
    <w:rsid w:val="0044038D"/>
    <w:rsid w:val="00440C81"/>
    <w:rsid w:val="00441241"/>
    <w:rsid w:val="004416AF"/>
    <w:rsid w:val="00441940"/>
    <w:rsid w:val="00441D5A"/>
    <w:rsid w:val="00441F8F"/>
    <w:rsid w:val="004420E5"/>
    <w:rsid w:val="004429DA"/>
    <w:rsid w:val="0044414F"/>
    <w:rsid w:val="00445034"/>
    <w:rsid w:val="004450F3"/>
    <w:rsid w:val="00445D1B"/>
    <w:rsid w:val="00446E92"/>
    <w:rsid w:val="004470B4"/>
    <w:rsid w:val="00447EC6"/>
    <w:rsid w:val="004501CF"/>
    <w:rsid w:val="00450423"/>
    <w:rsid w:val="00451217"/>
    <w:rsid w:val="004513E6"/>
    <w:rsid w:val="004519DD"/>
    <w:rsid w:val="00451AB3"/>
    <w:rsid w:val="004527F2"/>
    <w:rsid w:val="00453CC0"/>
    <w:rsid w:val="004541E8"/>
    <w:rsid w:val="00455171"/>
    <w:rsid w:val="0045556A"/>
    <w:rsid w:val="0045600A"/>
    <w:rsid w:val="004563EE"/>
    <w:rsid w:val="00456819"/>
    <w:rsid w:val="00456C7E"/>
    <w:rsid w:val="00456F33"/>
    <w:rsid w:val="0045794B"/>
    <w:rsid w:val="00460B90"/>
    <w:rsid w:val="00460C32"/>
    <w:rsid w:val="004612EC"/>
    <w:rsid w:val="0046222F"/>
    <w:rsid w:val="00462696"/>
    <w:rsid w:val="00462B17"/>
    <w:rsid w:val="00462EC6"/>
    <w:rsid w:val="00463347"/>
    <w:rsid w:val="00463F4E"/>
    <w:rsid w:val="0046452D"/>
    <w:rsid w:val="00465481"/>
    <w:rsid w:val="004659AE"/>
    <w:rsid w:val="00465F64"/>
    <w:rsid w:val="0046624E"/>
    <w:rsid w:val="004663CE"/>
    <w:rsid w:val="00466DEB"/>
    <w:rsid w:val="00467727"/>
    <w:rsid w:val="004700A5"/>
    <w:rsid w:val="004701A0"/>
    <w:rsid w:val="00470C5C"/>
    <w:rsid w:val="00470D10"/>
    <w:rsid w:val="00471766"/>
    <w:rsid w:val="00471F22"/>
    <w:rsid w:val="00472397"/>
    <w:rsid w:val="00472A1F"/>
    <w:rsid w:val="00473132"/>
    <w:rsid w:val="0047374F"/>
    <w:rsid w:val="00474999"/>
    <w:rsid w:val="00475171"/>
    <w:rsid w:val="0047711D"/>
    <w:rsid w:val="0047738C"/>
    <w:rsid w:val="004775AE"/>
    <w:rsid w:val="00477DD2"/>
    <w:rsid w:val="00481454"/>
    <w:rsid w:val="0048209C"/>
    <w:rsid w:val="00482ECB"/>
    <w:rsid w:val="00483877"/>
    <w:rsid w:val="00483888"/>
    <w:rsid w:val="00483D0B"/>
    <w:rsid w:val="00484E42"/>
    <w:rsid w:val="00485E34"/>
    <w:rsid w:val="00486A3D"/>
    <w:rsid w:val="00486B4E"/>
    <w:rsid w:val="00487B5A"/>
    <w:rsid w:val="00487BF3"/>
    <w:rsid w:val="00487D0B"/>
    <w:rsid w:val="00487F8B"/>
    <w:rsid w:val="004909D4"/>
    <w:rsid w:val="00490AF6"/>
    <w:rsid w:val="00490DE4"/>
    <w:rsid w:val="00491138"/>
    <w:rsid w:val="004915C9"/>
    <w:rsid w:val="0049223B"/>
    <w:rsid w:val="00493647"/>
    <w:rsid w:val="00493878"/>
    <w:rsid w:val="004950D0"/>
    <w:rsid w:val="0049576D"/>
    <w:rsid w:val="00495F02"/>
    <w:rsid w:val="004969F8"/>
    <w:rsid w:val="004971F4"/>
    <w:rsid w:val="0049736F"/>
    <w:rsid w:val="00497B0A"/>
    <w:rsid w:val="00497EAC"/>
    <w:rsid w:val="004A0FEF"/>
    <w:rsid w:val="004A1001"/>
    <w:rsid w:val="004A1D75"/>
    <w:rsid w:val="004A46A7"/>
    <w:rsid w:val="004A55F4"/>
    <w:rsid w:val="004A6427"/>
    <w:rsid w:val="004B083B"/>
    <w:rsid w:val="004B0CBA"/>
    <w:rsid w:val="004B1E63"/>
    <w:rsid w:val="004B21FB"/>
    <w:rsid w:val="004B2E1E"/>
    <w:rsid w:val="004B3A43"/>
    <w:rsid w:val="004B3AF6"/>
    <w:rsid w:val="004B4698"/>
    <w:rsid w:val="004B4B38"/>
    <w:rsid w:val="004B550E"/>
    <w:rsid w:val="004B57C8"/>
    <w:rsid w:val="004B5BE1"/>
    <w:rsid w:val="004B6B5D"/>
    <w:rsid w:val="004B6BFD"/>
    <w:rsid w:val="004B6FFD"/>
    <w:rsid w:val="004B7465"/>
    <w:rsid w:val="004B7CDC"/>
    <w:rsid w:val="004B7DF5"/>
    <w:rsid w:val="004B7EE8"/>
    <w:rsid w:val="004C045F"/>
    <w:rsid w:val="004C0ABF"/>
    <w:rsid w:val="004C0B5D"/>
    <w:rsid w:val="004C1437"/>
    <w:rsid w:val="004C201E"/>
    <w:rsid w:val="004C2369"/>
    <w:rsid w:val="004C38E1"/>
    <w:rsid w:val="004C444F"/>
    <w:rsid w:val="004C5827"/>
    <w:rsid w:val="004C6824"/>
    <w:rsid w:val="004C6EE7"/>
    <w:rsid w:val="004C7499"/>
    <w:rsid w:val="004C75E6"/>
    <w:rsid w:val="004D08CA"/>
    <w:rsid w:val="004D3376"/>
    <w:rsid w:val="004D33BA"/>
    <w:rsid w:val="004D4EB2"/>
    <w:rsid w:val="004D5DAB"/>
    <w:rsid w:val="004D6C84"/>
    <w:rsid w:val="004D775D"/>
    <w:rsid w:val="004D783E"/>
    <w:rsid w:val="004E00C2"/>
    <w:rsid w:val="004E0AA6"/>
    <w:rsid w:val="004E0F89"/>
    <w:rsid w:val="004E1692"/>
    <w:rsid w:val="004E1882"/>
    <w:rsid w:val="004E1A0C"/>
    <w:rsid w:val="004E1B51"/>
    <w:rsid w:val="004E2052"/>
    <w:rsid w:val="004E2289"/>
    <w:rsid w:val="004E24D6"/>
    <w:rsid w:val="004E2C23"/>
    <w:rsid w:val="004E4171"/>
    <w:rsid w:val="004E4310"/>
    <w:rsid w:val="004E5D2E"/>
    <w:rsid w:val="004E5FEE"/>
    <w:rsid w:val="004E612B"/>
    <w:rsid w:val="004E6250"/>
    <w:rsid w:val="004E64A6"/>
    <w:rsid w:val="004E6D9B"/>
    <w:rsid w:val="004E7640"/>
    <w:rsid w:val="004E7E06"/>
    <w:rsid w:val="004F01D3"/>
    <w:rsid w:val="004F0F90"/>
    <w:rsid w:val="004F0FCC"/>
    <w:rsid w:val="004F1A54"/>
    <w:rsid w:val="004F1E08"/>
    <w:rsid w:val="004F1E8F"/>
    <w:rsid w:val="004F24F8"/>
    <w:rsid w:val="004F373F"/>
    <w:rsid w:val="004F37D6"/>
    <w:rsid w:val="004F3DDB"/>
    <w:rsid w:val="004F3E20"/>
    <w:rsid w:val="004F45B3"/>
    <w:rsid w:val="004F46C4"/>
    <w:rsid w:val="004F5180"/>
    <w:rsid w:val="004F58C3"/>
    <w:rsid w:val="004F6159"/>
    <w:rsid w:val="004F6E63"/>
    <w:rsid w:val="004F6FAC"/>
    <w:rsid w:val="0050021D"/>
    <w:rsid w:val="0050042F"/>
    <w:rsid w:val="00501816"/>
    <w:rsid w:val="0050231C"/>
    <w:rsid w:val="005023A9"/>
    <w:rsid w:val="00502D7C"/>
    <w:rsid w:val="005034E0"/>
    <w:rsid w:val="005039EB"/>
    <w:rsid w:val="00503B4B"/>
    <w:rsid w:val="00504236"/>
    <w:rsid w:val="005046F9"/>
    <w:rsid w:val="00505F01"/>
    <w:rsid w:val="00506171"/>
    <w:rsid w:val="0050643A"/>
    <w:rsid w:val="00507163"/>
    <w:rsid w:val="0050746B"/>
    <w:rsid w:val="00507950"/>
    <w:rsid w:val="005100B7"/>
    <w:rsid w:val="005109F8"/>
    <w:rsid w:val="005117B7"/>
    <w:rsid w:val="00511A3C"/>
    <w:rsid w:val="00511F0B"/>
    <w:rsid w:val="0051213C"/>
    <w:rsid w:val="0051250B"/>
    <w:rsid w:val="005129B4"/>
    <w:rsid w:val="00512A07"/>
    <w:rsid w:val="00513455"/>
    <w:rsid w:val="00513837"/>
    <w:rsid w:val="00513AAC"/>
    <w:rsid w:val="00513ED8"/>
    <w:rsid w:val="005146D9"/>
    <w:rsid w:val="00514A3C"/>
    <w:rsid w:val="00515E60"/>
    <w:rsid w:val="0051606C"/>
    <w:rsid w:val="0051724A"/>
    <w:rsid w:val="00520262"/>
    <w:rsid w:val="00520DCD"/>
    <w:rsid w:val="00522102"/>
    <w:rsid w:val="00523EB0"/>
    <w:rsid w:val="00525444"/>
    <w:rsid w:val="00526045"/>
    <w:rsid w:val="005261D9"/>
    <w:rsid w:val="0052644D"/>
    <w:rsid w:val="0052662D"/>
    <w:rsid w:val="00526630"/>
    <w:rsid w:val="00527615"/>
    <w:rsid w:val="00527861"/>
    <w:rsid w:val="0052790C"/>
    <w:rsid w:val="00530714"/>
    <w:rsid w:val="00531885"/>
    <w:rsid w:val="00531BCF"/>
    <w:rsid w:val="005332C7"/>
    <w:rsid w:val="00533BF9"/>
    <w:rsid w:val="00533CF3"/>
    <w:rsid w:val="00533D36"/>
    <w:rsid w:val="00533DE8"/>
    <w:rsid w:val="00533F44"/>
    <w:rsid w:val="005342F7"/>
    <w:rsid w:val="0053636A"/>
    <w:rsid w:val="00537333"/>
    <w:rsid w:val="005376B9"/>
    <w:rsid w:val="00541D5A"/>
    <w:rsid w:val="00541EF0"/>
    <w:rsid w:val="00541F07"/>
    <w:rsid w:val="00542840"/>
    <w:rsid w:val="00542F63"/>
    <w:rsid w:val="00543D06"/>
    <w:rsid w:val="005444E0"/>
    <w:rsid w:val="00545361"/>
    <w:rsid w:val="00546B27"/>
    <w:rsid w:val="00546FA7"/>
    <w:rsid w:val="0054707A"/>
    <w:rsid w:val="005478F1"/>
    <w:rsid w:val="00547EDC"/>
    <w:rsid w:val="00550012"/>
    <w:rsid w:val="005505B9"/>
    <w:rsid w:val="00550831"/>
    <w:rsid w:val="00550CE4"/>
    <w:rsid w:val="00552177"/>
    <w:rsid w:val="00552709"/>
    <w:rsid w:val="005527E7"/>
    <w:rsid w:val="00552CC4"/>
    <w:rsid w:val="00553B91"/>
    <w:rsid w:val="00553E6C"/>
    <w:rsid w:val="00554011"/>
    <w:rsid w:val="0055492C"/>
    <w:rsid w:val="00555364"/>
    <w:rsid w:val="005553F4"/>
    <w:rsid w:val="00555D87"/>
    <w:rsid w:val="00556781"/>
    <w:rsid w:val="00556AA6"/>
    <w:rsid w:val="00560B4E"/>
    <w:rsid w:val="00560E39"/>
    <w:rsid w:val="00560EB4"/>
    <w:rsid w:val="00561343"/>
    <w:rsid w:val="005614A2"/>
    <w:rsid w:val="00561AC2"/>
    <w:rsid w:val="00561E36"/>
    <w:rsid w:val="00562EB6"/>
    <w:rsid w:val="00563609"/>
    <w:rsid w:val="00563B37"/>
    <w:rsid w:val="00563E66"/>
    <w:rsid w:val="005648F9"/>
    <w:rsid w:val="00564F66"/>
    <w:rsid w:val="00565626"/>
    <w:rsid w:val="005658D0"/>
    <w:rsid w:val="005662B0"/>
    <w:rsid w:val="00566DDE"/>
    <w:rsid w:val="00571BEA"/>
    <w:rsid w:val="0057273C"/>
    <w:rsid w:val="00573607"/>
    <w:rsid w:val="00575C4E"/>
    <w:rsid w:val="00575CF4"/>
    <w:rsid w:val="00575EEE"/>
    <w:rsid w:val="00576B64"/>
    <w:rsid w:val="00576C1A"/>
    <w:rsid w:val="00576DD1"/>
    <w:rsid w:val="00576E1D"/>
    <w:rsid w:val="00576F60"/>
    <w:rsid w:val="0057735C"/>
    <w:rsid w:val="00577801"/>
    <w:rsid w:val="005809AC"/>
    <w:rsid w:val="00581D9D"/>
    <w:rsid w:val="005828E5"/>
    <w:rsid w:val="005834CF"/>
    <w:rsid w:val="00583513"/>
    <w:rsid w:val="00584CD9"/>
    <w:rsid w:val="00584DF6"/>
    <w:rsid w:val="00585755"/>
    <w:rsid w:val="00585AA0"/>
    <w:rsid w:val="00585E03"/>
    <w:rsid w:val="00585EB2"/>
    <w:rsid w:val="005864C7"/>
    <w:rsid w:val="0058662D"/>
    <w:rsid w:val="0058664B"/>
    <w:rsid w:val="0058720F"/>
    <w:rsid w:val="0058727A"/>
    <w:rsid w:val="005872BB"/>
    <w:rsid w:val="00587538"/>
    <w:rsid w:val="005914B5"/>
    <w:rsid w:val="0059163C"/>
    <w:rsid w:val="00592001"/>
    <w:rsid w:val="0059241C"/>
    <w:rsid w:val="00592886"/>
    <w:rsid w:val="00593A54"/>
    <w:rsid w:val="00593C2C"/>
    <w:rsid w:val="00593CEF"/>
    <w:rsid w:val="00594AFD"/>
    <w:rsid w:val="00594D51"/>
    <w:rsid w:val="00594FA9"/>
    <w:rsid w:val="00595088"/>
    <w:rsid w:val="005952E2"/>
    <w:rsid w:val="00595674"/>
    <w:rsid w:val="00596306"/>
    <w:rsid w:val="00596E98"/>
    <w:rsid w:val="0059749B"/>
    <w:rsid w:val="00597506"/>
    <w:rsid w:val="005979B2"/>
    <w:rsid w:val="005A01F2"/>
    <w:rsid w:val="005A09A8"/>
    <w:rsid w:val="005A14AE"/>
    <w:rsid w:val="005A1651"/>
    <w:rsid w:val="005A1780"/>
    <w:rsid w:val="005A3907"/>
    <w:rsid w:val="005A39F8"/>
    <w:rsid w:val="005A4877"/>
    <w:rsid w:val="005A4976"/>
    <w:rsid w:val="005A589A"/>
    <w:rsid w:val="005B0B2F"/>
    <w:rsid w:val="005B12DF"/>
    <w:rsid w:val="005B1466"/>
    <w:rsid w:val="005B1E1B"/>
    <w:rsid w:val="005B2E82"/>
    <w:rsid w:val="005B354D"/>
    <w:rsid w:val="005B3B44"/>
    <w:rsid w:val="005B3BC0"/>
    <w:rsid w:val="005B4719"/>
    <w:rsid w:val="005B47A2"/>
    <w:rsid w:val="005B4C98"/>
    <w:rsid w:val="005B4CD6"/>
    <w:rsid w:val="005B6062"/>
    <w:rsid w:val="005B62D5"/>
    <w:rsid w:val="005B6735"/>
    <w:rsid w:val="005B6B73"/>
    <w:rsid w:val="005B78BC"/>
    <w:rsid w:val="005B798D"/>
    <w:rsid w:val="005B7E62"/>
    <w:rsid w:val="005C19D5"/>
    <w:rsid w:val="005C1AF5"/>
    <w:rsid w:val="005C258D"/>
    <w:rsid w:val="005C2E77"/>
    <w:rsid w:val="005C3ACD"/>
    <w:rsid w:val="005C694F"/>
    <w:rsid w:val="005C6A44"/>
    <w:rsid w:val="005C6BBE"/>
    <w:rsid w:val="005C7222"/>
    <w:rsid w:val="005C7448"/>
    <w:rsid w:val="005C75AE"/>
    <w:rsid w:val="005C775D"/>
    <w:rsid w:val="005C780D"/>
    <w:rsid w:val="005C7835"/>
    <w:rsid w:val="005C7C18"/>
    <w:rsid w:val="005D09C7"/>
    <w:rsid w:val="005D11BD"/>
    <w:rsid w:val="005D20E7"/>
    <w:rsid w:val="005D21EB"/>
    <w:rsid w:val="005D2457"/>
    <w:rsid w:val="005D2800"/>
    <w:rsid w:val="005D294A"/>
    <w:rsid w:val="005D3231"/>
    <w:rsid w:val="005D413D"/>
    <w:rsid w:val="005D416D"/>
    <w:rsid w:val="005D4801"/>
    <w:rsid w:val="005D4D1A"/>
    <w:rsid w:val="005D6665"/>
    <w:rsid w:val="005D67A4"/>
    <w:rsid w:val="005D74AC"/>
    <w:rsid w:val="005D7D2F"/>
    <w:rsid w:val="005E0094"/>
    <w:rsid w:val="005E0364"/>
    <w:rsid w:val="005E0E5E"/>
    <w:rsid w:val="005E14A8"/>
    <w:rsid w:val="005E16B5"/>
    <w:rsid w:val="005E18C0"/>
    <w:rsid w:val="005E21EE"/>
    <w:rsid w:val="005E4D65"/>
    <w:rsid w:val="005E589C"/>
    <w:rsid w:val="005E5C0E"/>
    <w:rsid w:val="005E6BDF"/>
    <w:rsid w:val="005E6F6E"/>
    <w:rsid w:val="005E7939"/>
    <w:rsid w:val="005E7A6D"/>
    <w:rsid w:val="005E7A70"/>
    <w:rsid w:val="005F07FC"/>
    <w:rsid w:val="005F0A17"/>
    <w:rsid w:val="005F0DEF"/>
    <w:rsid w:val="005F0F8D"/>
    <w:rsid w:val="005F1225"/>
    <w:rsid w:val="005F13A4"/>
    <w:rsid w:val="005F241D"/>
    <w:rsid w:val="005F27D4"/>
    <w:rsid w:val="005F2CE4"/>
    <w:rsid w:val="005F36C7"/>
    <w:rsid w:val="005F37EF"/>
    <w:rsid w:val="005F4A36"/>
    <w:rsid w:val="005F4DF4"/>
    <w:rsid w:val="005F6B2F"/>
    <w:rsid w:val="005F72EE"/>
    <w:rsid w:val="005F79D1"/>
    <w:rsid w:val="005F7FF4"/>
    <w:rsid w:val="00600FA8"/>
    <w:rsid w:val="00601A4D"/>
    <w:rsid w:val="006020D4"/>
    <w:rsid w:val="0060258C"/>
    <w:rsid w:val="006031B8"/>
    <w:rsid w:val="00603299"/>
    <w:rsid w:val="00603621"/>
    <w:rsid w:val="00603773"/>
    <w:rsid w:val="006037A3"/>
    <w:rsid w:val="00603F1E"/>
    <w:rsid w:val="00604239"/>
    <w:rsid w:val="0060568E"/>
    <w:rsid w:val="0060630B"/>
    <w:rsid w:val="0060646D"/>
    <w:rsid w:val="00606921"/>
    <w:rsid w:val="00606C40"/>
    <w:rsid w:val="00607629"/>
    <w:rsid w:val="00607B5E"/>
    <w:rsid w:val="00607C5F"/>
    <w:rsid w:val="0061022E"/>
    <w:rsid w:val="0061079E"/>
    <w:rsid w:val="006119FE"/>
    <w:rsid w:val="00611AD4"/>
    <w:rsid w:val="0061225E"/>
    <w:rsid w:val="00613097"/>
    <w:rsid w:val="00613CFC"/>
    <w:rsid w:val="00614038"/>
    <w:rsid w:val="00615DF9"/>
    <w:rsid w:val="006160C5"/>
    <w:rsid w:val="006163E9"/>
    <w:rsid w:val="006170E7"/>
    <w:rsid w:val="0061715B"/>
    <w:rsid w:val="0061734C"/>
    <w:rsid w:val="006174C1"/>
    <w:rsid w:val="006177C9"/>
    <w:rsid w:val="00617BFD"/>
    <w:rsid w:val="00623BDB"/>
    <w:rsid w:val="00623D0E"/>
    <w:rsid w:val="0062494E"/>
    <w:rsid w:val="00624996"/>
    <w:rsid w:val="00624D96"/>
    <w:rsid w:val="00625A85"/>
    <w:rsid w:val="00626413"/>
    <w:rsid w:val="0062684A"/>
    <w:rsid w:val="00626B64"/>
    <w:rsid w:val="00626D23"/>
    <w:rsid w:val="00627899"/>
    <w:rsid w:val="00631333"/>
    <w:rsid w:val="006317D1"/>
    <w:rsid w:val="00631CD6"/>
    <w:rsid w:val="0063350D"/>
    <w:rsid w:val="00633C7E"/>
    <w:rsid w:val="00634B3D"/>
    <w:rsid w:val="00634E04"/>
    <w:rsid w:val="0063539F"/>
    <w:rsid w:val="0063541C"/>
    <w:rsid w:val="00635900"/>
    <w:rsid w:val="006360CC"/>
    <w:rsid w:val="0063618C"/>
    <w:rsid w:val="0063692C"/>
    <w:rsid w:val="006369B0"/>
    <w:rsid w:val="00636CDE"/>
    <w:rsid w:val="006379D4"/>
    <w:rsid w:val="00637C1D"/>
    <w:rsid w:val="006401CC"/>
    <w:rsid w:val="00640ACC"/>
    <w:rsid w:val="006412E1"/>
    <w:rsid w:val="006416D6"/>
    <w:rsid w:val="00643B6A"/>
    <w:rsid w:val="00644530"/>
    <w:rsid w:val="00645535"/>
    <w:rsid w:val="00645C49"/>
    <w:rsid w:val="00646A1A"/>
    <w:rsid w:val="00647407"/>
    <w:rsid w:val="00647770"/>
    <w:rsid w:val="00650413"/>
    <w:rsid w:val="006508A7"/>
    <w:rsid w:val="006509B5"/>
    <w:rsid w:val="00650ADC"/>
    <w:rsid w:val="00651656"/>
    <w:rsid w:val="006529B1"/>
    <w:rsid w:val="00653114"/>
    <w:rsid w:val="006531AD"/>
    <w:rsid w:val="00655090"/>
    <w:rsid w:val="00655809"/>
    <w:rsid w:val="00660A30"/>
    <w:rsid w:val="006618E1"/>
    <w:rsid w:val="00663240"/>
    <w:rsid w:val="00663F91"/>
    <w:rsid w:val="006646AD"/>
    <w:rsid w:val="006652CB"/>
    <w:rsid w:val="0066680A"/>
    <w:rsid w:val="00666CFA"/>
    <w:rsid w:val="00666EDE"/>
    <w:rsid w:val="00667A47"/>
    <w:rsid w:val="00667D6B"/>
    <w:rsid w:val="00670630"/>
    <w:rsid w:val="00671FFF"/>
    <w:rsid w:val="00672967"/>
    <w:rsid w:val="00672A70"/>
    <w:rsid w:val="00673385"/>
    <w:rsid w:val="006735AC"/>
    <w:rsid w:val="00673A0D"/>
    <w:rsid w:val="00673E5E"/>
    <w:rsid w:val="006740F4"/>
    <w:rsid w:val="00674565"/>
    <w:rsid w:val="00674F51"/>
    <w:rsid w:val="00675BD1"/>
    <w:rsid w:val="00677530"/>
    <w:rsid w:val="0068037C"/>
    <w:rsid w:val="006815D1"/>
    <w:rsid w:val="00681D75"/>
    <w:rsid w:val="006825F6"/>
    <w:rsid w:val="0068277A"/>
    <w:rsid w:val="006846E8"/>
    <w:rsid w:val="00684BB3"/>
    <w:rsid w:val="0068524E"/>
    <w:rsid w:val="00685781"/>
    <w:rsid w:val="00685AFD"/>
    <w:rsid w:val="006866BE"/>
    <w:rsid w:val="00686F7D"/>
    <w:rsid w:val="006872C7"/>
    <w:rsid w:val="00687589"/>
    <w:rsid w:val="00687B39"/>
    <w:rsid w:val="00687F1E"/>
    <w:rsid w:val="00690F51"/>
    <w:rsid w:val="00690F9A"/>
    <w:rsid w:val="00691268"/>
    <w:rsid w:val="0069213E"/>
    <w:rsid w:val="00692697"/>
    <w:rsid w:val="006926D0"/>
    <w:rsid w:val="006927B2"/>
    <w:rsid w:val="006934E8"/>
    <w:rsid w:val="00694DE6"/>
    <w:rsid w:val="0069526C"/>
    <w:rsid w:val="00695D39"/>
    <w:rsid w:val="006963B5"/>
    <w:rsid w:val="00696972"/>
    <w:rsid w:val="00696E2F"/>
    <w:rsid w:val="00696E3E"/>
    <w:rsid w:val="0069716E"/>
    <w:rsid w:val="00697B17"/>
    <w:rsid w:val="006A0158"/>
    <w:rsid w:val="006A0C53"/>
    <w:rsid w:val="006A1515"/>
    <w:rsid w:val="006A24B0"/>
    <w:rsid w:val="006A283A"/>
    <w:rsid w:val="006A3302"/>
    <w:rsid w:val="006A34EC"/>
    <w:rsid w:val="006A3EE7"/>
    <w:rsid w:val="006A434D"/>
    <w:rsid w:val="006A5058"/>
    <w:rsid w:val="006A5CDF"/>
    <w:rsid w:val="006A60B3"/>
    <w:rsid w:val="006A651B"/>
    <w:rsid w:val="006B0141"/>
    <w:rsid w:val="006B015D"/>
    <w:rsid w:val="006B01B3"/>
    <w:rsid w:val="006B18A0"/>
    <w:rsid w:val="006B445E"/>
    <w:rsid w:val="006B4905"/>
    <w:rsid w:val="006B4B15"/>
    <w:rsid w:val="006B52A9"/>
    <w:rsid w:val="006B69F1"/>
    <w:rsid w:val="006B73E4"/>
    <w:rsid w:val="006B7445"/>
    <w:rsid w:val="006C172F"/>
    <w:rsid w:val="006C1805"/>
    <w:rsid w:val="006C1A11"/>
    <w:rsid w:val="006C1B03"/>
    <w:rsid w:val="006C1B45"/>
    <w:rsid w:val="006C1DBB"/>
    <w:rsid w:val="006C1FA2"/>
    <w:rsid w:val="006C39B7"/>
    <w:rsid w:val="006C3C70"/>
    <w:rsid w:val="006C4477"/>
    <w:rsid w:val="006C4F09"/>
    <w:rsid w:val="006C56F7"/>
    <w:rsid w:val="006C5979"/>
    <w:rsid w:val="006C6215"/>
    <w:rsid w:val="006C6679"/>
    <w:rsid w:val="006C6A9E"/>
    <w:rsid w:val="006C717E"/>
    <w:rsid w:val="006C7221"/>
    <w:rsid w:val="006C7812"/>
    <w:rsid w:val="006C78F2"/>
    <w:rsid w:val="006D08A6"/>
    <w:rsid w:val="006D1541"/>
    <w:rsid w:val="006D1653"/>
    <w:rsid w:val="006D1A0A"/>
    <w:rsid w:val="006D1DB0"/>
    <w:rsid w:val="006D2847"/>
    <w:rsid w:val="006D2A98"/>
    <w:rsid w:val="006D2F82"/>
    <w:rsid w:val="006D30FD"/>
    <w:rsid w:val="006D373B"/>
    <w:rsid w:val="006D3EF1"/>
    <w:rsid w:val="006D417B"/>
    <w:rsid w:val="006D42D6"/>
    <w:rsid w:val="006D6AA4"/>
    <w:rsid w:val="006D74D3"/>
    <w:rsid w:val="006E088E"/>
    <w:rsid w:val="006E102A"/>
    <w:rsid w:val="006E16B9"/>
    <w:rsid w:val="006E3195"/>
    <w:rsid w:val="006E41F8"/>
    <w:rsid w:val="006E4C33"/>
    <w:rsid w:val="006E5C5C"/>
    <w:rsid w:val="006E62BF"/>
    <w:rsid w:val="006E74EB"/>
    <w:rsid w:val="006F02C3"/>
    <w:rsid w:val="006F0AE3"/>
    <w:rsid w:val="006F0C99"/>
    <w:rsid w:val="006F16C9"/>
    <w:rsid w:val="006F1BF6"/>
    <w:rsid w:val="006F1E5B"/>
    <w:rsid w:val="006F23ED"/>
    <w:rsid w:val="006F2E65"/>
    <w:rsid w:val="006F3290"/>
    <w:rsid w:val="006F49A0"/>
    <w:rsid w:val="006F5EFE"/>
    <w:rsid w:val="006F6519"/>
    <w:rsid w:val="006F7622"/>
    <w:rsid w:val="006F7B28"/>
    <w:rsid w:val="007006ED"/>
    <w:rsid w:val="00700A66"/>
    <w:rsid w:val="00701492"/>
    <w:rsid w:val="007016C5"/>
    <w:rsid w:val="00701A5F"/>
    <w:rsid w:val="007021FE"/>
    <w:rsid w:val="0070303F"/>
    <w:rsid w:val="007043F5"/>
    <w:rsid w:val="00705A4D"/>
    <w:rsid w:val="00705A8F"/>
    <w:rsid w:val="00706266"/>
    <w:rsid w:val="00707237"/>
    <w:rsid w:val="00707294"/>
    <w:rsid w:val="00707BCB"/>
    <w:rsid w:val="007104B8"/>
    <w:rsid w:val="007109F7"/>
    <w:rsid w:val="007109FD"/>
    <w:rsid w:val="00712414"/>
    <w:rsid w:val="00712932"/>
    <w:rsid w:val="00712A1A"/>
    <w:rsid w:val="00712D55"/>
    <w:rsid w:val="007138FC"/>
    <w:rsid w:val="00714140"/>
    <w:rsid w:val="0071462C"/>
    <w:rsid w:val="00714668"/>
    <w:rsid w:val="007146A5"/>
    <w:rsid w:val="0071471F"/>
    <w:rsid w:val="0071664E"/>
    <w:rsid w:val="00716BDE"/>
    <w:rsid w:val="00716C20"/>
    <w:rsid w:val="007174B8"/>
    <w:rsid w:val="00717579"/>
    <w:rsid w:val="00717F8A"/>
    <w:rsid w:val="007201CF"/>
    <w:rsid w:val="00720869"/>
    <w:rsid w:val="007215F1"/>
    <w:rsid w:val="00721A2D"/>
    <w:rsid w:val="00721F20"/>
    <w:rsid w:val="007228DB"/>
    <w:rsid w:val="00722CF0"/>
    <w:rsid w:val="00722F62"/>
    <w:rsid w:val="00723206"/>
    <w:rsid w:val="0072333B"/>
    <w:rsid w:val="0072395D"/>
    <w:rsid w:val="007246C1"/>
    <w:rsid w:val="0072593E"/>
    <w:rsid w:val="00725E26"/>
    <w:rsid w:val="00725F52"/>
    <w:rsid w:val="00726218"/>
    <w:rsid w:val="00726DF9"/>
    <w:rsid w:val="0072739A"/>
    <w:rsid w:val="00730545"/>
    <w:rsid w:val="00730729"/>
    <w:rsid w:val="00731079"/>
    <w:rsid w:val="0073107C"/>
    <w:rsid w:val="00732513"/>
    <w:rsid w:val="007327DB"/>
    <w:rsid w:val="00732BEF"/>
    <w:rsid w:val="007332BB"/>
    <w:rsid w:val="00733AC0"/>
    <w:rsid w:val="0073404D"/>
    <w:rsid w:val="00734518"/>
    <w:rsid w:val="0073464A"/>
    <w:rsid w:val="00734FF2"/>
    <w:rsid w:val="0073515B"/>
    <w:rsid w:val="00735C93"/>
    <w:rsid w:val="00735FD4"/>
    <w:rsid w:val="00736AFD"/>
    <w:rsid w:val="00736C0D"/>
    <w:rsid w:val="00737326"/>
    <w:rsid w:val="007378A0"/>
    <w:rsid w:val="00737E39"/>
    <w:rsid w:val="00737E60"/>
    <w:rsid w:val="00740711"/>
    <w:rsid w:val="007408B4"/>
    <w:rsid w:val="00740EE6"/>
    <w:rsid w:val="00741C09"/>
    <w:rsid w:val="00741EA4"/>
    <w:rsid w:val="0074277E"/>
    <w:rsid w:val="007428B1"/>
    <w:rsid w:val="007439B6"/>
    <w:rsid w:val="0074574F"/>
    <w:rsid w:val="0074598E"/>
    <w:rsid w:val="00746EE4"/>
    <w:rsid w:val="0074735A"/>
    <w:rsid w:val="0075245D"/>
    <w:rsid w:val="00752DD9"/>
    <w:rsid w:val="00753F03"/>
    <w:rsid w:val="0075565B"/>
    <w:rsid w:val="00755700"/>
    <w:rsid w:val="00757BBB"/>
    <w:rsid w:val="00760E7B"/>
    <w:rsid w:val="00761128"/>
    <w:rsid w:val="00761129"/>
    <w:rsid w:val="00762F2E"/>
    <w:rsid w:val="0076315E"/>
    <w:rsid w:val="00763270"/>
    <w:rsid w:val="007635DA"/>
    <w:rsid w:val="0076374A"/>
    <w:rsid w:val="00763770"/>
    <w:rsid w:val="00763A40"/>
    <w:rsid w:val="00764482"/>
    <w:rsid w:val="007651D8"/>
    <w:rsid w:val="007652EA"/>
    <w:rsid w:val="00765B55"/>
    <w:rsid w:val="00765C72"/>
    <w:rsid w:val="00766DCD"/>
    <w:rsid w:val="0076753C"/>
    <w:rsid w:val="00767FFB"/>
    <w:rsid w:val="0077265E"/>
    <w:rsid w:val="007734A4"/>
    <w:rsid w:val="007746D3"/>
    <w:rsid w:val="00774B47"/>
    <w:rsid w:val="00774C47"/>
    <w:rsid w:val="00774C77"/>
    <w:rsid w:val="0077503B"/>
    <w:rsid w:val="00775C6F"/>
    <w:rsid w:val="00776675"/>
    <w:rsid w:val="00776FDB"/>
    <w:rsid w:val="00777C90"/>
    <w:rsid w:val="00777FE2"/>
    <w:rsid w:val="007804DB"/>
    <w:rsid w:val="0078069F"/>
    <w:rsid w:val="00780BF0"/>
    <w:rsid w:val="00782905"/>
    <w:rsid w:val="00782C19"/>
    <w:rsid w:val="00783A2B"/>
    <w:rsid w:val="00783D1A"/>
    <w:rsid w:val="007841C6"/>
    <w:rsid w:val="00784273"/>
    <w:rsid w:val="00784A4D"/>
    <w:rsid w:val="00785BEE"/>
    <w:rsid w:val="00786AA0"/>
    <w:rsid w:val="007877E5"/>
    <w:rsid w:val="00787C3F"/>
    <w:rsid w:val="007911E0"/>
    <w:rsid w:val="0079140E"/>
    <w:rsid w:val="007921F1"/>
    <w:rsid w:val="00792200"/>
    <w:rsid w:val="007936D7"/>
    <w:rsid w:val="00793A74"/>
    <w:rsid w:val="00793E75"/>
    <w:rsid w:val="007944B5"/>
    <w:rsid w:val="00795F86"/>
    <w:rsid w:val="00796EDC"/>
    <w:rsid w:val="007970CD"/>
    <w:rsid w:val="007976F7"/>
    <w:rsid w:val="00797A60"/>
    <w:rsid w:val="00797C12"/>
    <w:rsid w:val="00797D0B"/>
    <w:rsid w:val="007A01A6"/>
    <w:rsid w:val="007A0299"/>
    <w:rsid w:val="007A1915"/>
    <w:rsid w:val="007A4AC8"/>
    <w:rsid w:val="007A4D8B"/>
    <w:rsid w:val="007A5B3D"/>
    <w:rsid w:val="007A5D9B"/>
    <w:rsid w:val="007A5F67"/>
    <w:rsid w:val="007A65A9"/>
    <w:rsid w:val="007A6896"/>
    <w:rsid w:val="007A6B80"/>
    <w:rsid w:val="007A7BB2"/>
    <w:rsid w:val="007A7EFD"/>
    <w:rsid w:val="007B05A8"/>
    <w:rsid w:val="007B05C2"/>
    <w:rsid w:val="007B0984"/>
    <w:rsid w:val="007B0E37"/>
    <w:rsid w:val="007B207D"/>
    <w:rsid w:val="007B40CD"/>
    <w:rsid w:val="007B45BD"/>
    <w:rsid w:val="007B4815"/>
    <w:rsid w:val="007B51DB"/>
    <w:rsid w:val="007B53FF"/>
    <w:rsid w:val="007B63A7"/>
    <w:rsid w:val="007B688A"/>
    <w:rsid w:val="007B7008"/>
    <w:rsid w:val="007B7C8A"/>
    <w:rsid w:val="007B7C8E"/>
    <w:rsid w:val="007B7DB6"/>
    <w:rsid w:val="007C0C97"/>
    <w:rsid w:val="007C20FA"/>
    <w:rsid w:val="007C24C0"/>
    <w:rsid w:val="007C2815"/>
    <w:rsid w:val="007C29F8"/>
    <w:rsid w:val="007C2F5D"/>
    <w:rsid w:val="007C350F"/>
    <w:rsid w:val="007C39CF"/>
    <w:rsid w:val="007C402A"/>
    <w:rsid w:val="007C55F1"/>
    <w:rsid w:val="007C5873"/>
    <w:rsid w:val="007C5A8B"/>
    <w:rsid w:val="007C718B"/>
    <w:rsid w:val="007C770A"/>
    <w:rsid w:val="007C7951"/>
    <w:rsid w:val="007D0082"/>
    <w:rsid w:val="007D02FB"/>
    <w:rsid w:val="007D05C2"/>
    <w:rsid w:val="007D0EDC"/>
    <w:rsid w:val="007D1F66"/>
    <w:rsid w:val="007D2333"/>
    <w:rsid w:val="007D273C"/>
    <w:rsid w:val="007D2CD1"/>
    <w:rsid w:val="007D3374"/>
    <w:rsid w:val="007D4932"/>
    <w:rsid w:val="007D5037"/>
    <w:rsid w:val="007D574C"/>
    <w:rsid w:val="007D5A6F"/>
    <w:rsid w:val="007D5DD2"/>
    <w:rsid w:val="007D794F"/>
    <w:rsid w:val="007D7EBC"/>
    <w:rsid w:val="007E0350"/>
    <w:rsid w:val="007E1B54"/>
    <w:rsid w:val="007E1FFD"/>
    <w:rsid w:val="007E212E"/>
    <w:rsid w:val="007E2E25"/>
    <w:rsid w:val="007E2E9F"/>
    <w:rsid w:val="007E2F2C"/>
    <w:rsid w:val="007E321C"/>
    <w:rsid w:val="007E36C5"/>
    <w:rsid w:val="007E4091"/>
    <w:rsid w:val="007E4097"/>
    <w:rsid w:val="007E5205"/>
    <w:rsid w:val="007E66C9"/>
    <w:rsid w:val="007E67A8"/>
    <w:rsid w:val="007E67E0"/>
    <w:rsid w:val="007F02A9"/>
    <w:rsid w:val="007F17EB"/>
    <w:rsid w:val="007F2831"/>
    <w:rsid w:val="007F2DF3"/>
    <w:rsid w:val="007F3D99"/>
    <w:rsid w:val="007F3DB2"/>
    <w:rsid w:val="007F427B"/>
    <w:rsid w:val="007F468B"/>
    <w:rsid w:val="007F4BB4"/>
    <w:rsid w:val="007F7266"/>
    <w:rsid w:val="007F7B48"/>
    <w:rsid w:val="00800979"/>
    <w:rsid w:val="008017C1"/>
    <w:rsid w:val="00802107"/>
    <w:rsid w:val="00802228"/>
    <w:rsid w:val="00803712"/>
    <w:rsid w:val="008038B3"/>
    <w:rsid w:val="00803A1F"/>
    <w:rsid w:val="008046BF"/>
    <w:rsid w:val="008048F5"/>
    <w:rsid w:val="008058CC"/>
    <w:rsid w:val="00805A0D"/>
    <w:rsid w:val="00805C1E"/>
    <w:rsid w:val="0080687D"/>
    <w:rsid w:val="00806A85"/>
    <w:rsid w:val="00806AAF"/>
    <w:rsid w:val="00806E97"/>
    <w:rsid w:val="0080779B"/>
    <w:rsid w:val="00807AC9"/>
    <w:rsid w:val="008105F6"/>
    <w:rsid w:val="008112CE"/>
    <w:rsid w:val="0081180A"/>
    <w:rsid w:val="0081349A"/>
    <w:rsid w:val="008138AA"/>
    <w:rsid w:val="00814C78"/>
    <w:rsid w:val="00814E4B"/>
    <w:rsid w:val="00815181"/>
    <w:rsid w:val="00815CA3"/>
    <w:rsid w:val="00815E1C"/>
    <w:rsid w:val="008161D5"/>
    <w:rsid w:val="00816719"/>
    <w:rsid w:val="00817808"/>
    <w:rsid w:val="00820302"/>
    <w:rsid w:val="00821368"/>
    <w:rsid w:val="0082192C"/>
    <w:rsid w:val="00822F8C"/>
    <w:rsid w:val="00823757"/>
    <w:rsid w:val="00823CB8"/>
    <w:rsid w:val="00823D77"/>
    <w:rsid w:val="00823E3F"/>
    <w:rsid w:val="00824C09"/>
    <w:rsid w:val="00825190"/>
    <w:rsid w:val="0082779B"/>
    <w:rsid w:val="008303C1"/>
    <w:rsid w:val="008305A6"/>
    <w:rsid w:val="00830DAB"/>
    <w:rsid w:val="00831754"/>
    <w:rsid w:val="00831E4C"/>
    <w:rsid w:val="00831FE6"/>
    <w:rsid w:val="00832337"/>
    <w:rsid w:val="00833ADD"/>
    <w:rsid w:val="0083423C"/>
    <w:rsid w:val="0083458B"/>
    <w:rsid w:val="008345A3"/>
    <w:rsid w:val="00835CD6"/>
    <w:rsid w:val="00835D1A"/>
    <w:rsid w:val="00837062"/>
    <w:rsid w:val="008371A2"/>
    <w:rsid w:val="008373FD"/>
    <w:rsid w:val="0083787C"/>
    <w:rsid w:val="008400E9"/>
    <w:rsid w:val="008405EF"/>
    <w:rsid w:val="00841B35"/>
    <w:rsid w:val="00841D20"/>
    <w:rsid w:val="00841D9F"/>
    <w:rsid w:val="00841DA0"/>
    <w:rsid w:val="00842149"/>
    <w:rsid w:val="008429D7"/>
    <w:rsid w:val="00842B2F"/>
    <w:rsid w:val="00844285"/>
    <w:rsid w:val="0084489D"/>
    <w:rsid w:val="00844A20"/>
    <w:rsid w:val="008450B5"/>
    <w:rsid w:val="008452D6"/>
    <w:rsid w:val="008456A1"/>
    <w:rsid w:val="00845D1D"/>
    <w:rsid w:val="0084603B"/>
    <w:rsid w:val="008466D2"/>
    <w:rsid w:val="00846E7F"/>
    <w:rsid w:val="008472D7"/>
    <w:rsid w:val="00847678"/>
    <w:rsid w:val="008500B6"/>
    <w:rsid w:val="00850331"/>
    <w:rsid w:val="008511CE"/>
    <w:rsid w:val="00851993"/>
    <w:rsid w:val="00852314"/>
    <w:rsid w:val="00853EF1"/>
    <w:rsid w:val="00854A19"/>
    <w:rsid w:val="00855125"/>
    <w:rsid w:val="00855FBA"/>
    <w:rsid w:val="0085610D"/>
    <w:rsid w:val="0085622C"/>
    <w:rsid w:val="0085653F"/>
    <w:rsid w:val="008569CF"/>
    <w:rsid w:val="00857044"/>
    <w:rsid w:val="00857B8E"/>
    <w:rsid w:val="00857D3D"/>
    <w:rsid w:val="00860393"/>
    <w:rsid w:val="00860DEC"/>
    <w:rsid w:val="00860F6E"/>
    <w:rsid w:val="008616D5"/>
    <w:rsid w:val="00861E2A"/>
    <w:rsid w:val="008623EA"/>
    <w:rsid w:val="008629A3"/>
    <w:rsid w:val="008638A0"/>
    <w:rsid w:val="00864817"/>
    <w:rsid w:val="00865154"/>
    <w:rsid w:val="00867177"/>
    <w:rsid w:val="00867CBE"/>
    <w:rsid w:val="008717C0"/>
    <w:rsid w:val="00871BB8"/>
    <w:rsid w:val="00871D2F"/>
    <w:rsid w:val="008720FD"/>
    <w:rsid w:val="00872C56"/>
    <w:rsid w:val="00872F3F"/>
    <w:rsid w:val="0087351E"/>
    <w:rsid w:val="00873668"/>
    <w:rsid w:val="008737F0"/>
    <w:rsid w:val="0087409E"/>
    <w:rsid w:val="008745D8"/>
    <w:rsid w:val="008748D0"/>
    <w:rsid w:val="008759CE"/>
    <w:rsid w:val="0087728F"/>
    <w:rsid w:val="00877F4F"/>
    <w:rsid w:val="008800F4"/>
    <w:rsid w:val="00881456"/>
    <w:rsid w:val="00881509"/>
    <w:rsid w:val="00881636"/>
    <w:rsid w:val="00882E52"/>
    <w:rsid w:val="008834C2"/>
    <w:rsid w:val="008834D1"/>
    <w:rsid w:val="00883958"/>
    <w:rsid w:val="0088395A"/>
    <w:rsid w:val="008841CE"/>
    <w:rsid w:val="00886308"/>
    <w:rsid w:val="00886866"/>
    <w:rsid w:val="00886D11"/>
    <w:rsid w:val="00886DAA"/>
    <w:rsid w:val="00890A40"/>
    <w:rsid w:val="008919B0"/>
    <w:rsid w:val="00891D27"/>
    <w:rsid w:val="00891D7D"/>
    <w:rsid w:val="0089225B"/>
    <w:rsid w:val="00893388"/>
    <w:rsid w:val="008933E8"/>
    <w:rsid w:val="00893842"/>
    <w:rsid w:val="00894702"/>
    <w:rsid w:val="00894DB1"/>
    <w:rsid w:val="00895300"/>
    <w:rsid w:val="00896606"/>
    <w:rsid w:val="0089668B"/>
    <w:rsid w:val="00896B41"/>
    <w:rsid w:val="008A03DA"/>
    <w:rsid w:val="008A05A7"/>
    <w:rsid w:val="008A0DCD"/>
    <w:rsid w:val="008A1072"/>
    <w:rsid w:val="008A1ECF"/>
    <w:rsid w:val="008A21D5"/>
    <w:rsid w:val="008A243B"/>
    <w:rsid w:val="008A28B1"/>
    <w:rsid w:val="008A28BC"/>
    <w:rsid w:val="008A2D1C"/>
    <w:rsid w:val="008A36DC"/>
    <w:rsid w:val="008A42BE"/>
    <w:rsid w:val="008A4476"/>
    <w:rsid w:val="008A68B8"/>
    <w:rsid w:val="008A694E"/>
    <w:rsid w:val="008A6CAD"/>
    <w:rsid w:val="008A6FB1"/>
    <w:rsid w:val="008A732D"/>
    <w:rsid w:val="008A733E"/>
    <w:rsid w:val="008B09F2"/>
    <w:rsid w:val="008B18F4"/>
    <w:rsid w:val="008B1FA1"/>
    <w:rsid w:val="008B4F60"/>
    <w:rsid w:val="008B63E6"/>
    <w:rsid w:val="008B6F49"/>
    <w:rsid w:val="008C0A3C"/>
    <w:rsid w:val="008C0D25"/>
    <w:rsid w:val="008C0D81"/>
    <w:rsid w:val="008C0DB8"/>
    <w:rsid w:val="008C13BC"/>
    <w:rsid w:val="008C15BE"/>
    <w:rsid w:val="008C1644"/>
    <w:rsid w:val="008C1D27"/>
    <w:rsid w:val="008C2A14"/>
    <w:rsid w:val="008C3AC5"/>
    <w:rsid w:val="008C3ECC"/>
    <w:rsid w:val="008C4C2A"/>
    <w:rsid w:val="008C6A42"/>
    <w:rsid w:val="008C6D7E"/>
    <w:rsid w:val="008C6E67"/>
    <w:rsid w:val="008C76A3"/>
    <w:rsid w:val="008D01D9"/>
    <w:rsid w:val="008D0F0A"/>
    <w:rsid w:val="008D10AA"/>
    <w:rsid w:val="008D194C"/>
    <w:rsid w:val="008D1DA7"/>
    <w:rsid w:val="008D228B"/>
    <w:rsid w:val="008D247A"/>
    <w:rsid w:val="008D28DC"/>
    <w:rsid w:val="008D2C29"/>
    <w:rsid w:val="008D2C84"/>
    <w:rsid w:val="008D30A0"/>
    <w:rsid w:val="008D3868"/>
    <w:rsid w:val="008D40C8"/>
    <w:rsid w:val="008D6128"/>
    <w:rsid w:val="008D6B2A"/>
    <w:rsid w:val="008D6ECD"/>
    <w:rsid w:val="008D7B43"/>
    <w:rsid w:val="008E0AD3"/>
    <w:rsid w:val="008E1374"/>
    <w:rsid w:val="008E182B"/>
    <w:rsid w:val="008E2B2C"/>
    <w:rsid w:val="008E30D5"/>
    <w:rsid w:val="008E36AC"/>
    <w:rsid w:val="008E3F17"/>
    <w:rsid w:val="008E3F1D"/>
    <w:rsid w:val="008E4360"/>
    <w:rsid w:val="008E528F"/>
    <w:rsid w:val="008E56B9"/>
    <w:rsid w:val="008E5AFC"/>
    <w:rsid w:val="008E6AB9"/>
    <w:rsid w:val="008E7453"/>
    <w:rsid w:val="008E7E9E"/>
    <w:rsid w:val="008F0080"/>
    <w:rsid w:val="008F0092"/>
    <w:rsid w:val="008F00CD"/>
    <w:rsid w:val="008F1431"/>
    <w:rsid w:val="008F28C5"/>
    <w:rsid w:val="008F2E9D"/>
    <w:rsid w:val="008F3172"/>
    <w:rsid w:val="008F3BEB"/>
    <w:rsid w:val="008F407A"/>
    <w:rsid w:val="008F4C6F"/>
    <w:rsid w:val="008F4D21"/>
    <w:rsid w:val="008F51EE"/>
    <w:rsid w:val="008F55DE"/>
    <w:rsid w:val="008F5D59"/>
    <w:rsid w:val="008F5D6A"/>
    <w:rsid w:val="008F5F5E"/>
    <w:rsid w:val="008F6517"/>
    <w:rsid w:val="008F667A"/>
    <w:rsid w:val="008F68B3"/>
    <w:rsid w:val="008F775E"/>
    <w:rsid w:val="008F7BE6"/>
    <w:rsid w:val="00900775"/>
    <w:rsid w:val="00901030"/>
    <w:rsid w:val="009010EE"/>
    <w:rsid w:val="00902F76"/>
    <w:rsid w:val="00903CEA"/>
    <w:rsid w:val="0090451E"/>
    <w:rsid w:val="0090471E"/>
    <w:rsid w:val="00904771"/>
    <w:rsid w:val="009049D8"/>
    <w:rsid w:val="0090553C"/>
    <w:rsid w:val="009072C7"/>
    <w:rsid w:val="00910870"/>
    <w:rsid w:val="00910B6E"/>
    <w:rsid w:val="00911341"/>
    <w:rsid w:val="00912E19"/>
    <w:rsid w:val="00913657"/>
    <w:rsid w:val="0091395E"/>
    <w:rsid w:val="00913D4D"/>
    <w:rsid w:val="00913FCD"/>
    <w:rsid w:val="00914131"/>
    <w:rsid w:val="00914C92"/>
    <w:rsid w:val="00914EDC"/>
    <w:rsid w:val="009153E4"/>
    <w:rsid w:val="009155F6"/>
    <w:rsid w:val="00916574"/>
    <w:rsid w:val="00916C7B"/>
    <w:rsid w:val="00917CA9"/>
    <w:rsid w:val="00920049"/>
    <w:rsid w:val="00920A6F"/>
    <w:rsid w:val="00921B80"/>
    <w:rsid w:val="00921FAD"/>
    <w:rsid w:val="00922BDD"/>
    <w:rsid w:val="0092547A"/>
    <w:rsid w:val="009256D0"/>
    <w:rsid w:val="00925FCB"/>
    <w:rsid w:val="0092672F"/>
    <w:rsid w:val="00926CA6"/>
    <w:rsid w:val="00927AE0"/>
    <w:rsid w:val="00927D0E"/>
    <w:rsid w:val="00927E10"/>
    <w:rsid w:val="0093009B"/>
    <w:rsid w:val="009301AE"/>
    <w:rsid w:val="0093035B"/>
    <w:rsid w:val="009303D6"/>
    <w:rsid w:val="0093045D"/>
    <w:rsid w:val="0093064A"/>
    <w:rsid w:val="00930F15"/>
    <w:rsid w:val="00931A8E"/>
    <w:rsid w:val="009321E2"/>
    <w:rsid w:val="00932804"/>
    <w:rsid w:val="00934015"/>
    <w:rsid w:val="009349FF"/>
    <w:rsid w:val="00934BA7"/>
    <w:rsid w:val="00934DE7"/>
    <w:rsid w:val="0093543E"/>
    <w:rsid w:val="0093590A"/>
    <w:rsid w:val="009359CC"/>
    <w:rsid w:val="00935AD3"/>
    <w:rsid w:val="009362F3"/>
    <w:rsid w:val="00936CA6"/>
    <w:rsid w:val="00937DCA"/>
    <w:rsid w:val="00937EBD"/>
    <w:rsid w:val="0094035A"/>
    <w:rsid w:val="009406EF"/>
    <w:rsid w:val="00941693"/>
    <w:rsid w:val="00941BC2"/>
    <w:rsid w:val="0094279D"/>
    <w:rsid w:val="00943916"/>
    <w:rsid w:val="0094461C"/>
    <w:rsid w:val="0094465B"/>
    <w:rsid w:val="00944AA5"/>
    <w:rsid w:val="009453F9"/>
    <w:rsid w:val="00945473"/>
    <w:rsid w:val="00945AC1"/>
    <w:rsid w:val="00946565"/>
    <w:rsid w:val="00946973"/>
    <w:rsid w:val="00946C13"/>
    <w:rsid w:val="00947ED0"/>
    <w:rsid w:val="0095055E"/>
    <w:rsid w:val="0095065F"/>
    <w:rsid w:val="00950676"/>
    <w:rsid w:val="00950E8A"/>
    <w:rsid w:val="009513E7"/>
    <w:rsid w:val="00951A23"/>
    <w:rsid w:val="009532FF"/>
    <w:rsid w:val="0095365C"/>
    <w:rsid w:val="0095476E"/>
    <w:rsid w:val="00954F95"/>
    <w:rsid w:val="00955145"/>
    <w:rsid w:val="00955D0F"/>
    <w:rsid w:val="00956EA4"/>
    <w:rsid w:val="00957EEF"/>
    <w:rsid w:val="00960825"/>
    <w:rsid w:val="00960B4C"/>
    <w:rsid w:val="009610F9"/>
    <w:rsid w:val="00961F8E"/>
    <w:rsid w:val="00961FCE"/>
    <w:rsid w:val="009623E3"/>
    <w:rsid w:val="0096351E"/>
    <w:rsid w:val="00963E2D"/>
    <w:rsid w:val="00964FC7"/>
    <w:rsid w:val="00965090"/>
    <w:rsid w:val="00966247"/>
    <w:rsid w:val="009666C8"/>
    <w:rsid w:val="00966FE5"/>
    <w:rsid w:val="009671B4"/>
    <w:rsid w:val="00967894"/>
    <w:rsid w:val="0096799F"/>
    <w:rsid w:val="00967FAC"/>
    <w:rsid w:val="00970274"/>
    <w:rsid w:val="00973167"/>
    <w:rsid w:val="00973A59"/>
    <w:rsid w:val="00975124"/>
    <w:rsid w:val="009751B2"/>
    <w:rsid w:val="00975C07"/>
    <w:rsid w:val="00975CF3"/>
    <w:rsid w:val="00976220"/>
    <w:rsid w:val="009772A5"/>
    <w:rsid w:val="00977920"/>
    <w:rsid w:val="00980404"/>
    <w:rsid w:val="00982623"/>
    <w:rsid w:val="0098397B"/>
    <w:rsid w:val="00983DEE"/>
    <w:rsid w:val="009848CD"/>
    <w:rsid w:val="00984CAE"/>
    <w:rsid w:val="009850FB"/>
    <w:rsid w:val="009852C1"/>
    <w:rsid w:val="00986FE0"/>
    <w:rsid w:val="009901DB"/>
    <w:rsid w:val="00990E01"/>
    <w:rsid w:val="00991593"/>
    <w:rsid w:val="009919ED"/>
    <w:rsid w:val="009922D1"/>
    <w:rsid w:val="00994473"/>
    <w:rsid w:val="00994700"/>
    <w:rsid w:val="00995779"/>
    <w:rsid w:val="00995C1C"/>
    <w:rsid w:val="00995E93"/>
    <w:rsid w:val="009960A9"/>
    <w:rsid w:val="00996DF1"/>
    <w:rsid w:val="009973BB"/>
    <w:rsid w:val="009A0BEB"/>
    <w:rsid w:val="009A11FA"/>
    <w:rsid w:val="009A194F"/>
    <w:rsid w:val="009A19E9"/>
    <w:rsid w:val="009A1A43"/>
    <w:rsid w:val="009A20CA"/>
    <w:rsid w:val="009A3601"/>
    <w:rsid w:val="009A3B32"/>
    <w:rsid w:val="009A3C83"/>
    <w:rsid w:val="009A4521"/>
    <w:rsid w:val="009A4D20"/>
    <w:rsid w:val="009A59BF"/>
    <w:rsid w:val="009A638B"/>
    <w:rsid w:val="009A66FC"/>
    <w:rsid w:val="009A7DA8"/>
    <w:rsid w:val="009A7ECD"/>
    <w:rsid w:val="009B02FA"/>
    <w:rsid w:val="009B1CC4"/>
    <w:rsid w:val="009B1F6B"/>
    <w:rsid w:val="009B2A73"/>
    <w:rsid w:val="009B3475"/>
    <w:rsid w:val="009B3F10"/>
    <w:rsid w:val="009B4992"/>
    <w:rsid w:val="009B5089"/>
    <w:rsid w:val="009B5431"/>
    <w:rsid w:val="009B5AF8"/>
    <w:rsid w:val="009B79EF"/>
    <w:rsid w:val="009C025F"/>
    <w:rsid w:val="009C0B35"/>
    <w:rsid w:val="009C13E3"/>
    <w:rsid w:val="009C1D85"/>
    <w:rsid w:val="009C2148"/>
    <w:rsid w:val="009C2B33"/>
    <w:rsid w:val="009C2F68"/>
    <w:rsid w:val="009C32C2"/>
    <w:rsid w:val="009C3324"/>
    <w:rsid w:val="009C3405"/>
    <w:rsid w:val="009C3AC9"/>
    <w:rsid w:val="009C3F88"/>
    <w:rsid w:val="009C5772"/>
    <w:rsid w:val="009C584E"/>
    <w:rsid w:val="009C59E5"/>
    <w:rsid w:val="009C5D08"/>
    <w:rsid w:val="009C61AB"/>
    <w:rsid w:val="009C7565"/>
    <w:rsid w:val="009D082C"/>
    <w:rsid w:val="009D1053"/>
    <w:rsid w:val="009D12CE"/>
    <w:rsid w:val="009D1B0C"/>
    <w:rsid w:val="009D24B1"/>
    <w:rsid w:val="009D4EA7"/>
    <w:rsid w:val="009D6A33"/>
    <w:rsid w:val="009D6B7B"/>
    <w:rsid w:val="009D717E"/>
    <w:rsid w:val="009D7AC9"/>
    <w:rsid w:val="009E0268"/>
    <w:rsid w:val="009E1494"/>
    <w:rsid w:val="009E1B2F"/>
    <w:rsid w:val="009E23E9"/>
    <w:rsid w:val="009E27C7"/>
    <w:rsid w:val="009E2EF5"/>
    <w:rsid w:val="009E326B"/>
    <w:rsid w:val="009E337D"/>
    <w:rsid w:val="009E37C5"/>
    <w:rsid w:val="009E38F8"/>
    <w:rsid w:val="009E3FC5"/>
    <w:rsid w:val="009E4017"/>
    <w:rsid w:val="009E5BDE"/>
    <w:rsid w:val="009E5FBB"/>
    <w:rsid w:val="009E6AA5"/>
    <w:rsid w:val="009E78A1"/>
    <w:rsid w:val="009F0405"/>
    <w:rsid w:val="009F075A"/>
    <w:rsid w:val="009F1A3F"/>
    <w:rsid w:val="009F1EF2"/>
    <w:rsid w:val="009F2678"/>
    <w:rsid w:val="009F341A"/>
    <w:rsid w:val="009F3580"/>
    <w:rsid w:val="009F39CD"/>
    <w:rsid w:val="009F39E3"/>
    <w:rsid w:val="009F3B4A"/>
    <w:rsid w:val="009F4BB3"/>
    <w:rsid w:val="009F534E"/>
    <w:rsid w:val="009F5553"/>
    <w:rsid w:val="009F585A"/>
    <w:rsid w:val="009F6195"/>
    <w:rsid w:val="009F7A0B"/>
    <w:rsid w:val="00A003CA"/>
    <w:rsid w:val="00A0070C"/>
    <w:rsid w:val="00A0099A"/>
    <w:rsid w:val="00A00D6F"/>
    <w:rsid w:val="00A015AD"/>
    <w:rsid w:val="00A0160A"/>
    <w:rsid w:val="00A018D9"/>
    <w:rsid w:val="00A01D05"/>
    <w:rsid w:val="00A0205F"/>
    <w:rsid w:val="00A0245F"/>
    <w:rsid w:val="00A02856"/>
    <w:rsid w:val="00A02991"/>
    <w:rsid w:val="00A03AA1"/>
    <w:rsid w:val="00A049BB"/>
    <w:rsid w:val="00A06BEC"/>
    <w:rsid w:val="00A10AFA"/>
    <w:rsid w:val="00A127F5"/>
    <w:rsid w:val="00A12E39"/>
    <w:rsid w:val="00A1399B"/>
    <w:rsid w:val="00A139E6"/>
    <w:rsid w:val="00A13A5A"/>
    <w:rsid w:val="00A1509A"/>
    <w:rsid w:val="00A15290"/>
    <w:rsid w:val="00A15705"/>
    <w:rsid w:val="00A158A3"/>
    <w:rsid w:val="00A15AC7"/>
    <w:rsid w:val="00A169B8"/>
    <w:rsid w:val="00A174DB"/>
    <w:rsid w:val="00A17BE1"/>
    <w:rsid w:val="00A200B2"/>
    <w:rsid w:val="00A20744"/>
    <w:rsid w:val="00A2091B"/>
    <w:rsid w:val="00A20B6B"/>
    <w:rsid w:val="00A22078"/>
    <w:rsid w:val="00A22F2D"/>
    <w:rsid w:val="00A2389E"/>
    <w:rsid w:val="00A249D3"/>
    <w:rsid w:val="00A24A15"/>
    <w:rsid w:val="00A30E50"/>
    <w:rsid w:val="00A318A6"/>
    <w:rsid w:val="00A31CC9"/>
    <w:rsid w:val="00A322FC"/>
    <w:rsid w:val="00A32E02"/>
    <w:rsid w:val="00A333FB"/>
    <w:rsid w:val="00A34472"/>
    <w:rsid w:val="00A34E5F"/>
    <w:rsid w:val="00A35456"/>
    <w:rsid w:val="00A36550"/>
    <w:rsid w:val="00A366D1"/>
    <w:rsid w:val="00A3723B"/>
    <w:rsid w:val="00A378E9"/>
    <w:rsid w:val="00A37B72"/>
    <w:rsid w:val="00A407A7"/>
    <w:rsid w:val="00A40BBD"/>
    <w:rsid w:val="00A40C0B"/>
    <w:rsid w:val="00A41708"/>
    <w:rsid w:val="00A42269"/>
    <w:rsid w:val="00A423AA"/>
    <w:rsid w:val="00A4258F"/>
    <w:rsid w:val="00A43313"/>
    <w:rsid w:val="00A433C3"/>
    <w:rsid w:val="00A4600D"/>
    <w:rsid w:val="00A46121"/>
    <w:rsid w:val="00A4799A"/>
    <w:rsid w:val="00A47DF7"/>
    <w:rsid w:val="00A523FC"/>
    <w:rsid w:val="00A524C8"/>
    <w:rsid w:val="00A53B7F"/>
    <w:rsid w:val="00A55701"/>
    <w:rsid w:val="00A6019F"/>
    <w:rsid w:val="00A602FF"/>
    <w:rsid w:val="00A611BD"/>
    <w:rsid w:val="00A619A7"/>
    <w:rsid w:val="00A61D5A"/>
    <w:rsid w:val="00A61D82"/>
    <w:rsid w:val="00A625B9"/>
    <w:rsid w:val="00A6264B"/>
    <w:rsid w:val="00A6264F"/>
    <w:rsid w:val="00A62C66"/>
    <w:rsid w:val="00A644B6"/>
    <w:rsid w:val="00A64DBC"/>
    <w:rsid w:val="00A64E4C"/>
    <w:rsid w:val="00A65053"/>
    <w:rsid w:val="00A66D3C"/>
    <w:rsid w:val="00A676E7"/>
    <w:rsid w:val="00A705BF"/>
    <w:rsid w:val="00A70679"/>
    <w:rsid w:val="00A708F6"/>
    <w:rsid w:val="00A70AA8"/>
    <w:rsid w:val="00A712C3"/>
    <w:rsid w:val="00A7189C"/>
    <w:rsid w:val="00A71F17"/>
    <w:rsid w:val="00A72801"/>
    <w:rsid w:val="00A72FAD"/>
    <w:rsid w:val="00A736E1"/>
    <w:rsid w:val="00A74BC2"/>
    <w:rsid w:val="00A75FAE"/>
    <w:rsid w:val="00A774C9"/>
    <w:rsid w:val="00A778D0"/>
    <w:rsid w:val="00A77F8E"/>
    <w:rsid w:val="00A80E2A"/>
    <w:rsid w:val="00A812FB"/>
    <w:rsid w:val="00A81EE3"/>
    <w:rsid w:val="00A81FC7"/>
    <w:rsid w:val="00A84199"/>
    <w:rsid w:val="00A845D3"/>
    <w:rsid w:val="00A84896"/>
    <w:rsid w:val="00A8551C"/>
    <w:rsid w:val="00A857A6"/>
    <w:rsid w:val="00A8715D"/>
    <w:rsid w:val="00A876E5"/>
    <w:rsid w:val="00A90632"/>
    <w:rsid w:val="00A9074D"/>
    <w:rsid w:val="00A91CBC"/>
    <w:rsid w:val="00A9395F"/>
    <w:rsid w:val="00A93FAE"/>
    <w:rsid w:val="00A94C87"/>
    <w:rsid w:val="00A959F7"/>
    <w:rsid w:val="00A95B3B"/>
    <w:rsid w:val="00A95C6C"/>
    <w:rsid w:val="00A962F4"/>
    <w:rsid w:val="00A96E4D"/>
    <w:rsid w:val="00AA09B7"/>
    <w:rsid w:val="00AA0A4A"/>
    <w:rsid w:val="00AA1EFE"/>
    <w:rsid w:val="00AA3110"/>
    <w:rsid w:val="00AA322E"/>
    <w:rsid w:val="00AA3756"/>
    <w:rsid w:val="00AA4971"/>
    <w:rsid w:val="00AA558C"/>
    <w:rsid w:val="00AA5BA6"/>
    <w:rsid w:val="00AA6F4F"/>
    <w:rsid w:val="00AA7424"/>
    <w:rsid w:val="00AA791F"/>
    <w:rsid w:val="00AB18BA"/>
    <w:rsid w:val="00AB2067"/>
    <w:rsid w:val="00AB23B1"/>
    <w:rsid w:val="00AB255E"/>
    <w:rsid w:val="00AB2C83"/>
    <w:rsid w:val="00AB2E00"/>
    <w:rsid w:val="00AB326D"/>
    <w:rsid w:val="00AB3381"/>
    <w:rsid w:val="00AB48E2"/>
    <w:rsid w:val="00AB4E66"/>
    <w:rsid w:val="00AB54C4"/>
    <w:rsid w:val="00AB5C25"/>
    <w:rsid w:val="00AB60D1"/>
    <w:rsid w:val="00AB716B"/>
    <w:rsid w:val="00AB76DA"/>
    <w:rsid w:val="00AB7F0F"/>
    <w:rsid w:val="00AC01D4"/>
    <w:rsid w:val="00AC02F8"/>
    <w:rsid w:val="00AC19C7"/>
    <w:rsid w:val="00AC2324"/>
    <w:rsid w:val="00AC250E"/>
    <w:rsid w:val="00AC27B0"/>
    <w:rsid w:val="00AC34FE"/>
    <w:rsid w:val="00AC3D74"/>
    <w:rsid w:val="00AC41A1"/>
    <w:rsid w:val="00AC4788"/>
    <w:rsid w:val="00AC4D8C"/>
    <w:rsid w:val="00AC565F"/>
    <w:rsid w:val="00AC5CFE"/>
    <w:rsid w:val="00AC7690"/>
    <w:rsid w:val="00AC77DE"/>
    <w:rsid w:val="00AD13CF"/>
    <w:rsid w:val="00AD1998"/>
    <w:rsid w:val="00AD21EC"/>
    <w:rsid w:val="00AD261D"/>
    <w:rsid w:val="00AD2AF1"/>
    <w:rsid w:val="00AD2CD2"/>
    <w:rsid w:val="00AD3126"/>
    <w:rsid w:val="00AD57E5"/>
    <w:rsid w:val="00AD60F6"/>
    <w:rsid w:val="00AD6309"/>
    <w:rsid w:val="00AD65DB"/>
    <w:rsid w:val="00AE0BDB"/>
    <w:rsid w:val="00AE0CF5"/>
    <w:rsid w:val="00AE0F8A"/>
    <w:rsid w:val="00AE119F"/>
    <w:rsid w:val="00AE150A"/>
    <w:rsid w:val="00AE1E9B"/>
    <w:rsid w:val="00AE2882"/>
    <w:rsid w:val="00AE2C2A"/>
    <w:rsid w:val="00AE39BE"/>
    <w:rsid w:val="00AE4657"/>
    <w:rsid w:val="00AE4C94"/>
    <w:rsid w:val="00AE4D35"/>
    <w:rsid w:val="00AE4F27"/>
    <w:rsid w:val="00AE5D16"/>
    <w:rsid w:val="00AE6366"/>
    <w:rsid w:val="00AE65E8"/>
    <w:rsid w:val="00AE70AC"/>
    <w:rsid w:val="00AE75CC"/>
    <w:rsid w:val="00AF006C"/>
    <w:rsid w:val="00AF0A90"/>
    <w:rsid w:val="00AF0F12"/>
    <w:rsid w:val="00AF11F1"/>
    <w:rsid w:val="00AF229D"/>
    <w:rsid w:val="00AF24FF"/>
    <w:rsid w:val="00AF2A38"/>
    <w:rsid w:val="00AF2E5E"/>
    <w:rsid w:val="00AF332F"/>
    <w:rsid w:val="00AF36EA"/>
    <w:rsid w:val="00AF38AA"/>
    <w:rsid w:val="00AF45DD"/>
    <w:rsid w:val="00AF5044"/>
    <w:rsid w:val="00AF5965"/>
    <w:rsid w:val="00AF5D42"/>
    <w:rsid w:val="00AF6C7C"/>
    <w:rsid w:val="00AF6EB7"/>
    <w:rsid w:val="00AF730A"/>
    <w:rsid w:val="00AF7ACC"/>
    <w:rsid w:val="00AF7FD5"/>
    <w:rsid w:val="00B004A6"/>
    <w:rsid w:val="00B01025"/>
    <w:rsid w:val="00B01163"/>
    <w:rsid w:val="00B0180E"/>
    <w:rsid w:val="00B02445"/>
    <w:rsid w:val="00B02A01"/>
    <w:rsid w:val="00B02C7C"/>
    <w:rsid w:val="00B0469E"/>
    <w:rsid w:val="00B04F72"/>
    <w:rsid w:val="00B06DA4"/>
    <w:rsid w:val="00B07990"/>
    <w:rsid w:val="00B07CDF"/>
    <w:rsid w:val="00B10340"/>
    <w:rsid w:val="00B10B2C"/>
    <w:rsid w:val="00B10DDF"/>
    <w:rsid w:val="00B11328"/>
    <w:rsid w:val="00B11704"/>
    <w:rsid w:val="00B11FA6"/>
    <w:rsid w:val="00B13210"/>
    <w:rsid w:val="00B13489"/>
    <w:rsid w:val="00B13AB6"/>
    <w:rsid w:val="00B142A4"/>
    <w:rsid w:val="00B158B5"/>
    <w:rsid w:val="00B15EA7"/>
    <w:rsid w:val="00B1620B"/>
    <w:rsid w:val="00B16BEA"/>
    <w:rsid w:val="00B16D3D"/>
    <w:rsid w:val="00B2024F"/>
    <w:rsid w:val="00B202CF"/>
    <w:rsid w:val="00B20914"/>
    <w:rsid w:val="00B209F7"/>
    <w:rsid w:val="00B20EF4"/>
    <w:rsid w:val="00B211D0"/>
    <w:rsid w:val="00B21559"/>
    <w:rsid w:val="00B2199D"/>
    <w:rsid w:val="00B21D19"/>
    <w:rsid w:val="00B236E6"/>
    <w:rsid w:val="00B237A6"/>
    <w:rsid w:val="00B255BA"/>
    <w:rsid w:val="00B26351"/>
    <w:rsid w:val="00B26631"/>
    <w:rsid w:val="00B266D4"/>
    <w:rsid w:val="00B26F75"/>
    <w:rsid w:val="00B27E97"/>
    <w:rsid w:val="00B27F80"/>
    <w:rsid w:val="00B3093C"/>
    <w:rsid w:val="00B30BD5"/>
    <w:rsid w:val="00B30FCA"/>
    <w:rsid w:val="00B31174"/>
    <w:rsid w:val="00B318EE"/>
    <w:rsid w:val="00B321FD"/>
    <w:rsid w:val="00B322B5"/>
    <w:rsid w:val="00B33347"/>
    <w:rsid w:val="00B33A86"/>
    <w:rsid w:val="00B33C35"/>
    <w:rsid w:val="00B3482B"/>
    <w:rsid w:val="00B34ECB"/>
    <w:rsid w:val="00B35281"/>
    <w:rsid w:val="00B35496"/>
    <w:rsid w:val="00B35CFC"/>
    <w:rsid w:val="00B373E9"/>
    <w:rsid w:val="00B402D2"/>
    <w:rsid w:val="00B40828"/>
    <w:rsid w:val="00B42A16"/>
    <w:rsid w:val="00B42F61"/>
    <w:rsid w:val="00B431D3"/>
    <w:rsid w:val="00B4324A"/>
    <w:rsid w:val="00B43371"/>
    <w:rsid w:val="00B43CE6"/>
    <w:rsid w:val="00B43EEA"/>
    <w:rsid w:val="00B44D76"/>
    <w:rsid w:val="00B45842"/>
    <w:rsid w:val="00B459B4"/>
    <w:rsid w:val="00B46677"/>
    <w:rsid w:val="00B47603"/>
    <w:rsid w:val="00B50A17"/>
    <w:rsid w:val="00B5208F"/>
    <w:rsid w:val="00B52184"/>
    <w:rsid w:val="00B525D0"/>
    <w:rsid w:val="00B54505"/>
    <w:rsid w:val="00B548A5"/>
    <w:rsid w:val="00B550BA"/>
    <w:rsid w:val="00B55100"/>
    <w:rsid w:val="00B56B50"/>
    <w:rsid w:val="00B56C33"/>
    <w:rsid w:val="00B56C4C"/>
    <w:rsid w:val="00B5796E"/>
    <w:rsid w:val="00B57E0C"/>
    <w:rsid w:val="00B60B52"/>
    <w:rsid w:val="00B624BD"/>
    <w:rsid w:val="00B62E2B"/>
    <w:rsid w:val="00B6414C"/>
    <w:rsid w:val="00B64E52"/>
    <w:rsid w:val="00B64F75"/>
    <w:rsid w:val="00B65239"/>
    <w:rsid w:val="00B65E1F"/>
    <w:rsid w:val="00B66016"/>
    <w:rsid w:val="00B67C5B"/>
    <w:rsid w:val="00B67CB3"/>
    <w:rsid w:val="00B67D93"/>
    <w:rsid w:val="00B704E0"/>
    <w:rsid w:val="00B7161C"/>
    <w:rsid w:val="00B71710"/>
    <w:rsid w:val="00B72543"/>
    <w:rsid w:val="00B7348C"/>
    <w:rsid w:val="00B73499"/>
    <w:rsid w:val="00B73FB0"/>
    <w:rsid w:val="00B7528B"/>
    <w:rsid w:val="00B77762"/>
    <w:rsid w:val="00B77958"/>
    <w:rsid w:val="00B77E4D"/>
    <w:rsid w:val="00B80B0A"/>
    <w:rsid w:val="00B8109D"/>
    <w:rsid w:val="00B81492"/>
    <w:rsid w:val="00B8336D"/>
    <w:rsid w:val="00B848B3"/>
    <w:rsid w:val="00B85F40"/>
    <w:rsid w:val="00B86175"/>
    <w:rsid w:val="00B86176"/>
    <w:rsid w:val="00B87A30"/>
    <w:rsid w:val="00B87CAE"/>
    <w:rsid w:val="00B87FC3"/>
    <w:rsid w:val="00B901AD"/>
    <w:rsid w:val="00B908C1"/>
    <w:rsid w:val="00B90D3B"/>
    <w:rsid w:val="00B90E44"/>
    <w:rsid w:val="00B9116E"/>
    <w:rsid w:val="00B91454"/>
    <w:rsid w:val="00B91773"/>
    <w:rsid w:val="00B9222F"/>
    <w:rsid w:val="00B926EB"/>
    <w:rsid w:val="00B927C9"/>
    <w:rsid w:val="00B92A2D"/>
    <w:rsid w:val="00B95670"/>
    <w:rsid w:val="00B956A7"/>
    <w:rsid w:val="00B95A8E"/>
    <w:rsid w:val="00B95E55"/>
    <w:rsid w:val="00B960BD"/>
    <w:rsid w:val="00B96F95"/>
    <w:rsid w:val="00B97121"/>
    <w:rsid w:val="00B97478"/>
    <w:rsid w:val="00B977C6"/>
    <w:rsid w:val="00B979AD"/>
    <w:rsid w:val="00B979FE"/>
    <w:rsid w:val="00B97DDA"/>
    <w:rsid w:val="00B97E8F"/>
    <w:rsid w:val="00B97F03"/>
    <w:rsid w:val="00BA020C"/>
    <w:rsid w:val="00BA140A"/>
    <w:rsid w:val="00BA18A4"/>
    <w:rsid w:val="00BA23BB"/>
    <w:rsid w:val="00BA5167"/>
    <w:rsid w:val="00BA5486"/>
    <w:rsid w:val="00BA587B"/>
    <w:rsid w:val="00BA594D"/>
    <w:rsid w:val="00BA5C34"/>
    <w:rsid w:val="00BA66F3"/>
    <w:rsid w:val="00BA6A35"/>
    <w:rsid w:val="00BA725E"/>
    <w:rsid w:val="00BB02AF"/>
    <w:rsid w:val="00BB1192"/>
    <w:rsid w:val="00BB2219"/>
    <w:rsid w:val="00BB23D5"/>
    <w:rsid w:val="00BB27FD"/>
    <w:rsid w:val="00BB2843"/>
    <w:rsid w:val="00BB44AA"/>
    <w:rsid w:val="00BB529B"/>
    <w:rsid w:val="00BB5F72"/>
    <w:rsid w:val="00BB6DFA"/>
    <w:rsid w:val="00BB7001"/>
    <w:rsid w:val="00BB7D9C"/>
    <w:rsid w:val="00BC016D"/>
    <w:rsid w:val="00BC0206"/>
    <w:rsid w:val="00BC03E7"/>
    <w:rsid w:val="00BC0D22"/>
    <w:rsid w:val="00BC0F39"/>
    <w:rsid w:val="00BC1AD1"/>
    <w:rsid w:val="00BC24CD"/>
    <w:rsid w:val="00BC27C6"/>
    <w:rsid w:val="00BC2EDE"/>
    <w:rsid w:val="00BC33FB"/>
    <w:rsid w:val="00BC3D83"/>
    <w:rsid w:val="00BC3FC2"/>
    <w:rsid w:val="00BC4014"/>
    <w:rsid w:val="00BC4E29"/>
    <w:rsid w:val="00BC4E58"/>
    <w:rsid w:val="00BC5AEE"/>
    <w:rsid w:val="00BD0523"/>
    <w:rsid w:val="00BD0CFE"/>
    <w:rsid w:val="00BD0D28"/>
    <w:rsid w:val="00BD242A"/>
    <w:rsid w:val="00BD24E3"/>
    <w:rsid w:val="00BD26D4"/>
    <w:rsid w:val="00BD2C61"/>
    <w:rsid w:val="00BD3F87"/>
    <w:rsid w:val="00BD5BBE"/>
    <w:rsid w:val="00BD5CD6"/>
    <w:rsid w:val="00BD5F90"/>
    <w:rsid w:val="00BD6529"/>
    <w:rsid w:val="00BD6CF3"/>
    <w:rsid w:val="00BD6D48"/>
    <w:rsid w:val="00BD6F8A"/>
    <w:rsid w:val="00BD76BB"/>
    <w:rsid w:val="00BD7C7D"/>
    <w:rsid w:val="00BE018B"/>
    <w:rsid w:val="00BE04CD"/>
    <w:rsid w:val="00BE0669"/>
    <w:rsid w:val="00BE0E61"/>
    <w:rsid w:val="00BE3541"/>
    <w:rsid w:val="00BE41F4"/>
    <w:rsid w:val="00BE4370"/>
    <w:rsid w:val="00BE4A26"/>
    <w:rsid w:val="00BE5CC4"/>
    <w:rsid w:val="00BE6F27"/>
    <w:rsid w:val="00BE727F"/>
    <w:rsid w:val="00BE7BC9"/>
    <w:rsid w:val="00BE7E8A"/>
    <w:rsid w:val="00BF0B83"/>
    <w:rsid w:val="00BF1419"/>
    <w:rsid w:val="00BF1593"/>
    <w:rsid w:val="00BF1D40"/>
    <w:rsid w:val="00BF258C"/>
    <w:rsid w:val="00BF288C"/>
    <w:rsid w:val="00BF2D6D"/>
    <w:rsid w:val="00BF2E01"/>
    <w:rsid w:val="00BF2FE8"/>
    <w:rsid w:val="00BF3130"/>
    <w:rsid w:val="00BF349D"/>
    <w:rsid w:val="00BF3C37"/>
    <w:rsid w:val="00BF4ACE"/>
    <w:rsid w:val="00BF5550"/>
    <w:rsid w:val="00BF5593"/>
    <w:rsid w:val="00BF55DF"/>
    <w:rsid w:val="00BF5D5B"/>
    <w:rsid w:val="00C002DC"/>
    <w:rsid w:val="00C008A9"/>
    <w:rsid w:val="00C024E3"/>
    <w:rsid w:val="00C02AE3"/>
    <w:rsid w:val="00C02B82"/>
    <w:rsid w:val="00C03120"/>
    <w:rsid w:val="00C03F73"/>
    <w:rsid w:val="00C04409"/>
    <w:rsid w:val="00C05149"/>
    <w:rsid w:val="00C052FA"/>
    <w:rsid w:val="00C05355"/>
    <w:rsid w:val="00C061DE"/>
    <w:rsid w:val="00C06E2E"/>
    <w:rsid w:val="00C07021"/>
    <w:rsid w:val="00C07301"/>
    <w:rsid w:val="00C07EC4"/>
    <w:rsid w:val="00C1053B"/>
    <w:rsid w:val="00C10CF5"/>
    <w:rsid w:val="00C10DE3"/>
    <w:rsid w:val="00C120BC"/>
    <w:rsid w:val="00C12C6C"/>
    <w:rsid w:val="00C131EF"/>
    <w:rsid w:val="00C13B51"/>
    <w:rsid w:val="00C13D00"/>
    <w:rsid w:val="00C13ED6"/>
    <w:rsid w:val="00C154B7"/>
    <w:rsid w:val="00C15F7A"/>
    <w:rsid w:val="00C1676B"/>
    <w:rsid w:val="00C173C6"/>
    <w:rsid w:val="00C17781"/>
    <w:rsid w:val="00C178B3"/>
    <w:rsid w:val="00C20BD7"/>
    <w:rsid w:val="00C20C85"/>
    <w:rsid w:val="00C20FC0"/>
    <w:rsid w:val="00C21853"/>
    <w:rsid w:val="00C21A11"/>
    <w:rsid w:val="00C21D71"/>
    <w:rsid w:val="00C227AE"/>
    <w:rsid w:val="00C22C3B"/>
    <w:rsid w:val="00C2358D"/>
    <w:rsid w:val="00C2374E"/>
    <w:rsid w:val="00C24D5B"/>
    <w:rsid w:val="00C25AD8"/>
    <w:rsid w:val="00C2771A"/>
    <w:rsid w:val="00C303AB"/>
    <w:rsid w:val="00C310BB"/>
    <w:rsid w:val="00C31372"/>
    <w:rsid w:val="00C31444"/>
    <w:rsid w:val="00C31EF2"/>
    <w:rsid w:val="00C31EFE"/>
    <w:rsid w:val="00C33EB4"/>
    <w:rsid w:val="00C33EE0"/>
    <w:rsid w:val="00C3498F"/>
    <w:rsid w:val="00C3554C"/>
    <w:rsid w:val="00C3609B"/>
    <w:rsid w:val="00C408F3"/>
    <w:rsid w:val="00C4149D"/>
    <w:rsid w:val="00C434F8"/>
    <w:rsid w:val="00C43A3D"/>
    <w:rsid w:val="00C4476D"/>
    <w:rsid w:val="00C44A37"/>
    <w:rsid w:val="00C450B5"/>
    <w:rsid w:val="00C450C1"/>
    <w:rsid w:val="00C45A3D"/>
    <w:rsid w:val="00C461AC"/>
    <w:rsid w:val="00C46B24"/>
    <w:rsid w:val="00C47700"/>
    <w:rsid w:val="00C50010"/>
    <w:rsid w:val="00C50ADA"/>
    <w:rsid w:val="00C50C32"/>
    <w:rsid w:val="00C50E5A"/>
    <w:rsid w:val="00C51513"/>
    <w:rsid w:val="00C526B3"/>
    <w:rsid w:val="00C530D0"/>
    <w:rsid w:val="00C53D63"/>
    <w:rsid w:val="00C5556C"/>
    <w:rsid w:val="00C55DCD"/>
    <w:rsid w:val="00C56C28"/>
    <w:rsid w:val="00C577EE"/>
    <w:rsid w:val="00C60015"/>
    <w:rsid w:val="00C603A7"/>
    <w:rsid w:val="00C6183C"/>
    <w:rsid w:val="00C619D6"/>
    <w:rsid w:val="00C6242D"/>
    <w:rsid w:val="00C627C3"/>
    <w:rsid w:val="00C62870"/>
    <w:rsid w:val="00C64979"/>
    <w:rsid w:val="00C64A4A"/>
    <w:rsid w:val="00C650F3"/>
    <w:rsid w:val="00C6575A"/>
    <w:rsid w:val="00C66617"/>
    <w:rsid w:val="00C66AE4"/>
    <w:rsid w:val="00C67BC0"/>
    <w:rsid w:val="00C7055B"/>
    <w:rsid w:val="00C706E0"/>
    <w:rsid w:val="00C70BCB"/>
    <w:rsid w:val="00C72024"/>
    <w:rsid w:val="00C72402"/>
    <w:rsid w:val="00C7294E"/>
    <w:rsid w:val="00C72A53"/>
    <w:rsid w:val="00C740A4"/>
    <w:rsid w:val="00C7415A"/>
    <w:rsid w:val="00C7428D"/>
    <w:rsid w:val="00C75436"/>
    <w:rsid w:val="00C75854"/>
    <w:rsid w:val="00C75B69"/>
    <w:rsid w:val="00C7612F"/>
    <w:rsid w:val="00C766A9"/>
    <w:rsid w:val="00C76806"/>
    <w:rsid w:val="00C76D7B"/>
    <w:rsid w:val="00C8009A"/>
    <w:rsid w:val="00C80355"/>
    <w:rsid w:val="00C80993"/>
    <w:rsid w:val="00C819A7"/>
    <w:rsid w:val="00C82522"/>
    <w:rsid w:val="00C83A05"/>
    <w:rsid w:val="00C844AD"/>
    <w:rsid w:val="00C850CE"/>
    <w:rsid w:val="00C85133"/>
    <w:rsid w:val="00C86450"/>
    <w:rsid w:val="00C864CE"/>
    <w:rsid w:val="00C86574"/>
    <w:rsid w:val="00C86A6B"/>
    <w:rsid w:val="00C8702F"/>
    <w:rsid w:val="00C879D0"/>
    <w:rsid w:val="00C87EE6"/>
    <w:rsid w:val="00C902B9"/>
    <w:rsid w:val="00C91325"/>
    <w:rsid w:val="00C923DD"/>
    <w:rsid w:val="00C92BF9"/>
    <w:rsid w:val="00C932DE"/>
    <w:rsid w:val="00C933A3"/>
    <w:rsid w:val="00C94BAD"/>
    <w:rsid w:val="00C94F07"/>
    <w:rsid w:val="00C9567A"/>
    <w:rsid w:val="00C96650"/>
    <w:rsid w:val="00CA0234"/>
    <w:rsid w:val="00CA02B4"/>
    <w:rsid w:val="00CA05A7"/>
    <w:rsid w:val="00CA2FCD"/>
    <w:rsid w:val="00CA3737"/>
    <w:rsid w:val="00CA3E5D"/>
    <w:rsid w:val="00CA3E8B"/>
    <w:rsid w:val="00CA47F4"/>
    <w:rsid w:val="00CA50BD"/>
    <w:rsid w:val="00CA5137"/>
    <w:rsid w:val="00CA5640"/>
    <w:rsid w:val="00CA671D"/>
    <w:rsid w:val="00CA680C"/>
    <w:rsid w:val="00CA6FDE"/>
    <w:rsid w:val="00CB0564"/>
    <w:rsid w:val="00CB07F8"/>
    <w:rsid w:val="00CB29F1"/>
    <w:rsid w:val="00CB368D"/>
    <w:rsid w:val="00CB3E2E"/>
    <w:rsid w:val="00CB58FB"/>
    <w:rsid w:val="00CB698E"/>
    <w:rsid w:val="00CB7108"/>
    <w:rsid w:val="00CB74C4"/>
    <w:rsid w:val="00CB7A42"/>
    <w:rsid w:val="00CB7B6E"/>
    <w:rsid w:val="00CB7BEA"/>
    <w:rsid w:val="00CC007D"/>
    <w:rsid w:val="00CC132D"/>
    <w:rsid w:val="00CC1B67"/>
    <w:rsid w:val="00CC1CC9"/>
    <w:rsid w:val="00CC30AA"/>
    <w:rsid w:val="00CC3566"/>
    <w:rsid w:val="00CC3E4D"/>
    <w:rsid w:val="00CC3F34"/>
    <w:rsid w:val="00CC4D04"/>
    <w:rsid w:val="00CC501F"/>
    <w:rsid w:val="00CC56E2"/>
    <w:rsid w:val="00CC5C16"/>
    <w:rsid w:val="00CC755D"/>
    <w:rsid w:val="00CD0066"/>
    <w:rsid w:val="00CD006A"/>
    <w:rsid w:val="00CD0105"/>
    <w:rsid w:val="00CD0179"/>
    <w:rsid w:val="00CD1378"/>
    <w:rsid w:val="00CD14F1"/>
    <w:rsid w:val="00CD18F9"/>
    <w:rsid w:val="00CD1D32"/>
    <w:rsid w:val="00CD1EBA"/>
    <w:rsid w:val="00CD215E"/>
    <w:rsid w:val="00CD3422"/>
    <w:rsid w:val="00CD3C41"/>
    <w:rsid w:val="00CD408D"/>
    <w:rsid w:val="00CD4951"/>
    <w:rsid w:val="00CD69B8"/>
    <w:rsid w:val="00CD7BD0"/>
    <w:rsid w:val="00CE0C65"/>
    <w:rsid w:val="00CE1033"/>
    <w:rsid w:val="00CE1CEB"/>
    <w:rsid w:val="00CE435B"/>
    <w:rsid w:val="00CE4745"/>
    <w:rsid w:val="00CE5044"/>
    <w:rsid w:val="00CE586F"/>
    <w:rsid w:val="00CE5C8E"/>
    <w:rsid w:val="00CE65EB"/>
    <w:rsid w:val="00CE6DCB"/>
    <w:rsid w:val="00CF0284"/>
    <w:rsid w:val="00CF04E2"/>
    <w:rsid w:val="00CF05A9"/>
    <w:rsid w:val="00CF1510"/>
    <w:rsid w:val="00CF2B9C"/>
    <w:rsid w:val="00CF66CA"/>
    <w:rsid w:val="00CF6762"/>
    <w:rsid w:val="00CF6E34"/>
    <w:rsid w:val="00CF72F8"/>
    <w:rsid w:val="00CF7ACF"/>
    <w:rsid w:val="00D004E7"/>
    <w:rsid w:val="00D0059A"/>
    <w:rsid w:val="00D00ADC"/>
    <w:rsid w:val="00D00B6B"/>
    <w:rsid w:val="00D015E6"/>
    <w:rsid w:val="00D01E76"/>
    <w:rsid w:val="00D02903"/>
    <w:rsid w:val="00D02AD7"/>
    <w:rsid w:val="00D02B2A"/>
    <w:rsid w:val="00D036ED"/>
    <w:rsid w:val="00D03796"/>
    <w:rsid w:val="00D0383A"/>
    <w:rsid w:val="00D03E7C"/>
    <w:rsid w:val="00D04991"/>
    <w:rsid w:val="00D04A6B"/>
    <w:rsid w:val="00D04CF4"/>
    <w:rsid w:val="00D04F0F"/>
    <w:rsid w:val="00D05B31"/>
    <w:rsid w:val="00D05F10"/>
    <w:rsid w:val="00D066A0"/>
    <w:rsid w:val="00D073CC"/>
    <w:rsid w:val="00D0788F"/>
    <w:rsid w:val="00D1073A"/>
    <w:rsid w:val="00D112AC"/>
    <w:rsid w:val="00D11584"/>
    <w:rsid w:val="00D117F5"/>
    <w:rsid w:val="00D12017"/>
    <w:rsid w:val="00D12F1F"/>
    <w:rsid w:val="00D136F0"/>
    <w:rsid w:val="00D1388E"/>
    <w:rsid w:val="00D13AE9"/>
    <w:rsid w:val="00D148A3"/>
    <w:rsid w:val="00D14D86"/>
    <w:rsid w:val="00D15C1A"/>
    <w:rsid w:val="00D15E82"/>
    <w:rsid w:val="00D15F08"/>
    <w:rsid w:val="00D160DC"/>
    <w:rsid w:val="00D170F7"/>
    <w:rsid w:val="00D17860"/>
    <w:rsid w:val="00D205F6"/>
    <w:rsid w:val="00D22651"/>
    <w:rsid w:val="00D22C38"/>
    <w:rsid w:val="00D24C76"/>
    <w:rsid w:val="00D25561"/>
    <w:rsid w:val="00D259F2"/>
    <w:rsid w:val="00D266E8"/>
    <w:rsid w:val="00D26B97"/>
    <w:rsid w:val="00D30934"/>
    <w:rsid w:val="00D325AE"/>
    <w:rsid w:val="00D3273C"/>
    <w:rsid w:val="00D354DA"/>
    <w:rsid w:val="00D3588F"/>
    <w:rsid w:val="00D3594B"/>
    <w:rsid w:val="00D36497"/>
    <w:rsid w:val="00D371AD"/>
    <w:rsid w:val="00D37FDF"/>
    <w:rsid w:val="00D40479"/>
    <w:rsid w:val="00D41C23"/>
    <w:rsid w:val="00D423D6"/>
    <w:rsid w:val="00D437EF"/>
    <w:rsid w:val="00D444FB"/>
    <w:rsid w:val="00D44654"/>
    <w:rsid w:val="00D44A1D"/>
    <w:rsid w:val="00D45FB7"/>
    <w:rsid w:val="00D463CF"/>
    <w:rsid w:val="00D47413"/>
    <w:rsid w:val="00D475BE"/>
    <w:rsid w:val="00D509F3"/>
    <w:rsid w:val="00D51AD5"/>
    <w:rsid w:val="00D52941"/>
    <w:rsid w:val="00D52A9C"/>
    <w:rsid w:val="00D53C68"/>
    <w:rsid w:val="00D54B1C"/>
    <w:rsid w:val="00D55B5E"/>
    <w:rsid w:val="00D55E6C"/>
    <w:rsid w:val="00D564BC"/>
    <w:rsid w:val="00D57CF5"/>
    <w:rsid w:val="00D60093"/>
    <w:rsid w:val="00D60D0B"/>
    <w:rsid w:val="00D61081"/>
    <w:rsid w:val="00D6124C"/>
    <w:rsid w:val="00D6146A"/>
    <w:rsid w:val="00D620C0"/>
    <w:rsid w:val="00D62C8A"/>
    <w:rsid w:val="00D6362B"/>
    <w:rsid w:val="00D6371C"/>
    <w:rsid w:val="00D65179"/>
    <w:rsid w:val="00D65674"/>
    <w:rsid w:val="00D65C02"/>
    <w:rsid w:val="00D661F5"/>
    <w:rsid w:val="00D665D1"/>
    <w:rsid w:val="00D66A3D"/>
    <w:rsid w:val="00D66EB2"/>
    <w:rsid w:val="00D6712B"/>
    <w:rsid w:val="00D67701"/>
    <w:rsid w:val="00D704A2"/>
    <w:rsid w:val="00D710CA"/>
    <w:rsid w:val="00D7331B"/>
    <w:rsid w:val="00D7371D"/>
    <w:rsid w:val="00D74BBD"/>
    <w:rsid w:val="00D75756"/>
    <w:rsid w:val="00D76CB1"/>
    <w:rsid w:val="00D7713E"/>
    <w:rsid w:val="00D774B7"/>
    <w:rsid w:val="00D8398C"/>
    <w:rsid w:val="00D842C2"/>
    <w:rsid w:val="00D84D3B"/>
    <w:rsid w:val="00D8561F"/>
    <w:rsid w:val="00D85798"/>
    <w:rsid w:val="00D85E27"/>
    <w:rsid w:val="00D874B3"/>
    <w:rsid w:val="00D909FB"/>
    <w:rsid w:val="00D90BE6"/>
    <w:rsid w:val="00D94C46"/>
    <w:rsid w:val="00D9519B"/>
    <w:rsid w:val="00D9582F"/>
    <w:rsid w:val="00D96D37"/>
    <w:rsid w:val="00D97001"/>
    <w:rsid w:val="00D971D5"/>
    <w:rsid w:val="00D974AD"/>
    <w:rsid w:val="00D9760D"/>
    <w:rsid w:val="00D976AC"/>
    <w:rsid w:val="00D9777F"/>
    <w:rsid w:val="00DA0836"/>
    <w:rsid w:val="00DA089D"/>
    <w:rsid w:val="00DA0C7C"/>
    <w:rsid w:val="00DA1151"/>
    <w:rsid w:val="00DA38C8"/>
    <w:rsid w:val="00DA4946"/>
    <w:rsid w:val="00DB0453"/>
    <w:rsid w:val="00DB312E"/>
    <w:rsid w:val="00DB31AF"/>
    <w:rsid w:val="00DB3325"/>
    <w:rsid w:val="00DB3789"/>
    <w:rsid w:val="00DB3B6E"/>
    <w:rsid w:val="00DB41E3"/>
    <w:rsid w:val="00DB41EE"/>
    <w:rsid w:val="00DB456B"/>
    <w:rsid w:val="00DB45F7"/>
    <w:rsid w:val="00DB480A"/>
    <w:rsid w:val="00DB4B73"/>
    <w:rsid w:val="00DB5090"/>
    <w:rsid w:val="00DB5ADF"/>
    <w:rsid w:val="00DB5BE4"/>
    <w:rsid w:val="00DB5C15"/>
    <w:rsid w:val="00DB5DE5"/>
    <w:rsid w:val="00DB6361"/>
    <w:rsid w:val="00DB63AD"/>
    <w:rsid w:val="00DC0479"/>
    <w:rsid w:val="00DC0752"/>
    <w:rsid w:val="00DC0EDE"/>
    <w:rsid w:val="00DC19B9"/>
    <w:rsid w:val="00DC1D40"/>
    <w:rsid w:val="00DC21FA"/>
    <w:rsid w:val="00DC23B1"/>
    <w:rsid w:val="00DC2E90"/>
    <w:rsid w:val="00DC471F"/>
    <w:rsid w:val="00DC538F"/>
    <w:rsid w:val="00DC5629"/>
    <w:rsid w:val="00DC764D"/>
    <w:rsid w:val="00DC778B"/>
    <w:rsid w:val="00DD0564"/>
    <w:rsid w:val="00DD1C52"/>
    <w:rsid w:val="00DD1D20"/>
    <w:rsid w:val="00DD22C2"/>
    <w:rsid w:val="00DD2A32"/>
    <w:rsid w:val="00DD3080"/>
    <w:rsid w:val="00DD4401"/>
    <w:rsid w:val="00DD4F6A"/>
    <w:rsid w:val="00DD6167"/>
    <w:rsid w:val="00DD7E8D"/>
    <w:rsid w:val="00DE00BC"/>
    <w:rsid w:val="00DE1925"/>
    <w:rsid w:val="00DE1EC5"/>
    <w:rsid w:val="00DE2534"/>
    <w:rsid w:val="00DE28DE"/>
    <w:rsid w:val="00DE4868"/>
    <w:rsid w:val="00DE503C"/>
    <w:rsid w:val="00DE5148"/>
    <w:rsid w:val="00DE5C9D"/>
    <w:rsid w:val="00DE5DA6"/>
    <w:rsid w:val="00DE5ED3"/>
    <w:rsid w:val="00DE6B95"/>
    <w:rsid w:val="00DE6C3C"/>
    <w:rsid w:val="00DE74D6"/>
    <w:rsid w:val="00DF00F5"/>
    <w:rsid w:val="00DF056F"/>
    <w:rsid w:val="00DF07FC"/>
    <w:rsid w:val="00DF0A1B"/>
    <w:rsid w:val="00DF0F86"/>
    <w:rsid w:val="00DF12A0"/>
    <w:rsid w:val="00DF252F"/>
    <w:rsid w:val="00DF26F8"/>
    <w:rsid w:val="00DF5105"/>
    <w:rsid w:val="00DF5206"/>
    <w:rsid w:val="00DF5257"/>
    <w:rsid w:val="00DF598B"/>
    <w:rsid w:val="00DF5C30"/>
    <w:rsid w:val="00DF5DE4"/>
    <w:rsid w:val="00DF6360"/>
    <w:rsid w:val="00DF6384"/>
    <w:rsid w:val="00DF6499"/>
    <w:rsid w:val="00DF71B4"/>
    <w:rsid w:val="00DF745B"/>
    <w:rsid w:val="00DF7471"/>
    <w:rsid w:val="00E001EF"/>
    <w:rsid w:val="00E004FA"/>
    <w:rsid w:val="00E00FED"/>
    <w:rsid w:val="00E014DB"/>
    <w:rsid w:val="00E020A4"/>
    <w:rsid w:val="00E0244F"/>
    <w:rsid w:val="00E025DF"/>
    <w:rsid w:val="00E0374E"/>
    <w:rsid w:val="00E043F3"/>
    <w:rsid w:val="00E044B7"/>
    <w:rsid w:val="00E055F9"/>
    <w:rsid w:val="00E05FA4"/>
    <w:rsid w:val="00E0637D"/>
    <w:rsid w:val="00E064C6"/>
    <w:rsid w:val="00E07BD1"/>
    <w:rsid w:val="00E07EA7"/>
    <w:rsid w:val="00E100A2"/>
    <w:rsid w:val="00E10597"/>
    <w:rsid w:val="00E105F8"/>
    <w:rsid w:val="00E10F43"/>
    <w:rsid w:val="00E12674"/>
    <w:rsid w:val="00E129C9"/>
    <w:rsid w:val="00E134C1"/>
    <w:rsid w:val="00E137F7"/>
    <w:rsid w:val="00E13F3C"/>
    <w:rsid w:val="00E14417"/>
    <w:rsid w:val="00E15234"/>
    <w:rsid w:val="00E15660"/>
    <w:rsid w:val="00E15FA8"/>
    <w:rsid w:val="00E16235"/>
    <w:rsid w:val="00E1627A"/>
    <w:rsid w:val="00E1690E"/>
    <w:rsid w:val="00E1743F"/>
    <w:rsid w:val="00E174AC"/>
    <w:rsid w:val="00E17AF6"/>
    <w:rsid w:val="00E200A7"/>
    <w:rsid w:val="00E20410"/>
    <w:rsid w:val="00E2101D"/>
    <w:rsid w:val="00E210F2"/>
    <w:rsid w:val="00E2190F"/>
    <w:rsid w:val="00E21D58"/>
    <w:rsid w:val="00E227CB"/>
    <w:rsid w:val="00E22ACB"/>
    <w:rsid w:val="00E23395"/>
    <w:rsid w:val="00E25E1F"/>
    <w:rsid w:val="00E26193"/>
    <w:rsid w:val="00E271CC"/>
    <w:rsid w:val="00E27241"/>
    <w:rsid w:val="00E27471"/>
    <w:rsid w:val="00E274D1"/>
    <w:rsid w:val="00E27D69"/>
    <w:rsid w:val="00E30C49"/>
    <w:rsid w:val="00E3260B"/>
    <w:rsid w:val="00E32D68"/>
    <w:rsid w:val="00E32E0A"/>
    <w:rsid w:val="00E331B9"/>
    <w:rsid w:val="00E333D6"/>
    <w:rsid w:val="00E33858"/>
    <w:rsid w:val="00E33DE1"/>
    <w:rsid w:val="00E346BE"/>
    <w:rsid w:val="00E34FAF"/>
    <w:rsid w:val="00E3560D"/>
    <w:rsid w:val="00E35709"/>
    <w:rsid w:val="00E35BC3"/>
    <w:rsid w:val="00E3606A"/>
    <w:rsid w:val="00E3694A"/>
    <w:rsid w:val="00E36FBD"/>
    <w:rsid w:val="00E37829"/>
    <w:rsid w:val="00E37B7C"/>
    <w:rsid w:val="00E37CAD"/>
    <w:rsid w:val="00E4037F"/>
    <w:rsid w:val="00E40482"/>
    <w:rsid w:val="00E41545"/>
    <w:rsid w:val="00E416D9"/>
    <w:rsid w:val="00E42F4D"/>
    <w:rsid w:val="00E43229"/>
    <w:rsid w:val="00E4379D"/>
    <w:rsid w:val="00E43B39"/>
    <w:rsid w:val="00E457EA"/>
    <w:rsid w:val="00E45F6C"/>
    <w:rsid w:val="00E46262"/>
    <w:rsid w:val="00E4673D"/>
    <w:rsid w:val="00E47132"/>
    <w:rsid w:val="00E47960"/>
    <w:rsid w:val="00E47C11"/>
    <w:rsid w:val="00E47C3E"/>
    <w:rsid w:val="00E50018"/>
    <w:rsid w:val="00E50F34"/>
    <w:rsid w:val="00E5270C"/>
    <w:rsid w:val="00E5272A"/>
    <w:rsid w:val="00E52B40"/>
    <w:rsid w:val="00E52CA7"/>
    <w:rsid w:val="00E54547"/>
    <w:rsid w:val="00E54842"/>
    <w:rsid w:val="00E549D4"/>
    <w:rsid w:val="00E54E55"/>
    <w:rsid w:val="00E552C1"/>
    <w:rsid w:val="00E55499"/>
    <w:rsid w:val="00E55B16"/>
    <w:rsid w:val="00E566B3"/>
    <w:rsid w:val="00E5690A"/>
    <w:rsid w:val="00E56BA0"/>
    <w:rsid w:val="00E56F24"/>
    <w:rsid w:val="00E57117"/>
    <w:rsid w:val="00E57902"/>
    <w:rsid w:val="00E6043E"/>
    <w:rsid w:val="00E60DCB"/>
    <w:rsid w:val="00E61455"/>
    <w:rsid w:val="00E618CF"/>
    <w:rsid w:val="00E61A4D"/>
    <w:rsid w:val="00E61F43"/>
    <w:rsid w:val="00E62619"/>
    <w:rsid w:val="00E62A2B"/>
    <w:rsid w:val="00E636C6"/>
    <w:rsid w:val="00E637F8"/>
    <w:rsid w:val="00E654C5"/>
    <w:rsid w:val="00E65C52"/>
    <w:rsid w:val="00E65F17"/>
    <w:rsid w:val="00E6683D"/>
    <w:rsid w:val="00E67081"/>
    <w:rsid w:val="00E674D9"/>
    <w:rsid w:val="00E70445"/>
    <w:rsid w:val="00E7067B"/>
    <w:rsid w:val="00E70E1A"/>
    <w:rsid w:val="00E7120F"/>
    <w:rsid w:val="00E7132E"/>
    <w:rsid w:val="00E736DE"/>
    <w:rsid w:val="00E73773"/>
    <w:rsid w:val="00E73D06"/>
    <w:rsid w:val="00E73E30"/>
    <w:rsid w:val="00E7470A"/>
    <w:rsid w:val="00E753A4"/>
    <w:rsid w:val="00E759AB"/>
    <w:rsid w:val="00E76951"/>
    <w:rsid w:val="00E77448"/>
    <w:rsid w:val="00E776D6"/>
    <w:rsid w:val="00E77A77"/>
    <w:rsid w:val="00E77C41"/>
    <w:rsid w:val="00E80917"/>
    <w:rsid w:val="00E80C22"/>
    <w:rsid w:val="00E82447"/>
    <w:rsid w:val="00E827EE"/>
    <w:rsid w:val="00E82B21"/>
    <w:rsid w:val="00E837B2"/>
    <w:rsid w:val="00E83E0E"/>
    <w:rsid w:val="00E842B2"/>
    <w:rsid w:val="00E84A46"/>
    <w:rsid w:val="00E85651"/>
    <w:rsid w:val="00E85B2D"/>
    <w:rsid w:val="00E85C8F"/>
    <w:rsid w:val="00E86363"/>
    <w:rsid w:val="00E87106"/>
    <w:rsid w:val="00E8730C"/>
    <w:rsid w:val="00E8744B"/>
    <w:rsid w:val="00E87831"/>
    <w:rsid w:val="00E87EE7"/>
    <w:rsid w:val="00E87F07"/>
    <w:rsid w:val="00E90C66"/>
    <w:rsid w:val="00E93349"/>
    <w:rsid w:val="00E933D6"/>
    <w:rsid w:val="00E93B75"/>
    <w:rsid w:val="00E940EA"/>
    <w:rsid w:val="00E946AB"/>
    <w:rsid w:val="00E947E0"/>
    <w:rsid w:val="00E94AF2"/>
    <w:rsid w:val="00E94C39"/>
    <w:rsid w:val="00E95E44"/>
    <w:rsid w:val="00E97D15"/>
    <w:rsid w:val="00EA028B"/>
    <w:rsid w:val="00EA0715"/>
    <w:rsid w:val="00EA1514"/>
    <w:rsid w:val="00EA1A07"/>
    <w:rsid w:val="00EA1C76"/>
    <w:rsid w:val="00EA278C"/>
    <w:rsid w:val="00EA2796"/>
    <w:rsid w:val="00EA2A04"/>
    <w:rsid w:val="00EA641C"/>
    <w:rsid w:val="00EA6500"/>
    <w:rsid w:val="00EA6573"/>
    <w:rsid w:val="00EA6CBA"/>
    <w:rsid w:val="00EB1751"/>
    <w:rsid w:val="00EB1A8F"/>
    <w:rsid w:val="00EB2145"/>
    <w:rsid w:val="00EB225F"/>
    <w:rsid w:val="00EB22B7"/>
    <w:rsid w:val="00EB22C1"/>
    <w:rsid w:val="00EB2A7A"/>
    <w:rsid w:val="00EB2F07"/>
    <w:rsid w:val="00EB342A"/>
    <w:rsid w:val="00EB3DB6"/>
    <w:rsid w:val="00EB3EBC"/>
    <w:rsid w:val="00EB4B17"/>
    <w:rsid w:val="00EB57AE"/>
    <w:rsid w:val="00EB62FC"/>
    <w:rsid w:val="00EB634B"/>
    <w:rsid w:val="00EB64ED"/>
    <w:rsid w:val="00EB7DCF"/>
    <w:rsid w:val="00EC01E4"/>
    <w:rsid w:val="00EC07D7"/>
    <w:rsid w:val="00EC0F65"/>
    <w:rsid w:val="00EC1056"/>
    <w:rsid w:val="00EC1373"/>
    <w:rsid w:val="00EC17E8"/>
    <w:rsid w:val="00EC1CBD"/>
    <w:rsid w:val="00EC2947"/>
    <w:rsid w:val="00EC2CEE"/>
    <w:rsid w:val="00EC2FA6"/>
    <w:rsid w:val="00EC3088"/>
    <w:rsid w:val="00EC3B08"/>
    <w:rsid w:val="00EC4730"/>
    <w:rsid w:val="00EC47C9"/>
    <w:rsid w:val="00EC4F06"/>
    <w:rsid w:val="00EC4FED"/>
    <w:rsid w:val="00EC5353"/>
    <w:rsid w:val="00EC54CB"/>
    <w:rsid w:val="00EC6F8D"/>
    <w:rsid w:val="00EC7253"/>
    <w:rsid w:val="00EC7907"/>
    <w:rsid w:val="00EC7998"/>
    <w:rsid w:val="00ED027F"/>
    <w:rsid w:val="00ED0D69"/>
    <w:rsid w:val="00ED1182"/>
    <w:rsid w:val="00ED14FF"/>
    <w:rsid w:val="00ED1F45"/>
    <w:rsid w:val="00ED29DF"/>
    <w:rsid w:val="00ED370F"/>
    <w:rsid w:val="00ED386E"/>
    <w:rsid w:val="00ED3A38"/>
    <w:rsid w:val="00ED4645"/>
    <w:rsid w:val="00ED50D6"/>
    <w:rsid w:val="00ED58A3"/>
    <w:rsid w:val="00ED5E39"/>
    <w:rsid w:val="00ED5FBE"/>
    <w:rsid w:val="00ED643F"/>
    <w:rsid w:val="00ED6516"/>
    <w:rsid w:val="00ED6E83"/>
    <w:rsid w:val="00ED76A5"/>
    <w:rsid w:val="00ED7819"/>
    <w:rsid w:val="00EE08B4"/>
    <w:rsid w:val="00EE14AE"/>
    <w:rsid w:val="00EE163F"/>
    <w:rsid w:val="00EE187A"/>
    <w:rsid w:val="00EE1C93"/>
    <w:rsid w:val="00EE2D26"/>
    <w:rsid w:val="00EE37F3"/>
    <w:rsid w:val="00EE4AFE"/>
    <w:rsid w:val="00EE4BED"/>
    <w:rsid w:val="00EE4D0B"/>
    <w:rsid w:val="00EE5084"/>
    <w:rsid w:val="00EE52F6"/>
    <w:rsid w:val="00EE5C15"/>
    <w:rsid w:val="00EE68C3"/>
    <w:rsid w:val="00EE6B53"/>
    <w:rsid w:val="00EE758C"/>
    <w:rsid w:val="00EE7A71"/>
    <w:rsid w:val="00EF091F"/>
    <w:rsid w:val="00EF0920"/>
    <w:rsid w:val="00EF12A7"/>
    <w:rsid w:val="00EF18DD"/>
    <w:rsid w:val="00EF2942"/>
    <w:rsid w:val="00EF29BB"/>
    <w:rsid w:val="00EF2D7C"/>
    <w:rsid w:val="00EF2F1F"/>
    <w:rsid w:val="00EF3CFF"/>
    <w:rsid w:val="00EF3D9B"/>
    <w:rsid w:val="00EF4586"/>
    <w:rsid w:val="00EF4615"/>
    <w:rsid w:val="00EF5141"/>
    <w:rsid w:val="00EF6BAB"/>
    <w:rsid w:val="00EF6E13"/>
    <w:rsid w:val="00F00061"/>
    <w:rsid w:val="00F00B8D"/>
    <w:rsid w:val="00F00EE3"/>
    <w:rsid w:val="00F01111"/>
    <w:rsid w:val="00F01556"/>
    <w:rsid w:val="00F01769"/>
    <w:rsid w:val="00F01ADC"/>
    <w:rsid w:val="00F02077"/>
    <w:rsid w:val="00F031FD"/>
    <w:rsid w:val="00F0329E"/>
    <w:rsid w:val="00F03548"/>
    <w:rsid w:val="00F039BC"/>
    <w:rsid w:val="00F03EA6"/>
    <w:rsid w:val="00F04357"/>
    <w:rsid w:val="00F04A94"/>
    <w:rsid w:val="00F05B4A"/>
    <w:rsid w:val="00F05C5B"/>
    <w:rsid w:val="00F0642C"/>
    <w:rsid w:val="00F06C1C"/>
    <w:rsid w:val="00F1005C"/>
    <w:rsid w:val="00F10D92"/>
    <w:rsid w:val="00F111AF"/>
    <w:rsid w:val="00F123FF"/>
    <w:rsid w:val="00F12D10"/>
    <w:rsid w:val="00F14E4F"/>
    <w:rsid w:val="00F160E2"/>
    <w:rsid w:val="00F1634C"/>
    <w:rsid w:val="00F165DF"/>
    <w:rsid w:val="00F16B8E"/>
    <w:rsid w:val="00F16D71"/>
    <w:rsid w:val="00F174A0"/>
    <w:rsid w:val="00F2121B"/>
    <w:rsid w:val="00F218B1"/>
    <w:rsid w:val="00F224C3"/>
    <w:rsid w:val="00F22C9B"/>
    <w:rsid w:val="00F22D70"/>
    <w:rsid w:val="00F234EF"/>
    <w:rsid w:val="00F23981"/>
    <w:rsid w:val="00F23A55"/>
    <w:rsid w:val="00F23CF9"/>
    <w:rsid w:val="00F2420C"/>
    <w:rsid w:val="00F24288"/>
    <w:rsid w:val="00F252EA"/>
    <w:rsid w:val="00F25A69"/>
    <w:rsid w:val="00F2670F"/>
    <w:rsid w:val="00F272FF"/>
    <w:rsid w:val="00F27549"/>
    <w:rsid w:val="00F27762"/>
    <w:rsid w:val="00F27866"/>
    <w:rsid w:val="00F27D3D"/>
    <w:rsid w:val="00F30AF6"/>
    <w:rsid w:val="00F3102D"/>
    <w:rsid w:val="00F31A5B"/>
    <w:rsid w:val="00F32474"/>
    <w:rsid w:val="00F34A76"/>
    <w:rsid w:val="00F36C34"/>
    <w:rsid w:val="00F36F34"/>
    <w:rsid w:val="00F372DF"/>
    <w:rsid w:val="00F37DB4"/>
    <w:rsid w:val="00F37F2E"/>
    <w:rsid w:val="00F40107"/>
    <w:rsid w:val="00F4050B"/>
    <w:rsid w:val="00F407B6"/>
    <w:rsid w:val="00F41D2B"/>
    <w:rsid w:val="00F429F7"/>
    <w:rsid w:val="00F44531"/>
    <w:rsid w:val="00F44AF5"/>
    <w:rsid w:val="00F45E72"/>
    <w:rsid w:val="00F462ED"/>
    <w:rsid w:val="00F4693E"/>
    <w:rsid w:val="00F46D39"/>
    <w:rsid w:val="00F475E9"/>
    <w:rsid w:val="00F47751"/>
    <w:rsid w:val="00F47A64"/>
    <w:rsid w:val="00F5039A"/>
    <w:rsid w:val="00F53714"/>
    <w:rsid w:val="00F53870"/>
    <w:rsid w:val="00F5417F"/>
    <w:rsid w:val="00F543BF"/>
    <w:rsid w:val="00F54FFF"/>
    <w:rsid w:val="00F56079"/>
    <w:rsid w:val="00F56635"/>
    <w:rsid w:val="00F567AC"/>
    <w:rsid w:val="00F56B08"/>
    <w:rsid w:val="00F56BFB"/>
    <w:rsid w:val="00F56F65"/>
    <w:rsid w:val="00F572F7"/>
    <w:rsid w:val="00F607D5"/>
    <w:rsid w:val="00F61FA8"/>
    <w:rsid w:val="00F62460"/>
    <w:rsid w:val="00F627A5"/>
    <w:rsid w:val="00F63281"/>
    <w:rsid w:val="00F6355A"/>
    <w:rsid w:val="00F638F6"/>
    <w:rsid w:val="00F64EDD"/>
    <w:rsid w:val="00F66013"/>
    <w:rsid w:val="00F660F7"/>
    <w:rsid w:val="00F67088"/>
    <w:rsid w:val="00F671B5"/>
    <w:rsid w:val="00F672C9"/>
    <w:rsid w:val="00F676AD"/>
    <w:rsid w:val="00F70DBB"/>
    <w:rsid w:val="00F70FFF"/>
    <w:rsid w:val="00F71619"/>
    <w:rsid w:val="00F726CC"/>
    <w:rsid w:val="00F72C66"/>
    <w:rsid w:val="00F72DD1"/>
    <w:rsid w:val="00F7327D"/>
    <w:rsid w:val="00F73DE0"/>
    <w:rsid w:val="00F73E22"/>
    <w:rsid w:val="00F7504A"/>
    <w:rsid w:val="00F75543"/>
    <w:rsid w:val="00F75D8A"/>
    <w:rsid w:val="00F75FBA"/>
    <w:rsid w:val="00F76909"/>
    <w:rsid w:val="00F76C7D"/>
    <w:rsid w:val="00F8052B"/>
    <w:rsid w:val="00F806F2"/>
    <w:rsid w:val="00F807A8"/>
    <w:rsid w:val="00F810A1"/>
    <w:rsid w:val="00F818D9"/>
    <w:rsid w:val="00F826F5"/>
    <w:rsid w:val="00F82844"/>
    <w:rsid w:val="00F84BAD"/>
    <w:rsid w:val="00F855F4"/>
    <w:rsid w:val="00F86098"/>
    <w:rsid w:val="00F863ED"/>
    <w:rsid w:val="00F87AEF"/>
    <w:rsid w:val="00F90266"/>
    <w:rsid w:val="00F907C0"/>
    <w:rsid w:val="00F90B47"/>
    <w:rsid w:val="00F915CA"/>
    <w:rsid w:val="00F9174A"/>
    <w:rsid w:val="00F92D7D"/>
    <w:rsid w:val="00F92E94"/>
    <w:rsid w:val="00F92EED"/>
    <w:rsid w:val="00F93A9F"/>
    <w:rsid w:val="00F94719"/>
    <w:rsid w:val="00F95DDC"/>
    <w:rsid w:val="00F97D8C"/>
    <w:rsid w:val="00FA043B"/>
    <w:rsid w:val="00FA14D2"/>
    <w:rsid w:val="00FA1D10"/>
    <w:rsid w:val="00FA3BC7"/>
    <w:rsid w:val="00FA3BDF"/>
    <w:rsid w:val="00FA3F34"/>
    <w:rsid w:val="00FA5795"/>
    <w:rsid w:val="00FA7594"/>
    <w:rsid w:val="00FB0B7F"/>
    <w:rsid w:val="00FB100A"/>
    <w:rsid w:val="00FB14A1"/>
    <w:rsid w:val="00FB2441"/>
    <w:rsid w:val="00FB2F46"/>
    <w:rsid w:val="00FB3196"/>
    <w:rsid w:val="00FB3C0E"/>
    <w:rsid w:val="00FB4241"/>
    <w:rsid w:val="00FB44A3"/>
    <w:rsid w:val="00FB459F"/>
    <w:rsid w:val="00FB45AA"/>
    <w:rsid w:val="00FB50A0"/>
    <w:rsid w:val="00FB62C9"/>
    <w:rsid w:val="00FB7523"/>
    <w:rsid w:val="00FB7E30"/>
    <w:rsid w:val="00FC0712"/>
    <w:rsid w:val="00FC0CFD"/>
    <w:rsid w:val="00FC0E75"/>
    <w:rsid w:val="00FC1595"/>
    <w:rsid w:val="00FC1F97"/>
    <w:rsid w:val="00FC2D01"/>
    <w:rsid w:val="00FC32FB"/>
    <w:rsid w:val="00FC39C0"/>
    <w:rsid w:val="00FC3E9D"/>
    <w:rsid w:val="00FC49DA"/>
    <w:rsid w:val="00FC6880"/>
    <w:rsid w:val="00FC70B5"/>
    <w:rsid w:val="00FD0647"/>
    <w:rsid w:val="00FD0717"/>
    <w:rsid w:val="00FD1637"/>
    <w:rsid w:val="00FD2373"/>
    <w:rsid w:val="00FD2708"/>
    <w:rsid w:val="00FD3393"/>
    <w:rsid w:val="00FD3719"/>
    <w:rsid w:val="00FD38FA"/>
    <w:rsid w:val="00FD40DC"/>
    <w:rsid w:val="00FD431D"/>
    <w:rsid w:val="00FD5D9E"/>
    <w:rsid w:val="00FD6674"/>
    <w:rsid w:val="00FD6EBD"/>
    <w:rsid w:val="00FD7A11"/>
    <w:rsid w:val="00FE163E"/>
    <w:rsid w:val="00FE2B3A"/>
    <w:rsid w:val="00FE314D"/>
    <w:rsid w:val="00FE32BE"/>
    <w:rsid w:val="00FE3B67"/>
    <w:rsid w:val="00FE449D"/>
    <w:rsid w:val="00FE4A1E"/>
    <w:rsid w:val="00FE4A56"/>
    <w:rsid w:val="00FE4F01"/>
    <w:rsid w:val="00FE5A01"/>
    <w:rsid w:val="00FE64B3"/>
    <w:rsid w:val="00FE722C"/>
    <w:rsid w:val="00FE72F2"/>
    <w:rsid w:val="00FF29B6"/>
    <w:rsid w:val="00FF2E95"/>
    <w:rsid w:val="00FF38F4"/>
    <w:rsid w:val="00FF3AF2"/>
    <w:rsid w:val="00FF3F84"/>
    <w:rsid w:val="00FF436B"/>
    <w:rsid w:val="00FF6163"/>
    <w:rsid w:val="00FF7513"/>
    <w:rsid w:val="00FF75A4"/>
    <w:rsid w:val="00FF7650"/>
    <w:rsid w:val="01091FE8"/>
    <w:rsid w:val="011A24F4"/>
    <w:rsid w:val="012018E7"/>
    <w:rsid w:val="012976F4"/>
    <w:rsid w:val="0139552F"/>
    <w:rsid w:val="013B13B1"/>
    <w:rsid w:val="013F35AE"/>
    <w:rsid w:val="0144142A"/>
    <w:rsid w:val="01726C7E"/>
    <w:rsid w:val="017E78E7"/>
    <w:rsid w:val="01825310"/>
    <w:rsid w:val="018B5902"/>
    <w:rsid w:val="01A4542B"/>
    <w:rsid w:val="01A92702"/>
    <w:rsid w:val="01AF35D1"/>
    <w:rsid w:val="01B14C06"/>
    <w:rsid w:val="01CC715B"/>
    <w:rsid w:val="01D33FEB"/>
    <w:rsid w:val="01E514A0"/>
    <w:rsid w:val="01EF44FC"/>
    <w:rsid w:val="01F7522F"/>
    <w:rsid w:val="01FF3271"/>
    <w:rsid w:val="02014FAF"/>
    <w:rsid w:val="02046181"/>
    <w:rsid w:val="02063FE0"/>
    <w:rsid w:val="02202F24"/>
    <w:rsid w:val="022933B5"/>
    <w:rsid w:val="02305A13"/>
    <w:rsid w:val="023C66B8"/>
    <w:rsid w:val="024141DC"/>
    <w:rsid w:val="024F6661"/>
    <w:rsid w:val="025F0F7C"/>
    <w:rsid w:val="02612677"/>
    <w:rsid w:val="02687C4A"/>
    <w:rsid w:val="027315A7"/>
    <w:rsid w:val="02850315"/>
    <w:rsid w:val="02894C40"/>
    <w:rsid w:val="028A3FEB"/>
    <w:rsid w:val="028F70A7"/>
    <w:rsid w:val="02912B76"/>
    <w:rsid w:val="02A12ECC"/>
    <w:rsid w:val="02AB2A91"/>
    <w:rsid w:val="02BC3862"/>
    <w:rsid w:val="02C24513"/>
    <w:rsid w:val="02C264F1"/>
    <w:rsid w:val="02C729C6"/>
    <w:rsid w:val="02CE1ED9"/>
    <w:rsid w:val="02CF1B54"/>
    <w:rsid w:val="02D14237"/>
    <w:rsid w:val="02DC6A16"/>
    <w:rsid w:val="02DE4A7E"/>
    <w:rsid w:val="02EF54BC"/>
    <w:rsid w:val="02F76A9D"/>
    <w:rsid w:val="02F96864"/>
    <w:rsid w:val="030405BA"/>
    <w:rsid w:val="0307012E"/>
    <w:rsid w:val="03082571"/>
    <w:rsid w:val="03114809"/>
    <w:rsid w:val="031A74B1"/>
    <w:rsid w:val="03303262"/>
    <w:rsid w:val="035221BB"/>
    <w:rsid w:val="03526E46"/>
    <w:rsid w:val="03597E40"/>
    <w:rsid w:val="035B746F"/>
    <w:rsid w:val="03616B64"/>
    <w:rsid w:val="03637584"/>
    <w:rsid w:val="036579F8"/>
    <w:rsid w:val="0366286F"/>
    <w:rsid w:val="036D7DC7"/>
    <w:rsid w:val="0371191E"/>
    <w:rsid w:val="03732846"/>
    <w:rsid w:val="0374238F"/>
    <w:rsid w:val="03791288"/>
    <w:rsid w:val="03791792"/>
    <w:rsid w:val="039613E8"/>
    <w:rsid w:val="03A23305"/>
    <w:rsid w:val="03A72764"/>
    <w:rsid w:val="03A762DE"/>
    <w:rsid w:val="03AC11BE"/>
    <w:rsid w:val="03AD1490"/>
    <w:rsid w:val="03B15391"/>
    <w:rsid w:val="03C1066D"/>
    <w:rsid w:val="03C12428"/>
    <w:rsid w:val="03C516F1"/>
    <w:rsid w:val="03E312C3"/>
    <w:rsid w:val="03ED7CB4"/>
    <w:rsid w:val="03F55382"/>
    <w:rsid w:val="03FB03BA"/>
    <w:rsid w:val="04212B72"/>
    <w:rsid w:val="042C7070"/>
    <w:rsid w:val="042E0DB9"/>
    <w:rsid w:val="0434681B"/>
    <w:rsid w:val="043B0465"/>
    <w:rsid w:val="04505E72"/>
    <w:rsid w:val="0451248A"/>
    <w:rsid w:val="04556E66"/>
    <w:rsid w:val="045D72C7"/>
    <w:rsid w:val="04603922"/>
    <w:rsid w:val="04673CA2"/>
    <w:rsid w:val="04697CDF"/>
    <w:rsid w:val="046B2AC7"/>
    <w:rsid w:val="046E40EB"/>
    <w:rsid w:val="047563BF"/>
    <w:rsid w:val="049C759F"/>
    <w:rsid w:val="04A24D3F"/>
    <w:rsid w:val="04A401DB"/>
    <w:rsid w:val="04B14FE1"/>
    <w:rsid w:val="04C90F46"/>
    <w:rsid w:val="04CC54DD"/>
    <w:rsid w:val="04F27267"/>
    <w:rsid w:val="05035BA6"/>
    <w:rsid w:val="051261AC"/>
    <w:rsid w:val="05130175"/>
    <w:rsid w:val="051D505D"/>
    <w:rsid w:val="052A615B"/>
    <w:rsid w:val="052B1173"/>
    <w:rsid w:val="052F50A2"/>
    <w:rsid w:val="05367C6F"/>
    <w:rsid w:val="05460476"/>
    <w:rsid w:val="05665B53"/>
    <w:rsid w:val="05697ACB"/>
    <w:rsid w:val="05776166"/>
    <w:rsid w:val="0579304C"/>
    <w:rsid w:val="058170FC"/>
    <w:rsid w:val="05862950"/>
    <w:rsid w:val="058E4FA2"/>
    <w:rsid w:val="058F5B26"/>
    <w:rsid w:val="059669A2"/>
    <w:rsid w:val="059C5BB5"/>
    <w:rsid w:val="059D3E1F"/>
    <w:rsid w:val="05AA16CC"/>
    <w:rsid w:val="05B13426"/>
    <w:rsid w:val="05B73572"/>
    <w:rsid w:val="05B91490"/>
    <w:rsid w:val="05BB6053"/>
    <w:rsid w:val="05C02370"/>
    <w:rsid w:val="05CD7D36"/>
    <w:rsid w:val="05DF6C92"/>
    <w:rsid w:val="05E86116"/>
    <w:rsid w:val="05EA06E6"/>
    <w:rsid w:val="05EE037F"/>
    <w:rsid w:val="05F069B7"/>
    <w:rsid w:val="05FB1D53"/>
    <w:rsid w:val="05FF6AEF"/>
    <w:rsid w:val="0601216F"/>
    <w:rsid w:val="06275913"/>
    <w:rsid w:val="062930F2"/>
    <w:rsid w:val="062F07A4"/>
    <w:rsid w:val="06370601"/>
    <w:rsid w:val="06540DB6"/>
    <w:rsid w:val="065D110E"/>
    <w:rsid w:val="0663417D"/>
    <w:rsid w:val="066408C4"/>
    <w:rsid w:val="066871FA"/>
    <w:rsid w:val="066C2B1B"/>
    <w:rsid w:val="066D4CEF"/>
    <w:rsid w:val="067D7DF5"/>
    <w:rsid w:val="06833D1A"/>
    <w:rsid w:val="06880511"/>
    <w:rsid w:val="069B1E2D"/>
    <w:rsid w:val="069B49E3"/>
    <w:rsid w:val="06C158EB"/>
    <w:rsid w:val="06C53C5A"/>
    <w:rsid w:val="06C74530"/>
    <w:rsid w:val="06CD1922"/>
    <w:rsid w:val="06CF719F"/>
    <w:rsid w:val="06D24655"/>
    <w:rsid w:val="06D805A5"/>
    <w:rsid w:val="06D83588"/>
    <w:rsid w:val="06EC0AFA"/>
    <w:rsid w:val="06EE6695"/>
    <w:rsid w:val="06F157CA"/>
    <w:rsid w:val="06F253F2"/>
    <w:rsid w:val="06F347DF"/>
    <w:rsid w:val="070B6B66"/>
    <w:rsid w:val="070F4E33"/>
    <w:rsid w:val="071054F2"/>
    <w:rsid w:val="07123728"/>
    <w:rsid w:val="07131EBF"/>
    <w:rsid w:val="07135D77"/>
    <w:rsid w:val="07216F47"/>
    <w:rsid w:val="07225256"/>
    <w:rsid w:val="072A45A2"/>
    <w:rsid w:val="072E110E"/>
    <w:rsid w:val="074B20D5"/>
    <w:rsid w:val="0754394E"/>
    <w:rsid w:val="075C1AB8"/>
    <w:rsid w:val="075D59DD"/>
    <w:rsid w:val="076405FB"/>
    <w:rsid w:val="077E0859"/>
    <w:rsid w:val="07807AAC"/>
    <w:rsid w:val="078F59E9"/>
    <w:rsid w:val="079039AA"/>
    <w:rsid w:val="07925C69"/>
    <w:rsid w:val="079E79AB"/>
    <w:rsid w:val="07AA2F57"/>
    <w:rsid w:val="07AE6E4B"/>
    <w:rsid w:val="07AF0561"/>
    <w:rsid w:val="07B1582B"/>
    <w:rsid w:val="07B96527"/>
    <w:rsid w:val="07C04AFB"/>
    <w:rsid w:val="07D7113E"/>
    <w:rsid w:val="07E07FF3"/>
    <w:rsid w:val="07E2057E"/>
    <w:rsid w:val="07EF6488"/>
    <w:rsid w:val="07F4280F"/>
    <w:rsid w:val="07FB4614"/>
    <w:rsid w:val="08043E17"/>
    <w:rsid w:val="080A32C2"/>
    <w:rsid w:val="080B7320"/>
    <w:rsid w:val="08122176"/>
    <w:rsid w:val="08234384"/>
    <w:rsid w:val="082B5CF2"/>
    <w:rsid w:val="08313701"/>
    <w:rsid w:val="08337689"/>
    <w:rsid w:val="083632D4"/>
    <w:rsid w:val="08420CAE"/>
    <w:rsid w:val="085456DD"/>
    <w:rsid w:val="08581501"/>
    <w:rsid w:val="085E63B9"/>
    <w:rsid w:val="08626FD0"/>
    <w:rsid w:val="0865551D"/>
    <w:rsid w:val="087D6CFB"/>
    <w:rsid w:val="087E50CD"/>
    <w:rsid w:val="087F5CC4"/>
    <w:rsid w:val="08830C2D"/>
    <w:rsid w:val="08A348F2"/>
    <w:rsid w:val="08A76D63"/>
    <w:rsid w:val="08A90C4B"/>
    <w:rsid w:val="08AC7394"/>
    <w:rsid w:val="08AE49E9"/>
    <w:rsid w:val="08B00B96"/>
    <w:rsid w:val="08B73571"/>
    <w:rsid w:val="08B74954"/>
    <w:rsid w:val="08BD5305"/>
    <w:rsid w:val="08C31183"/>
    <w:rsid w:val="08C34634"/>
    <w:rsid w:val="08C77405"/>
    <w:rsid w:val="08C975C1"/>
    <w:rsid w:val="08D01712"/>
    <w:rsid w:val="08D714BC"/>
    <w:rsid w:val="08E46BA3"/>
    <w:rsid w:val="08E8695E"/>
    <w:rsid w:val="08F0622E"/>
    <w:rsid w:val="08F57ACE"/>
    <w:rsid w:val="09082028"/>
    <w:rsid w:val="090C6B18"/>
    <w:rsid w:val="09144B14"/>
    <w:rsid w:val="09194484"/>
    <w:rsid w:val="092D681B"/>
    <w:rsid w:val="09303098"/>
    <w:rsid w:val="093323A4"/>
    <w:rsid w:val="09336848"/>
    <w:rsid w:val="09357110"/>
    <w:rsid w:val="09360EF7"/>
    <w:rsid w:val="093B3F4A"/>
    <w:rsid w:val="093D06DE"/>
    <w:rsid w:val="093E082B"/>
    <w:rsid w:val="095509D3"/>
    <w:rsid w:val="09555386"/>
    <w:rsid w:val="09564C83"/>
    <w:rsid w:val="09587F30"/>
    <w:rsid w:val="09670FA8"/>
    <w:rsid w:val="096B4234"/>
    <w:rsid w:val="096F4660"/>
    <w:rsid w:val="09702BB9"/>
    <w:rsid w:val="0971450C"/>
    <w:rsid w:val="097958DC"/>
    <w:rsid w:val="097D251D"/>
    <w:rsid w:val="098247E3"/>
    <w:rsid w:val="09882533"/>
    <w:rsid w:val="098A723A"/>
    <w:rsid w:val="098D5F59"/>
    <w:rsid w:val="09964FF0"/>
    <w:rsid w:val="099660C9"/>
    <w:rsid w:val="09A01DED"/>
    <w:rsid w:val="09A40C08"/>
    <w:rsid w:val="09B80AB9"/>
    <w:rsid w:val="09C83435"/>
    <w:rsid w:val="09D77846"/>
    <w:rsid w:val="09DD72C1"/>
    <w:rsid w:val="09DF42DA"/>
    <w:rsid w:val="0A085C40"/>
    <w:rsid w:val="0A091B50"/>
    <w:rsid w:val="0A27463D"/>
    <w:rsid w:val="0A442D1A"/>
    <w:rsid w:val="0A4512E6"/>
    <w:rsid w:val="0A491FA4"/>
    <w:rsid w:val="0A516F20"/>
    <w:rsid w:val="0A532653"/>
    <w:rsid w:val="0A5947A5"/>
    <w:rsid w:val="0A5D687D"/>
    <w:rsid w:val="0A5E78F5"/>
    <w:rsid w:val="0A717157"/>
    <w:rsid w:val="0A782765"/>
    <w:rsid w:val="0A785F8A"/>
    <w:rsid w:val="0A7A0634"/>
    <w:rsid w:val="0A7F0F6B"/>
    <w:rsid w:val="0A801C83"/>
    <w:rsid w:val="0A83776F"/>
    <w:rsid w:val="0A903A37"/>
    <w:rsid w:val="0AA53CBB"/>
    <w:rsid w:val="0AA7129C"/>
    <w:rsid w:val="0AAC3038"/>
    <w:rsid w:val="0AB40A27"/>
    <w:rsid w:val="0ABC6D90"/>
    <w:rsid w:val="0AC31377"/>
    <w:rsid w:val="0AC41E4E"/>
    <w:rsid w:val="0AC736EC"/>
    <w:rsid w:val="0AD75264"/>
    <w:rsid w:val="0AD81455"/>
    <w:rsid w:val="0AE21439"/>
    <w:rsid w:val="0AE95411"/>
    <w:rsid w:val="0AED4E5D"/>
    <w:rsid w:val="0AFB7837"/>
    <w:rsid w:val="0AFC15E8"/>
    <w:rsid w:val="0AFE0C5B"/>
    <w:rsid w:val="0AFF3240"/>
    <w:rsid w:val="0B2F522D"/>
    <w:rsid w:val="0B3360C1"/>
    <w:rsid w:val="0B344372"/>
    <w:rsid w:val="0B381EF4"/>
    <w:rsid w:val="0B4265A0"/>
    <w:rsid w:val="0B5E30F7"/>
    <w:rsid w:val="0B605F03"/>
    <w:rsid w:val="0B6222A4"/>
    <w:rsid w:val="0B6644A6"/>
    <w:rsid w:val="0B677F3B"/>
    <w:rsid w:val="0B68090C"/>
    <w:rsid w:val="0B9A2898"/>
    <w:rsid w:val="0B9D4B34"/>
    <w:rsid w:val="0BA13F4A"/>
    <w:rsid w:val="0BA32648"/>
    <w:rsid w:val="0BA61097"/>
    <w:rsid w:val="0BAC3AE6"/>
    <w:rsid w:val="0BB63B7C"/>
    <w:rsid w:val="0BBB21FA"/>
    <w:rsid w:val="0BCA4CA2"/>
    <w:rsid w:val="0BCD30A7"/>
    <w:rsid w:val="0BCE059D"/>
    <w:rsid w:val="0BCF069F"/>
    <w:rsid w:val="0BD13AB6"/>
    <w:rsid w:val="0BD20C08"/>
    <w:rsid w:val="0BD64417"/>
    <w:rsid w:val="0BD9603B"/>
    <w:rsid w:val="0BDE49DE"/>
    <w:rsid w:val="0BE04A65"/>
    <w:rsid w:val="0BED38A1"/>
    <w:rsid w:val="0BF16C73"/>
    <w:rsid w:val="0BFA1D5E"/>
    <w:rsid w:val="0BFE6F6F"/>
    <w:rsid w:val="0C01678A"/>
    <w:rsid w:val="0C05270A"/>
    <w:rsid w:val="0C0A6C03"/>
    <w:rsid w:val="0C0B585A"/>
    <w:rsid w:val="0C191D25"/>
    <w:rsid w:val="0C2821C2"/>
    <w:rsid w:val="0C2F7D77"/>
    <w:rsid w:val="0C37664F"/>
    <w:rsid w:val="0C446CEC"/>
    <w:rsid w:val="0C4D2EA6"/>
    <w:rsid w:val="0C5B44A8"/>
    <w:rsid w:val="0C5C1C12"/>
    <w:rsid w:val="0C654F6B"/>
    <w:rsid w:val="0C6D1703"/>
    <w:rsid w:val="0C873E61"/>
    <w:rsid w:val="0C907CD9"/>
    <w:rsid w:val="0C946333"/>
    <w:rsid w:val="0CA52C67"/>
    <w:rsid w:val="0CAC4948"/>
    <w:rsid w:val="0CAE71EB"/>
    <w:rsid w:val="0CBF7EFD"/>
    <w:rsid w:val="0CC46302"/>
    <w:rsid w:val="0CE27CDA"/>
    <w:rsid w:val="0CE42517"/>
    <w:rsid w:val="0CE62A84"/>
    <w:rsid w:val="0CEE0567"/>
    <w:rsid w:val="0CF221A5"/>
    <w:rsid w:val="0CF74D52"/>
    <w:rsid w:val="0D020C0B"/>
    <w:rsid w:val="0D0257E8"/>
    <w:rsid w:val="0D22141A"/>
    <w:rsid w:val="0D2403F0"/>
    <w:rsid w:val="0D3112F1"/>
    <w:rsid w:val="0D3B70E8"/>
    <w:rsid w:val="0D453E51"/>
    <w:rsid w:val="0D4C1F32"/>
    <w:rsid w:val="0D622318"/>
    <w:rsid w:val="0D65394B"/>
    <w:rsid w:val="0D660F9A"/>
    <w:rsid w:val="0D7139DD"/>
    <w:rsid w:val="0D7351DC"/>
    <w:rsid w:val="0D755681"/>
    <w:rsid w:val="0D87312D"/>
    <w:rsid w:val="0D89372B"/>
    <w:rsid w:val="0D933EBB"/>
    <w:rsid w:val="0DA0507B"/>
    <w:rsid w:val="0DA25703"/>
    <w:rsid w:val="0DA824C5"/>
    <w:rsid w:val="0DB735A4"/>
    <w:rsid w:val="0DBA28C3"/>
    <w:rsid w:val="0DBF6AE2"/>
    <w:rsid w:val="0DD348DB"/>
    <w:rsid w:val="0DDC0E05"/>
    <w:rsid w:val="0DE978E6"/>
    <w:rsid w:val="0DF4282A"/>
    <w:rsid w:val="0E064F10"/>
    <w:rsid w:val="0E0A398A"/>
    <w:rsid w:val="0E0D2818"/>
    <w:rsid w:val="0E1924B1"/>
    <w:rsid w:val="0E26072A"/>
    <w:rsid w:val="0E2E3F3E"/>
    <w:rsid w:val="0E3A7761"/>
    <w:rsid w:val="0E3F6E76"/>
    <w:rsid w:val="0E4A5AB1"/>
    <w:rsid w:val="0E52151F"/>
    <w:rsid w:val="0E5C209B"/>
    <w:rsid w:val="0E6F3E7F"/>
    <w:rsid w:val="0E883192"/>
    <w:rsid w:val="0E8A6F0A"/>
    <w:rsid w:val="0E914935"/>
    <w:rsid w:val="0E940C56"/>
    <w:rsid w:val="0E99066E"/>
    <w:rsid w:val="0EA25ACD"/>
    <w:rsid w:val="0EA36726"/>
    <w:rsid w:val="0EB0309A"/>
    <w:rsid w:val="0EB62071"/>
    <w:rsid w:val="0EC0016B"/>
    <w:rsid w:val="0EC3241C"/>
    <w:rsid w:val="0ED640F0"/>
    <w:rsid w:val="0EEF537A"/>
    <w:rsid w:val="0EF3374D"/>
    <w:rsid w:val="0EF67A1E"/>
    <w:rsid w:val="0EFF0ECE"/>
    <w:rsid w:val="0EFF5714"/>
    <w:rsid w:val="0F005E80"/>
    <w:rsid w:val="0F021749"/>
    <w:rsid w:val="0F053ADB"/>
    <w:rsid w:val="0F0F70D5"/>
    <w:rsid w:val="0F144A26"/>
    <w:rsid w:val="0F1E3331"/>
    <w:rsid w:val="0F3161D6"/>
    <w:rsid w:val="0F440926"/>
    <w:rsid w:val="0F48537E"/>
    <w:rsid w:val="0F4C0FDB"/>
    <w:rsid w:val="0F511703"/>
    <w:rsid w:val="0F5D461F"/>
    <w:rsid w:val="0F6A2A33"/>
    <w:rsid w:val="0F6F6BFD"/>
    <w:rsid w:val="0F763E6D"/>
    <w:rsid w:val="0F8674A7"/>
    <w:rsid w:val="0F891DB6"/>
    <w:rsid w:val="0F8F646B"/>
    <w:rsid w:val="0F915071"/>
    <w:rsid w:val="0F9E5471"/>
    <w:rsid w:val="0F9F0E23"/>
    <w:rsid w:val="0FA02129"/>
    <w:rsid w:val="0FA07365"/>
    <w:rsid w:val="0FA400C2"/>
    <w:rsid w:val="0FAD6BD3"/>
    <w:rsid w:val="0FB00394"/>
    <w:rsid w:val="0FD06B9F"/>
    <w:rsid w:val="0FD36DEA"/>
    <w:rsid w:val="0FE30C1D"/>
    <w:rsid w:val="0FE604E4"/>
    <w:rsid w:val="0FEC0F5F"/>
    <w:rsid w:val="0FF1704A"/>
    <w:rsid w:val="0FFA733F"/>
    <w:rsid w:val="10014FAA"/>
    <w:rsid w:val="10090303"/>
    <w:rsid w:val="10124986"/>
    <w:rsid w:val="10275457"/>
    <w:rsid w:val="10397598"/>
    <w:rsid w:val="103F4DD4"/>
    <w:rsid w:val="10453240"/>
    <w:rsid w:val="104D5C46"/>
    <w:rsid w:val="106542C1"/>
    <w:rsid w:val="10765998"/>
    <w:rsid w:val="10771BDD"/>
    <w:rsid w:val="107B68D6"/>
    <w:rsid w:val="108823A8"/>
    <w:rsid w:val="108B1CBE"/>
    <w:rsid w:val="108C13B3"/>
    <w:rsid w:val="1091203B"/>
    <w:rsid w:val="10994950"/>
    <w:rsid w:val="109D42F7"/>
    <w:rsid w:val="109D5D24"/>
    <w:rsid w:val="10BD5143"/>
    <w:rsid w:val="10C777A8"/>
    <w:rsid w:val="10C922B9"/>
    <w:rsid w:val="10CA3767"/>
    <w:rsid w:val="10D43D2C"/>
    <w:rsid w:val="10E54ECE"/>
    <w:rsid w:val="10E5667A"/>
    <w:rsid w:val="10E67A3A"/>
    <w:rsid w:val="10F61119"/>
    <w:rsid w:val="110765F0"/>
    <w:rsid w:val="11076DB6"/>
    <w:rsid w:val="11130978"/>
    <w:rsid w:val="11134DDA"/>
    <w:rsid w:val="11145A76"/>
    <w:rsid w:val="112C2349"/>
    <w:rsid w:val="112C7F2A"/>
    <w:rsid w:val="11324F4C"/>
    <w:rsid w:val="113B273E"/>
    <w:rsid w:val="113C4425"/>
    <w:rsid w:val="11401B02"/>
    <w:rsid w:val="11412B96"/>
    <w:rsid w:val="115770D7"/>
    <w:rsid w:val="11631E9D"/>
    <w:rsid w:val="11760DE6"/>
    <w:rsid w:val="117B23DB"/>
    <w:rsid w:val="118E2861"/>
    <w:rsid w:val="118E6531"/>
    <w:rsid w:val="119C4CD9"/>
    <w:rsid w:val="11A007F3"/>
    <w:rsid w:val="11A60284"/>
    <w:rsid w:val="11B3678A"/>
    <w:rsid w:val="11B94DB0"/>
    <w:rsid w:val="11BA354B"/>
    <w:rsid w:val="11C45CDC"/>
    <w:rsid w:val="11D641C8"/>
    <w:rsid w:val="11D648D0"/>
    <w:rsid w:val="11D8787C"/>
    <w:rsid w:val="11EB4164"/>
    <w:rsid w:val="11F64A0A"/>
    <w:rsid w:val="11F823DD"/>
    <w:rsid w:val="11FB5AEC"/>
    <w:rsid w:val="120F0418"/>
    <w:rsid w:val="12133E2A"/>
    <w:rsid w:val="1215256E"/>
    <w:rsid w:val="122276AD"/>
    <w:rsid w:val="122B5F8F"/>
    <w:rsid w:val="122D0B62"/>
    <w:rsid w:val="12397D7F"/>
    <w:rsid w:val="12413D84"/>
    <w:rsid w:val="12435284"/>
    <w:rsid w:val="125A3098"/>
    <w:rsid w:val="125E66E4"/>
    <w:rsid w:val="12622141"/>
    <w:rsid w:val="12792933"/>
    <w:rsid w:val="127A32C8"/>
    <w:rsid w:val="128008CF"/>
    <w:rsid w:val="1281123D"/>
    <w:rsid w:val="128771E6"/>
    <w:rsid w:val="128864D9"/>
    <w:rsid w:val="1290693B"/>
    <w:rsid w:val="12930C17"/>
    <w:rsid w:val="12A90E41"/>
    <w:rsid w:val="12AF0CEE"/>
    <w:rsid w:val="12C15E92"/>
    <w:rsid w:val="12C20325"/>
    <w:rsid w:val="12CB18A0"/>
    <w:rsid w:val="12D626CB"/>
    <w:rsid w:val="12D7227E"/>
    <w:rsid w:val="12DC4050"/>
    <w:rsid w:val="12E10CD7"/>
    <w:rsid w:val="12E266A9"/>
    <w:rsid w:val="12F066A2"/>
    <w:rsid w:val="12FF7C6D"/>
    <w:rsid w:val="13043CDF"/>
    <w:rsid w:val="13070B2A"/>
    <w:rsid w:val="130E1A7C"/>
    <w:rsid w:val="13170F61"/>
    <w:rsid w:val="13182EE9"/>
    <w:rsid w:val="13183D70"/>
    <w:rsid w:val="131E2317"/>
    <w:rsid w:val="13325D93"/>
    <w:rsid w:val="133D68DD"/>
    <w:rsid w:val="134231CE"/>
    <w:rsid w:val="13486D74"/>
    <w:rsid w:val="134C5168"/>
    <w:rsid w:val="1354150F"/>
    <w:rsid w:val="13580DFE"/>
    <w:rsid w:val="1360648C"/>
    <w:rsid w:val="13732504"/>
    <w:rsid w:val="13820001"/>
    <w:rsid w:val="13872E97"/>
    <w:rsid w:val="13881686"/>
    <w:rsid w:val="138C54D3"/>
    <w:rsid w:val="139D5224"/>
    <w:rsid w:val="13AF6691"/>
    <w:rsid w:val="13B7779C"/>
    <w:rsid w:val="13CC58CF"/>
    <w:rsid w:val="13CE1647"/>
    <w:rsid w:val="13D12B0D"/>
    <w:rsid w:val="13D21948"/>
    <w:rsid w:val="13D905D4"/>
    <w:rsid w:val="13E8708E"/>
    <w:rsid w:val="13EB718B"/>
    <w:rsid w:val="13ED13E4"/>
    <w:rsid w:val="13F42BA5"/>
    <w:rsid w:val="140A6AD7"/>
    <w:rsid w:val="14164D9C"/>
    <w:rsid w:val="1416581E"/>
    <w:rsid w:val="14183F7D"/>
    <w:rsid w:val="14281FBA"/>
    <w:rsid w:val="14294AD0"/>
    <w:rsid w:val="142D09D0"/>
    <w:rsid w:val="14337A36"/>
    <w:rsid w:val="143516C6"/>
    <w:rsid w:val="143A5215"/>
    <w:rsid w:val="143C65B2"/>
    <w:rsid w:val="144B0FE7"/>
    <w:rsid w:val="144F4C5A"/>
    <w:rsid w:val="14585C1E"/>
    <w:rsid w:val="145C30F7"/>
    <w:rsid w:val="1461426A"/>
    <w:rsid w:val="14691EFF"/>
    <w:rsid w:val="146B23F4"/>
    <w:rsid w:val="146B50E8"/>
    <w:rsid w:val="146D2C78"/>
    <w:rsid w:val="147E0B7C"/>
    <w:rsid w:val="148461AA"/>
    <w:rsid w:val="148465E1"/>
    <w:rsid w:val="148C2700"/>
    <w:rsid w:val="148E1FB0"/>
    <w:rsid w:val="14A868B4"/>
    <w:rsid w:val="14A92806"/>
    <w:rsid w:val="14A93899"/>
    <w:rsid w:val="14BA1196"/>
    <w:rsid w:val="14BE6F78"/>
    <w:rsid w:val="14CB5B87"/>
    <w:rsid w:val="14DE6139"/>
    <w:rsid w:val="14ED2F05"/>
    <w:rsid w:val="14FA7C4C"/>
    <w:rsid w:val="15064E11"/>
    <w:rsid w:val="15086160"/>
    <w:rsid w:val="150A549B"/>
    <w:rsid w:val="15115DD4"/>
    <w:rsid w:val="1518209A"/>
    <w:rsid w:val="151B26E3"/>
    <w:rsid w:val="151B409E"/>
    <w:rsid w:val="1525275F"/>
    <w:rsid w:val="15267CBF"/>
    <w:rsid w:val="153B1DB4"/>
    <w:rsid w:val="154410F5"/>
    <w:rsid w:val="15472323"/>
    <w:rsid w:val="154E4E0A"/>
    <w:rsid w:val="158928C1"/>
    <w:rsid w:val="158A1050"/>
    <w:rsid w:val="1594569F"/>
    <w:rsid w:val="159A6575"/>
    <w:rsid w:val="159D1783"/>
    <w:rsid w:val="15A56697"/>
    <w:rsid w:val="15D03531"/>
    <w:rsid w:val="15D3380B"/>
    <w:rsid w:val="16037BDD"/>
    <w:rsid w:val="160662F5"/>
    <w:rsid w:val="160752E5"/>
    <w:rsid w:val="16150A32"/>
    <w:rsid w:val="161F5E92"/>
    <w:rsid w:val="161F618A"/>
    <w:rsid w:val="16275D07"/>
    <w:rsid w:val="162C7848"/>
    <w:rsid w:val="163E599E"/>
    <w:rsid w:val="16461969"/>
    <w:rsid w:val="164A731D"/>
    <w:rsid w:val="16575141"/>
    <w:rsid w:val="16581B6E"/>
    <w:rsid w:val="166167A3"/>
    <w:rsid w:val="16620B48"/>
    <w:rsid w:val="166C4275"/>
    <w:rsid w:val="16724D4D"/>
    <w:rsid w:val="167F0418"/>
    <w:rsid w:val="16845A61"/>
    <w:rsid w:val="16873394"/>
    <w:rsid w:val="16886389"/>
    <w:rsid w:val="169A3D23"/>
    <w:rsid w:val="16A3408B"/>
    <w:rsid w:val="16AF4638"/>
    <w:rsid w:val="16B21F3B"/>
    <w:rsid w:val="16CD3C8A"/>
    <w:rsid w:val="16E01DBD"/>
    <w:rsid w:val="16E63CD6"/>
    <w:rsid w:val="16EF6A41"/>
    <w:rsid w:val="16FA3C54"/>
    <w:rsid w:val="1703276F"/>
    <w:rsid w:val="17047967"/>
    <w:rsid w:val="17111B82"/>
    <w:rsid w:val="1718575D"/>
    <w:rsid w:val="17223CB1"/>
    <w:rsid w:val="172277D5"/>
    <w:rsid w:val="17245716"/>
    <w:rsid w:val="17463BEB"/>
    <w:rsid w:val="174E06F7"/>
    <w:rsid w:val="176221FA"/>
    <w:rsid w:val="17671DD7"/>
    <w:rsid w:val="17674713"/>
    <w:rsid w:val="176A5B2B"/>
    <w:rsid w:val="17743E1E"/>
    <w:rsid w:val="177B2F3F"/>
    <w:rsid w:val="177B39B4"/>
    <w:rsid w:val="17915FCD"/>
    <w:rsid w:val="17AD26AA"/>
    <w:rsid w:val="17B51B28"/>
    <w:rsid w:val="17BF17B4"/>
    <w:rsid w:val="17CF63A1"/>
    <w:rsid w:val="17D631C0"/>
    <w:rsid w:val="17E009D5"/>
    <w:rsid w:val="17EA0A1A"/>
    <w:rsid w:val="17EC5E88"/>
    <w:rsid w:val="17F17FFA"/>
    <w:rsid w:val="17FC2B82"/>
    <w:rsid w:val="18023FB5"/>
    <w:rsid w:val="180D0CCB"/>
    <w:rsid w:val="18104644"/>
    <w:rsid w:val="1811250D"/>
    <w:rsid w:val="18116229"/>
    <w:rsid w:val="184110B3"/>
    <w:rsid w:val="18461624"/>
    <w:rsid w:val="18510A99"/>
    <w:rsid w:val="185F6209"/>
    <w:rsid w:val="186B41E1"/>
    <w:rsid w:val="186C7681"/>
    <w:rsid w:val="187D6116"/>
    <w:rsid w:val="187F72BD"/>
    <w:rsid w:val="18857EF3"/>
    <w:rsid w:val="18870E9D"/>
    <w:rsid w:val="1887378A"/>
    <w:rsid w:val="188A3D8E"/>
    <w:rsid w:val="188D0029"/>
    <w:rsid w:val="188D7D23"/>
    <w:rsid w:val="188F1813"/>
    <w:rsid w:val="18954E2A"/>
    <w:rsid w:val="189F35B2"/>
    <w:rsid w:val="18A1557C"/>
    <w:rsid w:val="18B445A2"/>
    <w:rsid w:val="18BA5903"/>
    <w:rsid w:val="18BB3557"/>
    <w:rsid w:val="18C01C89"/>
    <w:rsid w:val="18C72EB9"/>
    <w:rsid w:val="18C87EBE"/>
    <w:rsid w:val="18DA6CE0"/>
    <w:rsid w:val="18E44046"/>
    <w:rsid w:val="18E57DF3"/>
    <w:rsid w:val="18ED753C"/>
    <w:rsid w:val="18F1618D"/>
    <w:rsid w:val="18F27DB8"/>
    <w:rsid w:val="18F64875"/>
    <w:rsid w:val="18F73F5A"/>
    <w:rsid w:val="18F87421"/>
    <w:rsid w:val="18FF008B"/>
    <w:rsid w:val="18FF04F5"/>
    <w:rsid w:val="190E24E6"/>
    <w:rsid w:val="19123EA1"/>
    <w:rsid w:val="19152476"/>
    <w:rsid w:val="19153FC5"/>
    <w:rsid w:val="19217EAB"/>
    <w:rsid w:val="19245BA6"/>
    <w:rsid w:val="192C06DB"/>
    <w:rsid w:val="19353E7A"/>
    <w:rsid w:val="193957B5"/>
    <w:rsid w:val="19434C48"/>
    <w:rsid w:val="194F76F4"/>
    <w:rsid w:val="19552C5C"/>
    <w:rsid w:val="195E521C"/>
    <w:rsid w:val="1976302F"/>
    <w:rsid w:val="197D68AA"/>
    <w:rsid w:val="19831766"/>
    <w:rsid w:val="1984718C"/>
    <w:rsid w:val="1986249B"/>
    <w:rsid w:val="19A370D2"/>
    <w:rsid w:val="19AE231D"/>
    <w:rsid w:val="19AE42FB"/>
    <w:rsid w:val="19B53CED"/>
    <w:rsid w:val="19BA7A16"/>
    <w:rsid w:val="19C912C9"/>
    <w:rsid w:val="19D55F23"/>
    <w:rsid w:val="19D948AE"/>
    <w:rsid w:val="19DC097F"/>
    <w:rsid w:val="19EF621A"/>
    <w:rsid w:val="19F92B3C"/>
    <w:rsid w:val="1A0140F2"/>
    <w:rsid w:val="1A1A55E6"/>
    <w:rsid w:val="1A305DF1"/>
    <w:rsid w:val="1A34170F"/>
    <w:rsid w:val="1A404921"/>
    <w:rsid w:val="1A4204BA"/>
    <w:rsid w:val="1A5A30AE"/>
    <w:rsid w:val="1A61301A"/>
    <w:rsid w:val="1A66082C"/>
    <w:rsid w:val="1A6802CD"/>
    <w:rsid w:val="1A6B0790"/>
    <w:rsid w:val="1A7B3BAB"/>
    <w:rsid w:val="1A8359D7"/>
    <w:rsid w:val="1AAE2D47"/>
    <w:rsid w:val="1AB339DA"/>
    <w:rsid w:val="1AB570BD"/>
    <w:rsid w:val="1AB77AB2"/>
    <w:rsid w:val="1ABA103D"/>
    <w:rsid w:val="1AC02C88"/>
    <w:rsid w:val="1AC8397F"/>
    <w:rsid w:val="1ACF03B6"/>
    <w:rsid w:val="1AF4690A"/>
    <w:rsid w:val="1AF51754"/>
    <w:rsid w:val="1AFA6F25"/>
    <w:rsid w:val="1B1576F2"/>
    <w:rsid w:val="1B183E30"/>
    <w:rsid w:val="1B1A60C3"/>
    <w:rsid w:val="1B1E02B3"/>
    <w:rsid w:val="1B2110EE"/>
    <w:rsid w:val="1B223AC6"/>
    <w:rsid w:val="1B3B02E8"/>
    <w:rsid w:val="1B495016"/>
    <w:rsid w:val="1B4B06D5"/>
    <w:rsid w:val="1B4E2445"/>
    <w:rsid w:val="1B4E7385"/>
    <w:rsid w:val="1B5258B8"/>
    <w:rsid w:val="1B5F12B0"/>
    <w:rsid w:val="1B66700E"/>
    <w:rsid w:val="1B682AB0"/>
    <w:rsid w:val="1B6D68AA"/>
    <w:rsid w:val="1B6F31B5"/>
    <w:rsid w:val="1B6F54BE"/>
    <w:rsid w:val="1B7A1F02"/>
    <w:rsid w:val="1B7B2139"/>
    <w:rsid w:val="1B803B6F"/>
    <w:rsid w:val="1B804FC2"/>
    <w:rsid w:val="1B830F69"/>
    <w:rsid w:val="1B850683"/>
    <w:rsid w:val="1B9238A2"/>
    <w:rsid w:val="1B935440"/>
    <w:rsid w:val="1B9356E7"/>
    <w:rsid w:val="1B947D65"/>
    <w:rsid w:val="1BA062F2"/>
    <w:rsid w:val="1BA71E9F"/>
    <w:rsid w:val="1BB67591"/>
    <w:rsid w:val="1BB86A74"/>
    <w:rsid w:val="1BBE3F90"/>
    <w:rsid w:val="1BC42485"/>
    <w:rsid w:val="1BC51573"/>
    <w:rsid w:val="1BC577D4"/>
    <w:rsid w:val="1BC64A2C"/>
    <w:rsid w:val="1BC8223E"/>
    <w:rsid w:val="1BC945CA"/>
    <w:rsid w:val="1BCE7E5F"/>
    <w:rsid w:val="1BD6378F"/>
    <w:rsid w:val="1BD91F3A"/>
    <w:rsid w:val="1BE11690"/>
    <w:rsid w:val="1BE8391F"/>
    <w:rsid w:val="1BEE7EDE"/>
    <w:rsid w:val="1BF53C86"/>
    <w:rsid w:val="1BF81957"/>
    <w:rsid w:val="1BFF1464"/>
    <w:rsid w:val="1C003E87"/>
    <w:rsid w:val="1C044F8C"/>
    <w:rsid w:val="1C0F6CA1"/>
    <w:rsid w:val="1C1D01E8"/>
    <w:rsid w:val="1C1F1430"/>
    <w:rsid w:val="1C2020CE"/>
    <w:rsid w:val="1C346983"/>
    <w:rsid w:val="1C3B5CE8"/>
    <w:rsid w:val="1C4A2720"/>
    <w:rsid w:val="1C4A4261"/>
    <w:rsid w:val="1C4B0774"/>
    <w:rsid w:val="1C523486"/>
    <w:rsid w:val="1C5B7E95"/>
    <w:rsid w:val="1C5F1767"/>
    <w:rsid w:val="1C5F19D6"/>
    <w:rsid w:val="1C5F2F6F"/>
    <w:rsid w:val="1C630DF5"/>
    <w:rsid w:val="1C6E0635"/>
    <w:rsid w:val="1C6E7E6B"/>
    <w:rsid w:val="1C7404DD"/>
    <w:rsid w:val="1C7F43C4"/>
    <w:rsid w:val="1C871EC2"/>
    <w:rsid w:val="1C933906"/>
    <w:rsid w:val="1C9578B3"/>
    <w:rsid w:val="1C9E518C"/>
    <w:rsid w:val="1CA05B4B"/>
    <w:rsid w:val="1CA5788E"/>
    <w:rsid w:val="1CCA3132"/>
    <w:rsid w:val="1CCB2BC8"/>
    <w:rsid w:val="1CCD4C3D"/>
    <w:rsid w:val="1CD4275A"/>
    <w:rsid w:val="1CE36A44"/>
    <w:rsid w:val="1CEB1357"/>
    <w:rsid w:val="1CED49B6"/>
    <w:rsid w:val="1CEE1EC2"/>
    <w:rsid w:val="1CFA7622"/>
    <w:rsid w:val="1CFB6A91"/>
    <w:rsid w:val="1CFE13A0"/>
    <w:rsid w:val="1D03651C"/>
    <w:rsid w:val="1D0366CB"/>
    <w:rsid w:val="1D0B577E"/>
    <w:rsid w:val="1D154B05"/>
    <w:rsid w:val="1D160C39"/>
    <w:rsid w:val="1D180CC8"/>
    <w:rsid w:val="1D2261D9"/>
    <w:rsid w:val="1D2F0764"/>
    <w:rsid w:val="1D35632E"/>
    <w:rsid w:val="1D3A5502"/>
    <w:rsid w:val="1D3C5B02"/>
    <w:rsid w:val="1D3C6722"/>
    <w:rsid w:val="1D4271E5"/>
    <w:rsid w:val="1D4C5C49"/>
    <w:rsid w:val="1D524E9D"/>
    <w:rsid w:val="1D547061"/>
    <w:rsid w:val="1D5F3046"/>
    <w:rsid w:val="1D62125C"/>
    <w:rsid w:val="1D81772B"/>
    <w:rsid w:val="1D890EAA"/>
    <w:rsid w:val="1D8A1904"/>
    <w:rsid w:val="1D8D2573"/>
    <w:rsid w:val="1D8E3BB5"/>
    <w:rsid w:val="1D9717B2"/>
    <w:rsid w:val="1D9D4AC7"/>
    <w:rsid w:val="1D9D6A05"/>
    <w:rsid w:val="1D9E652E"/>
    <w:rsid w:val="1DA37A7C"/>
    <w:rsid w:val="1DA72180"/>
    <w:rsid w:val="1DA75288"/>
    <w:rsid w:val="1DA75B38"/>
    <w:rsid w:val="1DAD4C57"/>
    <w:rsid w:val="1DB775F0"/>
    <w:rsid w:val="1DB974C3"/>
    <w:rsid w:val="1DC706CC"/>
    <w:rsid w:val="1DD41F50"/>
    <w:rsid w:val="1DD92CCB"/>
    <w:rsid w:val="1DDD7FA7"/>
    <w:rsid w:val="1DE6690D"/>
    <w:rsid w:val="1DEE62FA"/>
    <w:rsid w:val="1DEF0C2E"/>
    <w:rsid w:val="1DF24184"/>
    <w:rsid w:val="1E0A0512"/>
    <w:rsid w:val="1E0A3BC4"/>
    <w:rsid w:val="1E0F5AA0"/>
    <w:rsid w:val="1E1C4361"/>
    <w:rsid w:val="1E290A22"/>
    <w:rsid w:val="1E2D727C"/>
    <w:rsid w:val="1E397CAA"/>
    <w:rsid w:val="1E4B4345"/>
    <w:rsid w:val="1E4F414F"/>
    <w:rsid w:val="1E504C86"/>
    <w:rsid w:val="1E5C618C"/>
    <w:rsid w:val="1E696B3C"/>
    <w:rsid w:val="1E7674A7"/>
    <w:rsid w:val="1E8079E2"/>
    <w:rsid w:val="1E807ED5"/>
    <w:rsid w:val="1E960FB4"/>
    <w:rsid w:val="1E961F34"/>
    <w:rsid w:val="1EA61B20"/>
    <w:rsid w:val="1EAD7AC4"/>
    <w:rsid w:val="1EB016B0"/>
    <w:rsid w:val="1EC93DFC"/>
    <w:rsid w:val="1EDD10DD"/>
    <w:rsid w:val="1F00324B"/>
    <w:rsid w:val="1F0060A6"/>
    <w:rsid w:val="1F026649"/>
    <w:rsid w:val="1F027C66"/>
    <w:rsid w:val="1F101D9A"/>
    <w:rsid w:val="1F2D0873"/>
    <w:rsid w:val="1F325180"/>
    <w:rsid w:val="1F3F4819"/>
    <w:rsid w:val="1F4E62F9"/>
    <w:rsid w:val="1F5A1296"/>
    <w:rsid w:val="1F5C233E"/>
    <w:rsid w:val="1F607F28"/>
    <w:rsid w:val="1F632B74"/>
    <w:rsid w:val="1F65724C"/>
    <w:rsid w:val="1F6E6D87"/>
    <w:rsid w:val="1F753975"/>
    <w:rsid w:val="1F7B2708"/>
    <w:rsid w:val="1F7F1BF4"/>
    <w:rsid w:val="1F880A4A"/>
    <w:rsid w:val="1F971D20"/>
    <w:rsid w:val="1F9B1A79"/>
    <w:rsid w:val="1F9E45C4"/>
    <w:rsid w:val="1F9F1BD7"/>
    <w:rsid w:val="1FA112BB"/>
    <w:rsid w:val="1FA531FC"/>
    <w:rsid w:val="1FAA29CD"/>
    <w:rsid w:val="1FB35111"/>
    <w:rsid w:val="1FDE406D"/>
    <w:rsid w:val="1FDF1459"/>
    <w:rsid w:val="1FE31B61"/>
    <w:rsid w:val="1FE940D0"/>
    <w:rsid w:val="1FF3774C"/>
    <w:rsid w:val="1FF656DD"/>
    <w:rsid w:val="1FF810CE"/>
    <w:rsid w:val="1FFD3BFC"/>
    <w:rsid w:val="200B59E8"/>
    <w:rsid w:val="200D1749"/>
    <w:rsid w:val="200E5A2B"/>
    <w:rsid w:val="20107A93"/>
    <w:rsid w:val="202418AB"/>
    <w:rsid w:val="202F6B53"/>
    <w:rsid w:val="204032EB"/>
    <w:rsid w:val="2044297A"/>
    <w:rsid w:val="20451B28"/>
    <w:rsid w:val="20545056"/>
    <w:rsid w:val="20702AC6"/>
    <w:rsid w:val="20717F2A"/>
    <w:rsid w:val="2079293B"/>
    <w:rsid w:val="2081019C"/>
    <w:rsid w:val="208C2876"/>
    <w:rsid w:val="20943216"/>
    <w:rsid w:val="20984A73"/>
    <w:rsid w:val="20A36C18"/>
    <w:rsid w:val="20A50DCE"/>
    <w:rsid w:val="20AE2068"/>
    <w:rsid w:val="20B57229"/>
    <w:rsid w:val="20B96BBD"/>
    <w:rsid w:val="20BC402E"/>
    <w:rsid w:val="20BD21FA"/>
    <w:rsid w:val="20C472D5"/>
    <w:rsid w:val="20C81787"/>
    <w:rsid w:val="20D73D3B"/>
    <w:rsid w:val="20DA76F6"/>
    <w:rsid w:val="20DB6956"/>
    <w:rsid w:val="20E26732"/>
    <w:rsid w:val="20E32425"/>
    <w:rsid w:val="20E431D4"/>
    <w:rsid w:val="20F07B93"/>
    <w:rsid w:val="2102791E"/>
    <w:rsid w:val="21182154"/>
    <w:rsid w:val="2126371B"/>
    <w:rsid w:val="2140336B"/>
    <w:rsid w:val="2146478D"/>
    <w:rsid w:val="21543ADE"/>
    <w:rsid w:val="2155070D"/>
    <w:rsid w:val="2155142E"/>
    <w:rsid w:val="21664758"/>
    <w:rsid w:val="217961F5"/>
    <w:rsid w:val="217E07FB"/>
    <w:rsid w:val="21944E86"/>
    <w:rsid w:val="21985C44"/>
    <w:rsid w:val="21A06873"/>
    <w:rsid w:val="21A555BC"/>
    <w:rsid w:val="21A97814"/>
    <w:rsid w:val="21AF34EB"/>
    <w:rsid w:val="21B722E0"/>
    <w:rsid w:val="21E238C4"/>
    <w:rsid w:val="21E709C6"/>
    <w:rsid w:val="21E91797"/>
    <w:rsid w:val="21E949A2"/>
    <w:rsid w:val="21ED1832"/>
    <w:rsid w:val="21F00AE7"/>
    <w:rsid w:val="21F07FFB"/>
    <w:rsid w:val="21F50621"/>
    <w:rsid w:val="21F86DDB"/>
    <w:rsid w:val="21FC3824"/>
    <w:rsid w:val="21FC7CC7"/>
    <w:rsid w:val="21FE57EE"/>
    <w:rsid w:val="22023526"/>
    <w:rsid w:val="220F5A62"/>
    <w:rsid w:val="2210107D"/>
    <w:rsid w:val="22124583"/>
    <w:rsid w:val="2215536B"/>
    <w:rsid w:val="221B1C4F"/>
    <w:rsid w:val="22207F97"/>
    <w:rsid w:val="222B5EB7"/>
    <w:rsid w:val="222F59A7"/>
    <w:rsid w:val="224327C2"/>
    <w:rsid w:val="22484DCB"/>
    <w:rsid w:val="226118D9"/>
    <w:rsid w:val="22627713"/>
    <w:rsid w:val="226348D8"/>
    <w:rsid w:val="228172C3"/>
    <w:rsid w:val="228524AF"/>
    <w:rsid w:val="22861B8C"/>
    <w:rsid w:val="22A160DC"/>
    <w:rsid w:val="22AD1114"/>
    <w:rsid w:val="22AF1C20"/>
    <w:rsid w:val="22B376B0"/>
    <w:rsid w:val="22BE6D2B"/>
    <w:rsid w:val="22C5455D"/>
    <w:rsid w:val="22CA137B"/>
    <w:rsid w:val="22CA6707"/>
    <w:rsid w:val="22D627C4"/>
    <w:rsid w:val="22DB3732"/>
    <w:rsid w:val="22DB5708"/>
    <w:rsid w:val="22DF7AFF"/>
    <w:rsid w:val="22ED3463"/>
    <w:rsid w:val="22F70A06"/>
    <w:rsid w:val="22F7787C"/>
    <w:rsid w:val="22FD2B0F"/>
    <w:rsid w:val="23001BC6"/>
    <w:rsid w:val="23040897"/>
    <w:rsid w:val="23046E34"/>
    <w:rsid w:val="23064D98"/>
    <w:rsid w:val="230E1A60"/>
    <w:rsid w:val="23201794"/>
    <w:rsid w:val="232474D6"/>
    <w:rsid w:val="23292E0F"/>
    <w:rsid w:val="232D63B5"/>
    <w:rsid w:val="23325DC7"/>
    <w:rsid w:val="233E6178"/>
    <w:rsid w:val="23441626"/>
    <w:rsid w:val="234453AB"/>
    <w:rsid w:val="234611FA"/>
    <w:rsid w:val="234A0BB8"/>
    <w:rsid w:val="234C078E"/>
    <w:rsid w:val="234C3850"/>
    <w:rsid w:val="234F5DB0"/>
    <w:rsid w:val="23647A51"/>
    <w:rsid w:val="238C2377"/>
    <w:rsid w:val="23906366"/>
    <w:rsid w:val="2398757C"/>
    <w:rsid w:val="23996B76"/>
    <w:rsid w:val="239A46F7"/>
    <w:rsid w:val="23A13D5D"/>
    <w:rsid w:val="23A203FB"/>
    <w:rsid w:val="23A309EE"/>
    <w:rsid w:val="23BA2A2E"/>
    <w:rsid w:val="23C67FFB"/>
    <w:rsid w:val="23C81303"/>
    <w:rsid w:val="23CB6784"/>
    <w:rsid w:val="23D85092"/>
    <w:rsid w:val="23DE6CB4"/>
    <w:rsid w:val="23E12CF0"/>
    <w:rsid w:val="23E520FA"/>
    <w:rsid w:val="23F85433"/>
    <w:rsid w:val="24055D71"/>
    <w:rsid w:val="240A1048"/>
    <w:rsid w:val="241B7716"/>
    <w:rsid w:val="242274FE"/>
    <w:rsid w:val="242C31D7"/>
    <w:rsid w:val="243323DA"/>
    <w:rsid w:val="2447091F"/>
    <w:rsid w:val="244B7EF9"/>
    <w:rsid w:val="24512335"/>
    <w:rsid w:val="245253C9"/>
    <w:rsid w:val="24585E4F"/>
    <w:rsid w:val="245B1B40"/>
    <w:rsid w:val="24613E12"/>
    <w:rsid w:val="24626B94"/>
    <w:rsid w:val="24683E4B"/>
    <w:rsid w:val="246C3D73"/>
    <w:rsid w:val="247321DC"/>
    <w:rsid w:val="24760B1D"/>
    <w:rsid w:val="247933CF"/>
    <w:rsid w:val="247F6022"/>
    <w:rsid w:val="248C07DA"/>
    <w:rsid w:val="2494530F"/>
    <w:rsid w:val="249E7511"/>
    <w:rsid w:val="24A72AD6"/>
    <w:rsid w:val="24AC4319"/>
    <w:rsid w:val="24AD6816"/>
    <w:rsid w:val="24B70DAF"/>
    <w:rsid w:val="24BD0677"/>
    <w:rsid w:val="24DF2E54"/>
    <w:rsid w:val="24DF428C"/>
    <w:rsid w:val="24E6790E"/>
    <w:rsid w:val="24EE5CA4"/>
    <w:rsid w:val="24FA2B69"/>
    <w:rsid w:val="24FE3442"/>
    <w:rsid w:val="250550E5"/>
    <w:rsid w:val="2513357B"/>
    <w:rsid w:val="25233FE1"/>
    <w:rsid w:val="252A0C71"/>
    <w:rsid w:val="252F38D0"/>
    <w:rsid w:val="253255BF"/>
    <w:rsid w:val="254F4B56"/>
    <w:rsid w:val="25543E54"/>
    <w:rsid w:val="2556094D"/>
    <w:rsid w:val="256043D1"/>
    <w:rsid w:val="256066B1"/>
    <w:rsid w:val="256516E0"/>
    <w:rsid w:val="2568016B"/>
    <w:rsid w:val="256819A2"/>
    <w:rsid w:val="2569608D"/>
    <w:rsid w:val="256A3DA1"/>
    <w:rsid w:val="25781227"/>
    <w:rsid w:val="257A0E7D"/>
    <w:rsid w:val="258150C4"/>
    <w:rsid w:val="25924003"/>
    <w:rsid w:val="259C425D"/>
    <w:rsid w:val="25AD43EA"/>
    <w:rsid w:val="25B97D6F"/>
    <w:rsid w:val="25C47954"/>
    <w:rsid w:val="25C554DB"/>
    <w:rsid w:val="25D074A1"/>
    <w:rsid w:val="25D86F93"/>
    <w:rsid w:val="25DE1BBE"/>
    <w:rsid w:val="25E21DCF"/>
    <w:rsid w:val="25EE7AEC"/>
    <w:rsid w:val="260E5C0A"/>
    <w:rsid w:val="26106001"/>
    <w:rsid w:val="26150691"/>
    <w:rsid w:val="2624778F"/>
    <w:rsid w:val="262E45C5"/>
    <w:rsid w:val="263317DE"/>
    <w:rsid w:val="264617D0"/>
    <w:rsid w:val="264D464E"/>
    <w:rsid w:val="2650413E"/>
    <w:rsid w:val="26513C07"/>
    <w:rsid w:val="26562A62"/>
    <w:rsid w:val="265F0B36"/>
    <w:rsid w:val="26675B0F"/>
    <w:rsid w:val="26723EA0"/>
    <w:rsid w:val="26796174"/>
    <w:rsid w:val="267A5B45"/>
    <w:rsid w:val="267C5B6D"/>
    <w:rsid w:val="26971D6D"/>
    <w:rsid w:val="26A20F2A"/>
    <w:rsid w:val="26A537CA"/>
    <w:rsid w:val="26AD333E"/>
    <w:rsid w:val="26B00BC4"/>
    <w:rsid w:val="26D104A3"/>
    <w:rsid w:val="26DB0820"/>
    <w:rsid w:val="26E32467"/>
    <w:rsid w:val="26F1147D"/>
    <w:rsid w:val="26F22B2A"/>
    <w:rsid w:val="26FE7307"/>
    <w:rsid w:val="27067B58"/>
    <w:rsid w:val="27091E04"/>
    <w:rsid w:val="270F24F9"/>
    <w:rsid w:val="27114EF8"/>
    <w:rsid w:val="27135F57"/>
    <w:rsid w:val="27157D3C"/>
    <w:rsid w:val="272120C5"/>
    <w:rsid w:val="272A364F"/>
    <w:rsid w:val="272F128B"/>
    <w:rsid w:val="273F4B07"/>
    <w:rsid w:val="274D058E"/>
    <w:rsid w:val="274F021E"/>
    <w:rsid w:val="27527F2B"/>
    <w:rsid w:val="27533EE6"/>
    <w:rsid w:val="27595274"/>
    <w:rsid w:val="27637EA1"/>
    <w:rsid w:val="27686B38"/>
    <w:rsid w:val="276E338B"/>
    <w:rsid w:val="27742D22"/>
    <w:rsid w:val="278176C0"/>
    <w:rsid w:val="27935F76"/>
    <w:rsid w:val="27AB4A51"/>
    <w:rsid w:val="27AB63AD"/>
    <w:rsid w:val="27C013C0"/>
    <w:rsid w:val="27C163CB"/>
    <w:rsid w:val="27DC62BB"/>
    <w:rsid w:val="27E1561F"/>
    <w:rsid w:val="27F71A89"/>
    <w:rsid w:val="280D35C0"/>
    <w:rsid w:val="28171C9B"/>
    <w:rsid w:val="281954D5"/>
    <w:rsid w:val="281B6188"/>
    <w:rsid w:val="28315FEF"/>
    <w:rsid w:val="28322986"/>
    <w:rsid w:val="28326D0D"/>
    <w:rsid w:val="283838D0"/>
    <w:rsid w:val="2839100A"/>
    <w:rsid w:val="283A348C"/>
    <w:rsid w:val="284657F9"/>
    <w:rsid w:val="284A532E"/>
    <w:rsid w:val="28515617"/>
    <w:rsid w:val="285521F2"/>
    <w:rsid w:val="28684059"/>
    <w:rsid w:val="286D7168"/>
    <w:rsid w:val="287527EF"/>
    <w:rsid w:val="287A4275"/>
    <w:rsid w:val="2885118A"/>
    <w:rsid w:val="28877DBF"/>
    <w:rsid w:val="289376A0"/>
    <w:rsid w:val="289F315B"/>
    <w:rsid w:val="28A44A3B"/>
    <w:rsid w:val="28A70DA1"/>
    <w:rsid w:val="28BF139A"/>
    <w:rsid w:val="28C62A82"/>
    <w:rsid w:val="28D238E0"/>
    <w:rsid w:val="28D3187F"/>
    <w:rsid w:val="28DE49BE"/>
    <w:rsid w:val="28E135D0"/>
    <w:rsid w:val="28E6274A"/>
    <w:rsid w:val="28EA00D2"/>
    <w:rsid w:val="28FA0189"/>
    <w:rsid w:val="29054D77"/>
    <w:rsid w:val="290A4AF4"/>
    <w:rsid w:val="291F6256"/>
    <w:rsid w:val="29204D09"/>
    <w:rsid w:val="2923740C"/>
    <w:rsid w:val="29281E31"/>
    <w:rsid w:val="292B0227"/>
    <w:rsid w:val="292B5554"/>
    <w:rsid w:val="29303D71"/>
    <w:rsid w:val="29373EA8"/>
    <w:rsid w:val="29486C2A"/>
    <w:rsid w:val="294A1C32"/>
    <w:rsid w:val="294D55CE"/>
    <w:rsid w:val="29581C87"/>
    <w:rsid w:val="295D05BA"/>
    <w:rsid w:val="295F6966"/>
    <w:rsid w:val="297C235A"/>
    <w:rsid w:val="298067EE"/>
    <w:rsid w:val="29824F56"/>
    <w:rsid w:val="29897F64"/>
    <w:rsid w:val="298B4997"/>
    <w:rsid w:val="298E56A9"/>
    <w:rsid w:val="29906AA3"/>
    <w:rsid w:val="299A404E"/>
    <w:rsid w:val="299C0ED5"/>
    <w:rsid w:val="29A058F9"/>
    <w:rsid w:val="29A273A6"/>
    <w:rsid w:val="29B063FC"/>
    <w:rsid w:val="29C6253B"/>
    <w:rsid w:val="29C73EC4"/>
    <w:rsid w:val="29CC2775"/>
    <w:rsid w:val="29CF2AC9"/>
    <w:rsid w:val="29D166C5"/>
    <w:rsid w:val="29D20853"/>
    <w:rsid w:val="29D3125E"/>
    <w:rsid w:val="29D63543"/>
    <w:rsid w:val="29E11C7D"/>
    <w:rsid w:val="29E42DEE"/>
    <w:rsid w:val="29E8753A"/>
    <w:rsid w:val="29FA2BAC"/>
    <w:rsid w:val="29FE00BA"/>
    <w:rsid w:val="2A0A0B98"/>
    <w:rsid w:val="2A0F7D49"/>
    <w:rsid w:val="2A1439A6"/>
    <w:rsid w:val="2A195946"/>
    <w:rsid w:val="2A2D713F"/>
    <w:rsid w:val="2A342D58"/>
    <w:rsid w:val="2A374FDC"/>
    <w:rsid w:val="2A441F51"/>
    <w:rsid w:val="2A457B60"/>
    <w:rsid w:val="2A475858"/>
    <w:rsid w:val="2A4F5E45"/>
    <w:rsid w:val="2A5532D8"/>
    <w:rsid w:val="2A595CD9"/>
    <w:rsid w:val="2A5C2A99"/>
    <w:rsid w:val="2A61765F"/>
    <w:rsid w:val="2A682472"/>
    <w:rsid w:val="2A6D7F8A"/>
    <w:rsid w:val="2A76113D"/>
    <w:rsid w:val="2A830F86"/>
    <w:rsid w:val="2A84005F"/>
    <w:rsid w:val="2A99123F"/>
    <w:rsid w:val="2A9A2D78"/>
    <w:rsid w:val="2AA42033"/>
    <w:rsid w:val="2AAD06A4"/>
    <w:rsid w:val="2AB41378"/>
    <w:rsid w:val="2ABA2988"/>
    <w:rsid w:val="2ABB7161"/>
    <w:rsid w:val="2ACA0963"/>
    <w:rsid w:val="2ACA7EA3"/>
    <w:rsid w:val="2ACB664C"/>
    <w:rsid w:val="2AD908DC"/>
    <w:rsid w:val="2AE02790"/>
    <w:rsid w:val="2AEF6B46"/>
    <w:rsid w:val="2B042C4B"/>
    <w:rsid w:val="2B094ABC"/>
    <w:rsid w:val="2B0C2412"/>
    <w:rsid w:val="2B1513FA"/>
    <w:rsid w:val="2B175BE8"/>
    <w:rsid w:val="2B1D4155"/>
    <w:rsid w:val="2B300169"/>
    <w:rsid w:val="2B3F4BC7"/>
    <w:rsid w:val="2B493190"/>
    <w:rsid w:val="2B566E96"/>
    <w:rsid w:val="2B575B2D"/>
    <w:rsid w:val="2B577D1D"/>
    <w:rsid w:val="2B593532"/>
    <w:rsid w:val="2B5D038D"/>
    <w:rsid w:val="2B6D4A45"/>
    <w:rsid w:val="2B6F5486"/>
    <w:rsid w:val="2B733021"/>
    <w:rsid w:val="2B74258E"/>
    <w:rsid w:val="2B7A0F40"/>
    <w:rsid w:val="2B7E7E07"/>
    <w:rsid w:val="2B807273"/>
    <w:rsid w:val="2B875D8A"/>
    <w:rsid w:val="2B892BE5"/>
    <w:rsid w:val="2B8B26FB"/>
    <w:rsid w:val="2B916AFD"/>
    <w:rsid w:val="2B937D0B"/>
    <w:rsid w:val="2B946C1B"/>
    <w:rsid w:val="2B9B72C3"/>
    <w:rsid w:val="2BBA2A37"/>
    <w:rsid w:val="2BCC56F4"/>
    <w:rsid w:val="2BCE2725"/>
    <w:rsid w:val="2BD17D71"/>
    <w:rsid w:val="2BD31D7E"/>
    <w:rsid w:val="2BDF2388"/>
    <w:rsid w:val="2BEC6F8C"/>
    <w:rsid w:val="2BF627ED"/>
    <w:rsid w:val="2BFA5278"/>
    <w:rsid w:val="2BFD7B9F"/>
    <w:rsid w:val="2C0053B3"/>
    <w:rsid w:val="2C180DA7"/>
    <w:rsid w:val="2C2220D9"/>
    <w:rsid w:val="2C2A031B"/>
    <w:rsid w:val="2C4A407F"/>
    <w:rsid w:val="2C4B16A7"/>
    <w:rsid w:val="2C4E54E4"/>
    <w:rsid w:val="2C506C46"/>
    <w:rsid w:val="2C6F788B"/>
    <w:rsid w:val="2C732454"/>
    <w:rsid w:val="2C736DD8"/>
    <w:rsid w:val="2C7A0167"/>
    <w:rsid w:val="2C810DA6"/>
    <w:rsid w:val="2C9A5D28"/>
    <w:rsid w:val="2C9B081F"/>
    <w:rsid w:val="2C9D424C"/>
    <w:rsid w:val="2C9E20A7"/>
    <w:rsid w:val="2CB700FD"/>
    <w:rsid w:val="2CBC78DB"/>
    <w:rsid w:val="2CC02579"/>
    <w:rsid w:val="2CCE5D94"/>
    <w:rsid w:val="2CD569F8"/>
    <w:rsid w:val="2CD56F0E"/>
    <w:rsid w:val="2CDE35EF"/>
    <w:rsid w:val="2CE71D07"/>
    <w:rsid w:val="2CED049B"/>
    <w:rsid w:val="2CF0667B"/>
    <w:rsid w:val="2CF21E72"/>
    <w:rsid w:val="2CF34BD3"/>
    <w:rsid w:val="2CFC491E"/>
    <w:rsid w:val="2D0143E4"/>
    <w:rsid w:val="2D095047"/>
    <w:rsid w:val="2D110B8B"/>
    <w:rsid w:val="2D122F7A"/>
    <w:rsid w:val="2D1C2FCC"/>
    <w:rsid w:val="2D26241B"/>
    <w:rsid w:val="2D297637"/>
    <w:rsid w:val="2D360531"/>
    <w:rsid w:val="2D397430"/>
    <w:rsid w:val="2D410C84"/>
    <w:rsid w:val="2D432B3B"/>
    <w:rsid w:val="2D476AD0"/>
    <w:rsid w:val="2D572256"/>
    <w:rsid w:val="2D5C190B"/>
    <w:rsid w:val="2D746964"/>
    <w:rsid w:val="2D7C5178"/>
    <w:rsid w:val="2D825525"/>
    <w:rsid w:val="2D84290E"/>
    <w:rsid w:val="2D885D8D"/>
    <w:rsid w:val="2D8B45F1"/>
    <w:rsid w:val="2D8C7B49"/>
    <w:rsid w:val="2D92328E"/>
    <w:rsid w:val="2D9D4FB1"/>
    <w:rsid w:val="2DA15382"/>
    <w:rsid w:val="2DB471F7"/>
    <w:rsid w:val="2DB6004C"/>
    <w:rsid w:val="2DBA7933"/>
    <w:rsid w:val="2DBF292B"/>
    <w:rsid w:val="2DCB09C9"/>
    <w:rsid w:val="2DCC0B34"/>
    <w:rsid w:val="2DCD2D18"/>
    <w:rsid w:val="2DDA202E"/>
    <w:rsid w:val="2DDD43CD"/>
    <w:rsid w:val="2DDE78FA"/>
    <w:rsid w:val="2DE2696A"/>
    <w:rsid w:val="2DE45169"/>
    <w:rsid w:val="2DED0C9E"/>
    <w:rsid w:val="2DED40A0"/>
    <w:rsid w:val="2DF301D1"/>
    <w:rsid w:val="2DF50E15"/>
    <w:rsid w:val="2DFA58FB"/>
    <w:rsid w:val="2DFA5A47"/>
    <w:rsid w:val="2E0152C0"/>
    <w:rsid w:val="2E09718F"/>
    <w:rsid w:val="2E0C751B"/>
    <w:rsid w:val="2E165C6D"/>
    <w:rsid w:val="2E1E180F"/>
    <w:rsid w:val="2E1E4B22"/>
    <w:rsid w:val="2E283041"/>
    <w:rsid w:val="2E3305CD"/>
    <w:rsid w:val="2E3C5498"/>
    <w:rsid w:val="2E3E09CC"/>
    <w:rsid w:val="2E4211F7"/>
    <w:rsid w:val="2E474078"/>
    <w:rsid w:val="2E494468"/>
    <w:rsid w:val="2E4B6099"/>
    <w:rsid w:val="2E513B8C"/>
    <w:rsid w:val="2E515E5D"/>
    <w:rsid w:val="2E580034"/>
    <w:rsid w:val="2E60513A"/>
    <w:rsid w:val="2E6743DA"/>
    <w:rsid w:val="2E682BC3"/>
    <w:rsid w:val="2E8A57EA"/>
    <w:rsid w:val="2E96407A"/>
    <w:rsid w:val="2E9F30AB"/>
    <w:rsid w:val="2EA9303D"/>
    <w:rsid w:val="2EB55486"/>
    <w:rsid w:val="2EBB04A4"/>
    <w:rsid w:val="2EBF64C7"/>
    <w:rsid w:val="2ED51684"/>
    <w:rsid w:val="2EDA5196"/>
    <w:rsid w:val="2F0252C3"/>
    <w:rsid w:val="2F0471A6"/>
    <w:rsid w:val="2F0549F7"/>
    <w:rsid w:val="2F1B31E2"/>
    <w:rsid w:val="2F1C3023"/>
    <w:rsid w:val="2F207022"/>
    <w:rsid w:val="2F243E4A"/>
    <w:rsid w:val="2F2D7A6F"/>
    <w:rsid w:val="2F3A3BDD"/>
    <w:rsid w:val="2F481FB7"/>
    <w:rsid w:val="2F50268B"/>
    <w:rsid w:val="2F716A0B"/>
    <w:rsid w:val="2F754C15"/>
    <w:rsid w:val="2F7D3EB9"/>
    <w:rsid w:val="2F8B66A9"/>
    <w:rsid w:val="2F9E5BC9"/>
    <w:rsid w:val="2FAA48BF"/>
    <w:rsid w:val="2FAB0D34"/>
    <w:rsid w:val="2FB161EF"/>
    <w:rsid w:val="2FC9418B"/>
    <w:rsid w:val="2FCA419D"/>
    <w:rsid w:val="2FD04FDD"/>
    <w:rsid w:val="2FDD1AF8"/>
    <w:rsid w:val="2FE0216F"/>
    <w:rsid w:val="2FE65FB3"/>
    <w:rsid w:val="2FE778C1"/>
    <w:rsid w:val="2FEB5CCB"/>
    <w:rsid w:val="2FF26266"/>
    <w:rsid w:val="2FF47F96"/>
    <w:rsid w:val="30174481"/>
    <w:rsid w:val="301F52AD"/>
    <w:rsid w:val="30310AC6"/>
    <w:rsid w:val="30316D8E"/>
    <w:rsid w:val="30394B17"/>
    <w:rsid w:val="303D5733"/>
    <w:rsid w:val="30411425"/>
    <w:rsid w:val="30607FC1"/>
    <w:rsid w:val="306A5008"/>
    <w:rsid w:val="306D72D1"/>
    <w:rsid w:val="30717293"/>
    <w:rsid w:val="308208E4"/>
    <w:rsid w:val="308928A2"/>
    <w:rsid w:val="309A2164"/>
    <w:rsid w:val="309D4424"/>
    <w:rsid w:val="309E3BD0"/>
    <w:rsid w:val="30A72054"/>
    <w:rsid w:val="30AF71C3"/>
    <w:rsid w:val="30B15D0F"/>
    <w:rsid w:val="30BD51A1"/>
    <w:rsid w:val="30C929ED"/>
    <w:rsid w:val="30E77F9D"/>
    <w:rsid w:val="30ED762C"/>
    <w:rsid w:val="30EF71A3"/>
    <w:rsid w:val="30F322BB"/>
    <w:rsid w:val="30F47954"/>
    <w:rsid w:val="30F77898"/>
    <w:rsid w:val="30FC7E81"/>
    <w:rsid w:val="30FD3759"/>
    <w:rsid w:val="3116183D"/>
    <w:rsid w:val="3133616F"/>
    <w:rsid w:val="313708CB"/>
    <w:rsid w:val="313F0659"/>
    <w:rsid w:val="3149507E"/>
    <w:rsid w:val="314B289F"/>
    <w:rsid w:val="31505B04"/>
    <w:rsid w:val="315110FF"/>
    <w:rsid w:val="31635533"/>
    <w:rsid w:val="316B0275"/>
    <w:rsid w:val="317F1D7B"/>
    <w:rsid w:val="31992E3D"/>
    <w:rsid w:val="319A0FA9"/>
    <w:rsid w:val="31AD3FD5"/>
    <w:rsid w:val="31AF08B2"/>
    <w:rsid w:val="31B52479"/>
    <w:rsid w:val="31B808DE"/>
    <w:rsid w:val="31C74876"/>
    <w:rsid w:val="31C81BEA"/>
    <w:rsid w:val="31E45646"/>
    <w:rsid w:val="31EF538F"/>
    <w:rsid w:val="31F161E8"/>
    <w:rsid w:val="31F86909"/>
    <w:rsid w:val="3204001F"/>
    <w:rsid w:val="320E382B"/>
    <w:rsid w:val="321B43C1"/>
    <w:rsid w:val="3221762A"/>
    <w:rsid w:val="32266CE9"/>
    <w:rsid w:val="322C41BF"/>
    <w:rsid w:val="32384404"/>
    <w:rsid w:val="323B31F2"/>
    <w:rsid w:val="323B6E74"/>
    <w:rsid w:val="3245022F"/>
    <w:rsid w:val="325407A8"/>
    <w:rsid w:val="325805D1"/>
    <w:rsid w:val="326F0F99"/>
    <w:rsid w:val="326F4EDE"/>
    <w:rsid w:val="32736892"/>
    <w:rsid w:val="32882261"/>
    <w:rsid w:val="328B0694"/>
    <w:rsid w:val="32915F7A"/>
    <w:rsid w:val="32927883"/>
    <w:rsid w:val="329B58F6"/>
    <w:rsid w:val="329C1497"/>
    <w:rsid w:val="32A95302"/>
    <w:rsid w:val="32AA2E28"/>
    <w:rsid w:val="32B25BB9"/>
    <w:rsid w:val="32B73290"/>
    <w:rsid w:val="32B929B6"/>
    <w:rsid w:val="32C9761B"/>
    <w:rsid w:val="32CC35EB"/>
    <w:rsid w:val="32D52389"/>
    <w:rsid w:val="32D547D4"/>
    <w:rsid w:val="32D944F0"/>
    <w:rsid w:val="32FC61E1"/>
    <w:rsid w:val="32FD3609"/>
    <w:rsid w:val="32FF31EC"/>
    <w:rsid w:val="330021BC"/>
    <w:rsid w:val="33075690"/>
    <w:rsid w:val="331C63CE"/>
    <w:rsid w:val="33266952"/>
    <w:rsid w:val="332D1000"/>
    <w:rsid w:val="33343825"/>
    <w:rsid w:val="333776CE"/>
    <w:rsid w:val="333D4E88"/>
    <w:rsid w:val="333F17C2"/>
    <w:rsid w:val="334547F1"/>
    <w:rsid w:val="334E53DA"/>
    <w:rsid w:val="33541711"/>
    <w:rsid w:val="335E60EC"/>
    <w:rsid w:val="3361499F"/>
    <w:rsid w:val="33644686"/>
    <w:rsid w:val="336E70C8"/>
    <w:rsid w:val="337627D2"/>
    <w:rsid w:val="337A6632"/>
    <w:rsid w:val="337F15E8"/>
    <w:rsid w:val="338B31ED"/>
    <w:rsid w:val="338B4AD3"/>
    <w:rsid w:val="33921BC0"/>
    <w:rsid w:val="339C6C14"/>
    <w:rsid w:val="33A33296"/>
    <w:rsid w:val="33A51E80"/>
    <w:rsid w:val="33AA7583"/>
    <w:rsid w:val="33AD6C96"/>
    <w:rsid w:val="33B90639"/>
    <w:rsid w:val="33C233BE"/>
    <w:rsid w:val="33D13FB2"/>
    <w:rsid w:val="33DE4BF8"/>
    <w:rsid w:val="33EC726F"/>
    <w:rsid w:val="3400768D"/>
    <w:rsid w:val="34076784"/>
    <w:rsid w:val="340A6E6B"/>
    <w:rsid w:val="341151BD"/>
    <w:rsid w:val="34134629"/>
    <w:rsid w:val="34195C3A"/>
    <w:rsid w:val="34296AC4"/>
    <w:rsid w:val="342E4F5F"/>
    <w:rsid w:val="34324E22"/>
    <w:rsid w:val="34326657"/>
    <w:rsid w:val="3439667C"/>
    <w:rsid w:val="343F0242"/>
    <w:rsid w:val="344828F8"/>
    <w:rsid w:val="344A5DC4"/>
    <w:rsid w:val="345F68B3"/>
    <w:rsid w:val="34676765"/>
    <w:rsid w:val="346911EC"/>
    <w:rsid w:val="346A286F"/>
    <w:rsid w:val="347B4A7C"/>
    <w:rsid w:val="348150D1"/>
    <w:rsid w:val="34882C0C"/>
    <w:rsid w:val="348F5B5A"/>
    <w:rsid w:val="3497452C"/>
    <w:rsid w:val="34A43FD3"/>
    <w:rsid w:val="34B80A41"/>
    <w:rsid w:val="34BC0FB4"/>
    <w:rsid w:val="34C30A6A"/>
    <w:rsid w:val="34D26A82"/>
    <w:rsid w:val="34DB3B5A"/>
    <w:rsid w:val="34DB551B"/>
    <w:rsid w:val="34DF14CA"/>
    <w:rsid w:val="34E6186B"/>
    <w:rsid w:val="34FA0BAE"/>
    <w:rsid w:val="34FE7F1E"/>
    <w:rsid w:val="34FF7C85"/>
    <w:rsid w:val="3500231B"/>
    <w:rsid w:val="351048E2"/>
    <w:rsid w:val="352933E4"/>
    <w:rsid w:val="35297AA9"/>
    <w:rsid w:val="35363C19"/>
    <w:rsid w:val="355C07B7"/>
    <w:rsid w:val="355C3F2E"/>
    <w:rsid w:val="357B7915"/>
    <w:rsid w:val="35876F78"/>
    <w:rsid w:val="359066E3"/>
    <w:rsid w:val="35923C64"/>
    <w:rsid w:val="359C114E"/>
    <w:rsid w:val="35A32598"/>
    <w:rsid w:val="35A72E86"/>
    <w:rsid w:val="35B050F3"/>
    <w:rsid w:val="35B115D6"/>
    <w:rsid w:val="35BA3C35"/>
    <w:rsid w:val="35BC534C"/>
    <w:rsid w:val="35C66238"/>
    <w:rsid w:val="35C8669A"/>
    <w:rsid w:val="35DE3514"/>
    <w:rsid w:val="36036E7A"/>
    <w:rsid w:val="360653D2"/>
    <w:rsid w:val="360B507A"/>
    <w:rsid w:val="360E26F9"/>
    <w:rsid w:val="3615402A"/>
    <w:rsid w:val="362142F2"/>
    <w:rsid w:val="36251143"/>
    <w:rsid w:val="36263A0A"/>
    <w:rsid w:val="36387311"/>
    <w:rsid w:val="363E145A"/>
    <w:rsid w:val="36403DAB"/>
    <w:rsid w:val="36456854"/>
    <w:rsid w:val="364C4922"/>
    <w:rsid w:val="36536868"/>
    <w:rsid w:val="365C17EF"/>
    <w:rsid w:val="36647B6A"/>
    <w:rsid w:val="366B73EF"/>
    <w:rsid w:val="36706145"/>
    <w:rsid w:val="3677757E"/>
    <w:rsid w:val="36780B29"/>
    <w:rsid w:val="36782A6C"/>
    <w:rsid w:val="367F2B49"/>
    <w:rsid w:val="368C5E8A"/>
    <w:rsid w:val="36957F44"/>
    <w:rsid w:val="36992836"/>
    <w:rsid w:val="369F0B5D"/>
    <w:rsid w:val="36A364F8"/>
    <w:rsid w:val="36A7361B"/>
    <w:rsid w:val="36B14785"/>
    <w:rsid w:val="36C6325E"/>
    <w:rsid w:val="36C84394"/>
    <w:rsid w:val="36CB3FDD"/>
    <w:rsid w:val="36D36A99"/>
    <w:rsid w:val="36D90C49"/>
    <w:rsid w:val="36E051C8"/>
    <w:rsid w:val="36ED4864"/>
    <w:rsid w:val="36EE7CFB"/>
    <w:rsid w:val="36EF0F2D"/>
    <w:rsid w:val="36F01431"/>
    <w:rsid w:val="36F50E42"/>
    <w:rsid w:val="3700025F"/>
    <w:rsid w:val="37050116"/>
    <w:rsid w:val="371117FA"/>
    <w:rsid w:val="3718335F"/>
    <w:rsid w:val="371B4788"/>
    <w:rsid w:val="372907BF"/>
    <w:rsid w:val="372A4127"/>
    <w:rsid w:val="37320280"/>
    <w:rsid w:val="37326EEB"/>
    <w:rsid w:val="3744308C"/>
    <w:rsid w:val="374570C7"/>
    <w:rsid w:val="37695060"/>
    <w:rsid w:val="376C30BD"/>
    <w:rsid w:val="376D6E03"/>
    <w:rsid w:val="37746706"/>
    <w:rsid w:val="37782F69"/>
    <w:rsid w:val="37917A5F"/>
    <w:rsid w:val="379573ED"/>
    <w:rsid w:val="379824DC"/>
    <w:rsid w:val="379B6D89"/>
    <w:rsid w:val="37A031FF"/>
    <w:rsid w:val="37C55DB3"/>
    <w:rsid w:val="37C70626"/>
    <w:rsid w:val="37C807DC"/>
    <w:rsid w:val="37E03A2E"/>
    <w:rsid w:val="37E47612"/>
    <w:rsid w:val="37E5763E"/>
    <w:rsid w:val="37F05781"/>
    <w:rsid w:val="37F61F2B"/>
    <w:rsid w:val="38181392"/>
    <w:rsid w:val="381B7B00"/>
    <w:rsid w:val="382B5918"/>
    <w:rsid w:val="38360444"/>
    <w:rsid w:val="384400B7"/>
    <w:rsid w:val="386E194C"/>
    <w:rsid w:val="387176DE"/>
    <w:rsid w:val="38773E38"/>
    <w:rsid w:val="387A404E"/>
    <w:rsid w:val="387C10DD"/>
    <w:rsid w:val="387E4B3B"/>
    <w:rsid w:val="388C0EE2"/>
    <w:rsid w:val="388C2AD1"/>
    <w:rsid w:val="389256EC"/>
    <w:rsid w:val="389D1425"/>
    <w:rsid w:val="38AD1877"/>
    <w:rsid w:val="38B8586B"/>
    <w:rsid w:val="38BB7FBA"/>
    <w:rsid w:val="38C4515E"/>
    <w:rsid w:val="38C645A8"/>
    <w:rsid w:val="38C91B45"/>
    <w:rsid w:val="38CD632C"/>
    <w:rsid w:val="38D22BD9"/>
    <w:rsid w:val="38E8094E"/>
    <w:rsid w:val="38EE3475"/>
    <w:rsid w:val="390115E5"/>
    <w:rsid w:val="39061FC9"/>
    <w:rsid w:val="390908A8"/>
    <w:rsid w:val="391D398A"/>
    <w:rsid w:val="39292CF8"/>
    <w:rsid w:val="392A23D5"/>
    <w:rsid w:val="393E3E02"/>
    <w:rsid w:val="394352CB"/>
    <w:rsid w:val="39487705"/>
    <w:rsid w:val="394F3DB5"/>
    <w:rsid w:val="396401D4"/>
    <w:rsid w:val="39646937"/>
    <w:rsid w:val="39656BCE"/>
    <w:rsid w:val="397441FE"/>
    <w:rsid w:val="397A51E4"/>
    <w:rsid w:val="398919E9"/>
    <w:rsid w:val="39A37A0B"/>
    <w:rsid w:val="39A90ACA"/>
    <w:rsid w:val="39A94770"/>
    <w:rsid w:val="39AE5709"/>
    <w:rsid w:val="39BE2E36"/>
    <w:rsid w:val="39C6186A"/>
    <w:rsid w:val="39CA63A2"/>
    <w:rsid w:val="39CF7C66"/>
    <w:rsid w:val="39D744AE"/>
    <w:rsid w:val="39EE4B34"/>
    <w:rsid w:val="39F27411"/>
    <w:rsid w:val="3A086DB2"/>
    <w:rsid w:val="3A0D4436"/>
    <w:rsid w:val="3A171CAF"/>
    <w:rsid w:val="3A1E5D66"/>
    <w:rsid w:val="3A2B2C06"/>
    <w:rsid w:val="3A2C6054"/>
    <w:rsid w:val="3A341B6F"/>
    <w:rsid w:val="3A352A89"/>
    <w:rsid w:val="3A4B7713"/>
    <w:rsid w:val="3A544B2E"/>
    <w:rsid w:val="3A5D0A9A"/>
    <w:rsid w:val="3A653412"/>
    <w:rsid w:val="3A695377"/>
    <w:rsid w:val="3A6D415A"/>
    <w:rsid w:val="3A810EF5"/>
    <w:rsid w:val="3A857EF4"/>
    <w:rsid w:val="3A8B0992"/>
    <w:rsid w:val="3A960861"/>
    <w:rsid w:val="3A976011"/>
    <w:rsid w:val="3AB550C4"/>
    <w:rsid w:val="3ABE7171"/>
    <w:rsid w:val="3AC03628"/>
    <w:rsid w:val="3AC52013"/>
    <w:rsid w:val="3ACE7FFB"/>
    <w:rsid w:val="3AD5581C"/>
    <w:rsid w:val="3ADC4013"/>
    <w:rsid w:val="3AEA3531"/>
    <w:rsid w:val="3AF752BC"/>
    <w:rsid w:val="3AFB7D8B"/>
    <w:rsid w:val="3B0F57CA"/>
    <w:rsid w:val="3B17724F"/>
    <w:rsid w:val="3B1B7788"/>
    <w:rsid w:val="3B201ED9"/>
    <w:rsid w:val="3B2A71FC"/>
    <w:rsid w:val="3B2C2C1F"/>
    <w:rsid w:val="3B344BF6"/>
    <w:rsid w:val="3B5034FA"/>
    <w:rsid w:val="3B5D3B8B"/>
    <w:rsid w:val="3B6C511E"/>
    <w:rsid w:val="3B6F4C0F"/>
    <w:rsid w:val="3B725C5F"/>
    <w:rsid w:val="3B747193"/>
    <w:rsid w:val="3B8F5AE0"/>
    <w:rsid w:val="3BA82D35"/>
    <w:rsid w:val="3BAE5737"/>
    <w:rsid w:val="3BBD1811"/>
    <w:rsid w:val="3BBE3544"/>
    <w:rsid w:val="3BC30508"/>
    <w:rsid w:val="3BC8415A"/>
    <w:rsid w:val="3BDB72BC"/>
    <w:rsid w:val="3BE94B73"/>
    <w:rsid w:val="3BEB7106"/>
    <w:rsid w:val="3BF6196D"/>
    <w:rsid w:val="3BF65E71"/>
    <w:rsid w:val="3BFD784B"/>
    <w:rsid w:val="3BFE31C3"/>
    <w:rsid w:val="3C04456A"/>
    <w:rsid w:val="3C0A743B"/>
    <w:rsid w:val="3C11396C"/>
    <w:rsid w:val="3C3B69B0"/>
    <w:rsid w:val="3C3E6D3A"/>
    <w:rsid w:val="3C483C60"/>
    <w:rsid w:val="3C591A4F"/>
    <w:rsid w:val="3C657A57"/>
    <w:rsid w:val="3C6D11C1"/>
    <w:rsid w:val="3C725E47"/>
    <w:rsid w:val="3C796F3F"/>
    <w:rsid w:val="3C7A6D0C"/>
    <w:rsid w:val="3C812E4B"/>
    <w:rsid w:val="3C9100A3"/>
    <w:rsid w:val="3C942B7F"/>
    <w:rsid w:val="3C9D6804"/>
    <w:rsid w:val="3CA07CCF"/>
    <w:rsid w:val="3CA239FF"/>
    <w:rsid w:val="3CB046D6"/>
    <w:rsid w:val="3CB274A9"/>
    <w:rsid w:val="3CCB3678"/>
    <w:rsid w:val="3CCD770B"/>
    <w:rsid w:val="3CD87510"/>
    <w:rsid w:val="3CD92C87"/>
    <w:rsid w:val="3CDB2AD7"/>
    <w:rsid w:val="3CDE7D53"/>
    <w:rsid w:val="3CE41B7F"/>
    <w:rsid w:val="3CE5522A"/>
    <w:rsid w:val="3CF0707D"/>
    <w:rsid w:val="3CF81D16"/>
    <w:rsid w:val="3D054698"/>
    <w:rsid w:val="3D082B6B"/>
    <w:rsid w:val="3D0B3B78"/>
    <w:rsid w:val="3D0E4DFF"/>
    <w:rsid w:val="3D121CF5"/>
    <w:rsid w:val="3D151305"/>
    <w:rsid w:val="3D1532F1"/>
    <w:rsid w:val="3D1F095D"/>
    <w:rsid w:val="3D235CB1"/>
    <w:rsid w:val="3D272681"/>
    <w:rsid w:val="3D2832C7"/>
    <w:rsid w:val="3D2A2410"/>
    <w:rsid w:val="3D336FE3"/>
    <w:rsid w:val="3D351D69"/>
    <w:rsid w:val="3D417B8C"/>
    <w:rsid w:val="3D4740D5"/>
    <w:rsid w:val="3D487A02"/>
    <w:rsid w:val="3D54038B"/>
    <w:rsid w:val="3D5447F2"/>
    <w:rsid w:val="3D564642"/>
    <w:rsid w:val="3D58031A"/>
    <w:rsid w:val="3D5A0234"/>
    <w:rsid w:val="3D98669F"/>
    <w:rsid w:val="3DA06B01"/>
    <w:rsid w:val="3DB01D4E"/>
    <w:rsid w:val="3DB723ED"/>
    <w:rsid w:val="3DC45B43"/>
    <w:rsid w:val="3DD00315"/>
    <w:rsid w:val="3DD55AE5"/>
    <w:rsid w:val="3DE32AA3"/>
    <w:rsid w:val="3DEC051B"/>
    <w:rsid w:val="3DFE05B3"/>
    <w:rsid w:val="3E184538"/>
    <w:rsid w:val="3E1B1989"/>
    <w:rsid w:val="3E1C6AD3"/>
    <w:rsid w:val="3E257587"/>
    <w:rsid w:val="3E263F68"/>
    <w:rsid w:val="3E281D66"/>
    <w:rsid w:val="3E2E7003"/>
    <w:rsid w:val="3E3041EB"/>
    <w:rsid w:val="3E325F22"/>
    <w:rsid w:val="3E3474BF"/>
    <w:rsid w:val="3E456555"/>
    <w:rsid w:val="3E531D00"/>
    <w:rsid w:val="3E5C642F"/>
    <w:rsid w:val="3E7B63C7"/>
    <w:rsid w:val="3E817BFB"/>
    <w:rsid w:val="3E863F9F"/>
    <w:rsid w:val="3E8A6ECD"/>
    <w:rsid w:val="3EA40DC9"/>
    <w:rsid w:val="3EA979C9"/>
    <w:rsid w:val="3EB047E1"/>
    <w:rsid w:val="3EB27DBB"/>
    <w:rsid w:val="3EC13C43"/>
    <w:rsid w:val="3ECB6600"/>
    <w:rsid w:val="3EDE6833"/>
    <w:rsid w:val="3EE020AB"/>
    <w:rsid w:val="3EE02C55"/>
    <w:rsid w:val="3EEB27FE"/>
    <w:rsid w:val="3EF370DF"/>
    <w:rsid w:val="3EFF7257"/>
    <w:rsid w:val="3F0065C3"/>
    <w:rsid w:val="3F042EE2"/>
    <w:rsid w:val="3F0F473E"/>
    <w:rsid w:val="3F172878"/>
    <w:rsid w:val="3F2C2719"/>
    <w:rsid w:val="3F2F7BA5"/>
    <w:rsid w:val="3F3248B7"/>
    <w:rsid w:val="3F350B9C"/>
    <w:rsid w:val="3F6820A1"/>
    <w:rsid w:val="3F827606"/>
    <w:rsid w:val="3F852C53"/>
    <w:rsid w:val="3F8A166A"/>
    <w:rsid w:val="3F8F3BFF"/>
    <w:rsid w:val="3F944784"/>
    <w:rsid w:val="3F9F6F85"/>
    <w:rsid w:val="3FBB6988"/>
    <w:rsid w:val="3FCE4F6C"/>
    <w:rsid w:val="3FCF3ECE"/>
    <w:rsid w:val="3FD15ABD"/>
    <w:rsid w:val="3FD6525C"/>
    <w:rsid w:val="3FE36488"/>
    <w:rsid w:val="3FF14BB2"/>
    <w:rsid w:val="40060826"/>
    <w:rsid w:val="400C6EB1"/>
    <w:rsid w:val="400D5C27"/>
    <w:rsid w:val="400E7381"/>
    <w:rsid w:val="40170B97"/>
    <w:rsid w:val="40197335"/>
    <w:rsid w:val="402C1320"/>
    <w:rsid w:val="402E7B95"/>
    <w:rsid w:val="4034565F"/>
    <w:rsid w:val="404B697A"/>
    <w:rsid w:val="404E6B36"/>
    <w:rsid w:val="40510421"/>
    <w:rsid w:val="405747C2"/>
    <w:rsid w:val="40715A1F"/>
    <w:rsid w:val="40777AE3"/>
    <w:rsid w:val="407C536B"/>
    <w:rsid w:val="407E480C"/>
    <w:rsid w:val="407F573F"/>
    <w:rsid w:val="40A17CBF"/>
    <w:rsid w:val="40A214AF"/>
    <w:rsid w:val="40A60FB3"/>
    <w:rsid w:val="40A62E81"/>
    <w:rsid w:val="40A76E87"/>
    <w:rsid w:val="40A84E8F"/>
    <w:rsid w:val="40B57026"/>
    <w:rsid w:val="40B834F7"/>
    <w:rsid w:val="40B94D77"/>
    <w:rsid w:val="40C00167"/>
    <w:rsid w:val="40C06B9D"/>
    <w:rsid w:val="40C36120"/>
    <w:rsid w:val="40C42EEA"/>
    <w:rsid w:val="40CF11AB"/>
    <w:rsid w:val="40D223B1"/>
    <w:rsid w:val="40D54732"/>
    <w:rsid w:val="40D550A4"/>
    <w:rsid w:val="40D70572"/>
    <w:rsid w:val="40D8628E"/>
    <w:rsid w:val="40E47E2B"/>
    <w:rsid w:val="40E57C7C"/>
    <w:rsid w:val="40E87C4F"/>
    <w:rsid w:val="40EF2A79"/>
    <w:rsid w:val="40F2256A"/>
    <w:rsid w:val="410148C9"/>
    <w:rsid w:val="4105404B"/>
    <w:rsid w:val="410F4ECA"/>
    <w:rsid w:val="41120516"/>
    <w:rsid w:val="41214F1C"/>
    <w:rsid w:val="412419A6"/>
    <w:rsid w:val="412A36D8"/>
    <w:rsid w:val="413D3C14"/>
    <w:rsid w:val="41475193"/>
    <w:rsid w:val="416658BC"/>
    <w:rsid w:val="41741B70"/>
    <w:rsid w:val="41742398"/>
    <w:rsid w:val="417C4D58"/>
    <w:rsid w:val="418331C2"/>
    <w:rsid w:val="41872CB2"/>
    <w:rsid w:val="41874A60"/>
    <w:rsid w:val="419B4C36"/>
    <w:rsid w:val="419C135A"/>
    <w:rsid w:val="41A75293"/>
    <w:rsid w:val="41A945C9"/>
    <w:rsid w:val="41AA4248"/>
    <w:rsid w:val="41BA3087"/>
    <w:rsid w:val="41BF069E"/>
    <w:rsid w:val="41CA2021"/>
    <w:rsid w:val="41CA257F"/>
    <w:rsid w:val="41DA1958"/>
    <w:rsid w:val="41DB4DAC"/>
    <w:rsid w:val="41E716FD"/>
    <w:rsid w:val="41EE46FF"/>
    <w:rsid w:val="41F746DF"/>
    <w:rsid w:val="41FD2F74"/>
    <w:rsid w:val="41FF1CC8"/>
    <w:rsid w:val="42046B62"/>
    <w:rsid w:val="420E40C6"/>
    <w:rsid w:val="421017E7"/>
    <w:rsid w:val="421C6B4A"/>
    <w:rsid w:val="421E0012"/>
    <w:rsid w:val="42283FBB"/>
    <w:rsid w:val="42374D92"/>
    <w:rsid w:val="423D15C3"/>
    <w:rsid w:val="42410F54"/>
    <w:rsid w:val="424D043D"/>
    <w:rsid w:val="426B67E5"/>
    <w:rsid w:val="426C5527"/>
    <w:rsid w:val="42711530"/>
    <w:rsid w:val="427768D5"/>
    <w:rsid w:val="427B3A64"/>
    <w:rsid w:val="427B439F"/>
    <w:rsid w:val="42807AEE"/>
    <w:rsid w:val="428112DC"/>
    <w:rsid w:val="42844D1D"/>
    <w:rsid w:val="428C4E0B"/>
    <w:rsid w:val="42961F4E"/>
    <w:rsid w:val="42964F95"/>
    <w:rsid w:val="42A67168"/>
    <w:rsid w:val="42A81839"/>
    <w:rsid w:val="42A819AB"/>
    <w:rsid w:val="42C10F00"/>
    <w:rsid w:val="42E45AFD"/>
    <w:rsid w:val="42E67EAC"/>
    <w:rsid w:val="42F476CA"/>
    <w:rsid w:val="42FA234D"/>
    <w:rsid w:val="42FD44B2"/>
    <w:rsid w:val="430004C4"/>
    <w:rsid w:val="430B11B4"/>
    <w:rsid w:val="430B7913"/>
    <w:rsid w:val="43195B8C"/>
    <w:rsid w:val="431E221F"/>
    <w:rsid w:val="431F46B7"/>
    <w:rsid w:val="432018CD"/>
    <w:rsid w:val="432D0F92"/>
    <w:rsid w:val="4333227F"/>
    <w:rsid w:val="4338699F"/>
    <w:rsid w:val="43397FDC"/>
    <w:rsid w:val="433C0D81"/>
    <w:rsid w:val="43421E41"/>
    <w:rsid w:val="434C5699"/>
    <w:rsid w:val="43512A44"/>
    <w:rsid w:val="435C016E"/>
    <w:rsid w:val="43646737"/>
    <w:rsid w:val="43697F71"/>
    <w:rsid w:val="436F73AA"/>
    <w:rsid w:val="437F257F"/>
    <w:rsid w:val="43830625"/>
    <w:rsid w:val="43841009"/>
    <w:rsid w:val="43866F99"/>
    <w:rsid w:val="43894AFF"/>
    <w:rsid w:val="438B4A93"/>
    <w:rsid w:val="43923AD7"/>
    <w:rsid w:val="4392593E"/>
    <w:rsid w:val="43926381"/>
    <w:rsid w:val="43952466"/>
    <w:rsid w:val="439B0016"/>
    <w:rsid w:val="43A077EB"/>
    <w:rsid w:val="43A63197"/>
    <w:rsid w:val="43AC7BEE"/>
    <w:rsid w:val="43B835F7"/>
    <w:rsid w:val="43BC6F03"/>
    <w:rsid w:val="43C81D36"/>
    <w:rsid w:val="43CA50D8"/>
    <w:rsid w:val="43CA722C"/>
    <w:rsid w:val="43D54AF5"/>
    <w:rsid w:val="43D65259"/>
    <w:rsid w:val="43E20674"/>
    <w:rsid w:val="43E970AA"/>
    <w:rsid w:val="43EF628A"/>
    <w:rsid w:val="43F21EA9"/>
    <w:rsid w:val="43FA3D47"/>
    <w:rsid w:val="44001A0D"/>
    <w:rsid w:val="440A4DD0"/>
    <w:rsid w:val="4429023D"/>
    <w:rsid w:val="4440539A"/>
    <w:rsid w:val="44494A6D"/>
    <w:rsid w:val="444A7FC7"/>
    <w:rsid w:val="444C3841"/>
    <w:rsid w:val="445235DD"/>
    <w:rsid w:val="44532FCD"/>
    <w:rsid w:val="445676AA"/>
    <w:rsid w:val="44627A06"/>
    <w:rsid w:val="446C43E1"/>
    <w:rsid w:val="446E27E8"/>
    <w:rsid w:val="447629EB"/>
    <w:rsid w:val="44767252"/>
    <w:rsid w:val="447A7F72"/>
    <w:rsid w:val="448E0C96"/>
    <w:rsid w:val="44915D4D"/>
    <w:rsid w:val="44934A6B"/>
    <w:rsid w:val="44991B18"/>
    <w:rsid w:val="44A169BE"/>
    <w:rsid w:val="44AC17AC"/>
    <w:rsid w:val="44B02520"/>
    <w:rsid w:val="44B61D87"/>
    <w:rsid w:val="44B65158"/>
    <w:rsid w:val="44CC3219"/>
    <w:rsid w:val="44CC770C"/>
    <w:rsid w:val="44CE379F"/>
    <w:rsid w:val="44DB71A7"/>
    <w:rsid w:val="44E710C3"/>
    <w:rsid w:val="45011C02"/>
    <w:rsid w:val="451669A4"/>
    <w:rsid w:val="45195521"/>
    <w:rsid w:val="451F2C01"/>
    <w:rsid w:val="451F2F53"/>
    <w:rsid w:val="45205B0D"/>
    <w:rsid w:val="45280308"/>
    <w:rsid w:val="453273D9"/>
    <w:rsid w:val="4533216E"/>
    <w:rsid w:val="45335540"/>
    <w:rsid w:val="45434BB9"/>
    <w:rsid w:val="454C2B49"/>
    <w:rsid w:val="454F3145"/>
    <w:rsid w:val="454F78C2"/>
    <w:rsid w:val="454F7F8B"/>
    <w:rsid w:val="455A4328"/>
    <w:rsid w:val="455C6204"/>
    <w:rsid w:val="457265A9"/>
    <w:rsid w:val="457E2246"/>
    <w:rsid w:val="457E617A"/>
    <w:rsid w:val="457F1EF2"/>
    <w:rsid w:val="45800144"/>
    <w:rsid w:val="4588524B"/>
    <w:rsid w:val="458B6AE9"/>
    <w:rsid w:val="458E35C9"/>
    <w:rsid w:val="45912351"/>
    <w:rsid w:val="45A63B54"/>
    <w:rsid w:val="45AA6F2D"/>
    <w:rsid w:val="45AE4774"/>
    <w:rsid w:val="45B023CF"/>
    <w:rsid w:val="45BE33B6"/>
    <w:rsid w:val="45C779A4"/>
    <w:rsid w:val="45E340B6"/>
    <w:rsid w:val="45E915B3"/>
    <w:rsid w:val="45EF46D3"/>
    <w:rsid w:val="45F258A1"/>
    <w:rsid w:val="46127F94"/>
    <w:rsid w:val="46146223"/>
    <w:rsid w:val="46262AB3"/>
    <w:rsid w:val="46401D05"/>
    <w:rsid w:val="464078D3"/>
    <w:rsid w:val="464B5830"/>
    <w:rsid w:val="464C6FCF"/>
    <w:rsid w:val="46513E6D"/>
    <w:rsid w:val="46551E05"/>
    <w:rsid w:val="465E5F87"/>
    <w:rsid w:val="4670048C"/>
    <w:rsid w:val="4679192E"/>
    <w:rsid w:val="467B090B"/>
    <w:rsid w:val="468A3DC6"/>
    <w:rsid w:val="46933EA7"/>
    <w:rsid w:val="469730DC"/>
    <w:rsid w:val="46986EF9"/>
    <w:rsid w:val="469F3D6C"/>
    <w:rsid w:val="46A461CC"/>
    <w:rsid w:val="46BE6427"/>
    <w:rsid w:val="46BF6603"/>
    <w:rsid w:val="46CE32F1"/>
    <w:rsid w:val="46D70238"/>
    <w:rsid w:val="46EF533B"/>
    <w:rsid w:val="46F83414"/>
    <w:rsid w:val="46FC7D4A"/>
    <w:rsid w:val="47046B53"/>
    <w:rsid w:val="47094169"/>
    <w:rsid w:val="470E352E"/>
    <w:rsid w:val="471D45C2"/>
    <w:rsid w:val="471F573B"/>
    <w:rsid w:val="472B386C"/>
    <w:rsid w:val="472D6E53"/>
    <w:rsid w:val="47320147"/>
    <w:rsid w:val="47325232"/>
    <w:rsid w:val="47381007"/>
    <w:rsid w:val="473F0F89"/>
    <w:rsid w:val="47414C84"/>
    <w:rsid w:val="47471372"/>
    <w:rsid w:val="47572747"/>
    <w:rsid w:val="4759273F"/>
    <w:rsid w:val="475A1F42"/>
    <w:rsid w:val="475E0E50"/>
    <w:rsid w:val="475E6A27"/>
    <w:rsid w:val="47685334"/>
    <w:rsid w:val="47723ABC"/>
    <w:rsid w:val="47727F60"/>
    <w:rsid w:val="47740B00"/>
    <w:rsid w:val="47881532"/>
    <w:rsid w:val="47A85E8D"/>
    <w:rsid w:val="47B907B3"/>
    <w:rsid w:val="47BA16A6"/>
    <w:rsid w:val="47BD117D"/>
    <w:rsid w:val="47BF1CD6"/>
    <w:rsid w:val="47C2782E"/>
    <w:rsid w:val="47C71F24"/>
    <w:rsid w:val="47C84024"/>
    <w:rsid w:val="47DB311B"/>
    <w:rsid w:val="47E07B93"/>
    <w:rsid w:val="47E31E7A"/>
    <w:rsid w:val="47ED06D7"/>
    <w:rsid w:val="47EE0CFA"/>
    <w:rsid w:val="48010D65"/>
    <w:rsid w:val="48016463"/>
    <w:rsid w:val="48093521"/>
    <w:rsid w:val="481674F3"/>
    <w:rsid w:val="481A07F7"/>
    <w:rsid w:val="483764D4"/>
    <w:rsid w:val="483B7231"/>
    <w:rsid w:val="484D3A9E"/>
    <w:rsid w:val="484F16C0"/>
    <w:rsid w:val="48575ED8"/>
    <w:rsid w:val="48590B99"/>
    <w:rsid w:val="48694F55"/>
    <w:rsid w:val="486F5990"/>
    <w:rsid w:val="48816270"/>
    <w:rsid w:val="488A2F17"/>
    <w:rsid w:val="48992B1F"/>
    <w:rsid w:val="489D73E1"/>
    <w:rsid w:val="489F0882"/>
    <w:rsid w:val="48A02251"/>
    <w:rsid w:val="48A13125"/>
    <w:rsid w:val="48B0186F"/>
    <w:rsid w:val="48B03908"/>
    <w:rsid w:val="48B43D48"/>
    <w:rsid w:val="48B54B95"/>
    <w:rsid w:val="48C864C3"/>
    <w:rsid w:val="48C920F7"/>
    <w:rsid w:val="48D6125E"/>
    <w:rsid w:val="48DB6A8F"/>
    <w:rsid w:val="48DD68F7"/>
    <w:rsid w:val="48DE4DA9"/>
    <w:rsid w:val="48DF3CAD"/>
    <w:rsid w:val="48E40467"/>
    <w:rsid w:val="48E649AE"/>
    <w:rsid w:val="48EA3B26"/>
    <w:rsid w:val="48F77395"/>
    <w:rsid w:val="48F8610B"/>
    <w:rsid w:val="490726E9"/>
    <w:rsid w:val="492434DC"/>
    <w:rsid w:val="492734A6"/>
    <w:rsid w:val="4927761D"/>
    <w:rsid w:val="492B471A"/>
    <w:rsid w:val="492C1C87"/>
    <w:rsid w:val="493C02F2"/>
    <w:rsid w:val="494C6E4D"/>
    <w:rsid w:val="49574C7D"/>
    <w:rsid w:val="49575350"/>
    <w:rsid w:val="495B43A7"/>
    <w:rsid w:val="495B65B3"/>
    <w:rsid w:val="49622954"/>
    <w:rsid w:val="49706721"/>
    <w:rsid w:val="498435C9"/>
    <w:rsid w:val="498521CD"/>
    <w:rsid w:val="498B0510"/>
    <w:rsid w:val="49A22F23"/>
    <w:rsid w:val="49A32281"/>
    <w:rsid w:val="49A67B80"/>
    <w:rsid w:val="49B84339"/>
    <w:rsid w:val="49BC54C3"/>
    <w:rsid w:val="49BF6D38"/>
    <w:rsid w:val="49D043E1"/>
    <w:rsid w:val="49DB26F2"/>
    <w:rsid w:val="49E33EC9"/>
    <w:rsid w:val="49E83B12"/>
    <w:rsid w:val="49E91713"/>
    <w:rsid w:val="49EC22F3"/>
    <w:rsid w:val="49F0564D"/>
    <w:rsid w:val="49F13226"/>
    <w:rsid w:val="49F7299F"/>
    <w:rsid w:val="4A08438E"/>
    <w:rsid w:val="4A16223E"/>
    <w:rsid w:val="4A1866AD"/>
    <w:rsid w:val="4A1A40B3"/>
    <w:rsid w:val="4A2117CA"/>
    <w:rsid w:val="4A231C68"/>
    <w:rsid w:val="4A2F2CC3"/>
    <w:rsid w:val="4A4617FA"/>
    <w:rsid w:val="4A477482"/>
    <w:rsid w:val="4A49144C"/>
    <w:rsid w:val="4A4D40E5"/>
    <w:rsid w:val="4A5B5F14"/>
    <w:rsid w:val="4A5D3B81"/>
    <w:rsid w:val="4A660C1F"/>
    <w:rsid w:val="4A6F152E"/>
    <w:rsid w:val="4A804742"/>
    <w:rsid w:val="4A9445E7"/>
    <w:rsid w:val="4A9644E7"/>
    <w:rsid w:val="4A9737BD"/>
    <w:rsid w:val="4A9E2CF5"/>
    <w:rsid w:val="4AA7685B"/>
    <w:rsid w:val="4AAF2C96"/>
    <w:rsid w:val="4ABC1C3E"/>
    <w:rsid w:val="4AC22FAD"/>
    <w:rsid w:val="4AD25D50"/>
    <w:rsid w:val="4ADD30F4"/>
    <w:rsid w:val="4ADE00DA"/>
    <w:rsid w:val="4AE74104"/>
    <w:rsid w:val="4AEC1C85"/>
    <w:rsid w:val="4AF3760A"/>
    <w:rsid w:val="4AF56EDE"/>
    <w:rsid w:val="4B032C3C"/>
    <w:rsid w:val="4B1045BE"/>
    <w:rsid w:val="4B155CE7"/>
    <w:rsid w:val="4B164A27"/>
    <w:rsid w:val="4B1B1559"/>
    <w:rsid w:val="4B247725"/>
    <w:rsid w:val="4B2F1571"/>
    <w:rsid w:val="4B326DBA"/>
    <w:rsid w:val="4B366760"/>
    <w:rsid w:val="4B481704"/>
    <w:rsid w:val="4B492E21"/>
    <w:rsid w:val="4B4B7123"/>
    <w:rsid w:val="4B627EF5"/>
    <w:rsid w:val="4B735C4E"/>
    <w:rsid w:val="4B840E3F"/>
    <w:rsid w:val="4B85308D"/>
    <w:rsid w:val="4B9876AD"/>
    <w:rsid w:val="4BB13184"/>
    <w:rsid w:val="4BBC128B"/>
    <w:rsid w:val="4BC91760"/>
    <w:rsid w:val="4BDA54AB"/>
    <w:rsid w:val="4BDD2134"/>
    <w:rsid w:val="4BEB7F8B"/>
    <w:rsid w:val="4BF5235A"/>
    <w:rsid w:val="4BFF1484"/>
    <w:rsid w:val="4C016B0C"/>
    <w:rsid w:val="4C055307"/>
    <w:rsid w:val="4C0C6F03"/>
    <w:rsid w:val="4C1635B0"/>
    <w:rsid w:val="4C1659AE"/>
    <w:rsid w:val="4C247BB9"/>
    <w:rsid w:val="4C334C02"/>
    <w:rsid w:val="4C380261"/>
    <w:rsid w:val="4C43011D"/>
    <w:rsid w:val="4C4C06C5"/>
    <w:rsid w:val="4C665CD4"/>
    <w:rsid w:val="4C6726C0"/>
    <w:rsid w:val="4C74581F"/>
    <w:rsid w:val="4C7E73A7"/>
    <w:rsid w:val="4C8363B8"/>
    <w:rsid w:val="4C83676C"/>
    <w:rsid w:val="4C8966B6"/>
    <w:rsid w:val="4C89751B"/>
    <w:rsid w:val="4C8F7B74"/>
    <w:rsid w:val="4C9170DB"/>
    <w:rsid w:val="4CA4277F"/>
    <w:rsid w:val="4CAF1A5D"/>
    <w:rsid w:val="4CB22C57"/>
    <w:rsid w:val="4CB52E91"/>
    <w:rsid w:val="4CE0523E"/>
    <w:rsid w:val="4CE35903"/>
    <w:rsid w:val="4CE6271E"/>
    <w:rsid w:val="4CF00521"/>
    <w:rsid w:val="4CFC62F2"/>
    <w:rsid w:val="4D0A3851"/>
    <w:rsid w:val="4D0E19AD"/>
    <w:rsid w:val="4D1B3E0B"/>
    <w:rsid w:val="4D343D21"/>
    <w:rsid w:val="4D3F2BBF"/>
    <w:rsid w:val="4D50002A"/>
    <w:rsid w:val="4D5039A9"/>
    <w:rsid w:val="4D666E75"/>
    <w:rsid w:val="4D7619A3"/>
    <w:rsid w:val="4D972BE9"/>
    <w:rsid w:val="4D9E7409"/>
    <w:rsid w:val="4DC25072"/>
    <w:rsid w:val="4DCC4418"/>
    <w:rsid w:val="4DD21310"/>
    <w:rsid w:val="4DE10FEB"/>
    <w:rsid w:val="4DE14F25"/>
    <w:rsid w:val="4DE209B5"/>
    <w:rsid w:val="4DE411A8"/>
    <w:rsid w:val="4DEB6FE7"/>
    <w:rsid w:val="4DED0341"/>
    <w:rsid w:val="4DFC0584"/>
    <w:rsid w:val="4E086F29"/>
    <w:rsid w:val="4E0C6EBC"/>
    <w:rsid w:val="4E1840E9"/>
    <w:rsid w:val="4E316A52"/>
    <w:rsid w:val="4E4026E4"/>
    <w:rsid w:val="4E417C1F"/>
    <w:rsid w:val="4E452AF8"/>
    <w:rsid w:val="4E4C3096"/>
    <w:rsid w:val="4E5056C3"/>
    <w:rsid w:val="4E511B50"/>
    <w:rsid w:val="4E541A06"/>
    <w:rsid w:val="4E5973FF"/>
    <w:rsid w:val="4E5D560A"/>
    <w:rsid w:val="4E6C09D6"/>
    <w:rsid w:val="4E73684C"/>
    <w:rsid w:val="4E795075"/>
    <w:rsid w:val="4E7B594C"/>
    <w:rsid w:val="4E80713F"/>
    <w:rsid w:val="4E871379"/>
    <w:rsid w:val="4E87318C"/>
    <w:rsid w:val="4E893A3F"/>
    <w:rsid w:val="4E8D5893"/>
    <w:rsid w:val="4E916F1E"/>
    <w:rsid w:val="4E923408"/>
    <w:rsid w:val="4E9C3B15"/>
    <w:rsid w:val="4EB8094F"/>
    <w:rsid w:val="4EC56BC8"/>
    <w:rsid w:val="4EC85253"/>
    <w:rsid w:val="4EDF2DBD"/>
    <w:rsid w:val="4EE471C1"/>
    <w:rsid w:val="4EEB3CC6"/>
    <w:rsid w:val="4EF643A0"/>
    <w:rsid w:val="4F0C77C1"/>
    <w:rsid w:val="4F124CF6"/>
    <w:rsid w:val="4F1960AF"/>
    <w:rsid w:val="4F2F0178"/>
    <w:rsid w:val="4F31059A"/>
    <w:rsid w:val="4F4C5B58"/>
    <w:rsid w:val="4F5C2143"/>
    <w:rsid w:val="4F5C4B3F"/>
    <w:rsid w:val="4F5F71C1"/>
    <w:rsid w:val="4F634227"/>
    <w:rsid w:val="4F683EAD"/>
    <w:rsid w:val="4F6D1A37"/>
    <w:rsid w:val="4F7858C9"/>
    <w:rsid w:val="4F7B47D5"/>
    <w:rsid w:val="4F7D3946"/>
    <w:rsid w:val="4F8C1025"/>
    <w:rsid w:val="4F970FF0"/>
    <w:rsid w:val="4F9A2A11"/>
    <w:rsid w:val="4FA10436"/>
    <w:rsid w:val="4FA42C81"/>
    <w:rsid w:val="4FB325A8"/>
    <w:rsid w:val="4FC020BB"/>
    <w:rsid w:val="4FCA505B"/>
    <w:rsid w:val="4FCF0AC6"/>
    <w:rsid w:val="4FD25A40"/>
    <w:rsid w:val="4FDA389E"/>
    <w:rsid w:val="4FE06B74"/>
    <w:rsid w:val="4FE92D8A"/>
    <w:rsid w:val="4FF43C08"/>
    <w:rsid w:val="4FFB7A6D"/>
    <w:rsid w:val="50096EE7"/>
    <w:rsid w:val="500D234F"/>
    <w:rsid w:val="50180E84"/>
    <w:rsid w:val="501F67AB"/>
    <w:rsid w:val="502C4637"/>
    <w:rsid w:val="5032315D"/>
    <w:rsid w:val="50594F6C"/>
    <w:rsid w:val="506568B4"/>
    <w:rsid w:val="50697A27"/>
    <w:rsid w:val="506A3015"/>
    <w:rsid w:val="50874A7C"/>
    <w:rsid w:val="508E383B"/>
    <w:rsid w:val="509429CC"/>
    <w:rsid w:val="5095081C"/>
    <w:rsid w:val="50A02E8F"/>
    <w:rsid w:val="50A74B24"/>
    <w:rsid w:val="50DD3345"/>
    <w:rsid w:val="51003A65"/>
    <w:rsid w:val="510A2FB8"/>
    <w:rsid w:val="51186119"/>
    <w:rsid w:val="512203CD"/>
    <w:rsid w:val="51381D8D"/>
    <w:rsid w:val="513B6D80"/>
    <w:rsid w:val="51493AE0"/>
    <w:rsid w:val="514F6805"/>
    <w:rsid w:val="51524435"/>
    <w:rsid w:val="51530621"/>
    <w:rsid w:val="51581F75"/>
    <w:rsid w:val="51595E8D"/>
    <w:rsid w:val="515D67A5"/>
    <w:rsid w:val="51682229"/>
    <w:rsid w:val="516D7E12"/>
    <w:rsid w:val="51816D07"/>
    <w:rsid w:val="519A433C"/>
    <w:rsid w:val="51A205D7"/>
    <w:rsid w:val="51AB23F8"/>
    <w:rsid w:val="51AD658F"/>
    <w:rsid w:val="51AD7A26"/>
    <w:rsid w:val="51B603B2"/>
    <w:rsid w:val="51B760F6"/>
    <w:rsid w:val="51BA0A0B"/>
    <w:rsid w:val="51BF7A1D"/>
    <w:rsid w:val="51CC071C"/>
    <w:rsid w:val="51E258A5"/>
    <w:rsid w:val="51E70FFE"/>
    <w:rsid w:val="51F50072"/>
    <w:rsid w:val="520E2872"/>
    <w:rsid w:val="52121BB5"/>
    <w:rsid w:val="52211732"/>
    <w:rsid w:val="522B6553"/>
    <w:rsid w:val="522D1654"/>
    <w:rsid w:val="523B68FC"/>
    <w:rsid w:val="5246318B"/>
    <w:rsid w:val="524A01D5"/>
    <w:rsid w:val="52514A5D"/>
    <w:rsid w:val="5253047D"/>
    <w:rsid w:val="526037D7"/>
    <w:rsid w:val="528A5936"/>
    <w:rsid w:val="528E13BC"/>
    <w:rsid w:val="5295690B"/>
    <w:rsid w:val="52960475"/>
    <w:rsid w:val="529E3403"/>
    <w:rsid w:val="52A116FA"/>
    <w:rsid w:val="52A474AF"/>
    <w:rsid w:val="52A82A88"/>
    <w:rsid w:val="52AD62F0"/>
    <w:rsid w:val="52AF3E17"/>
    <w:rsid w:val="52B83BB6"/>
    <w:rsid w:val="52BE77B3"/>
    <w:rsid w:val="52C673B2"/>
    <w:rsid w:val="52C84ED8"/>
    <w:rsid w:val="52CB202D"/>
    <w:rsid w:val="52D11B08"/>
    <w:rsid w:val="52D421BB"/>
    <w:rsid w:val="52D44D77"/>
    <w:rsid w:val="52EC7319"/>
    <w:rsid w:val="52FA0C7D"/>
    <w:rsid w:val="52FD164F"/>
    <w:rsid w:val="53077E9E"/>
    <w:rsid w:val="53095C1D"/>
    <w:rsid w:val="53124247"/>
    <w:rsid w:val="53157170"/>
    <w:rsid w:val="532874B9"/>
    <w:rsid w:val="532B3DC6"/>
    <w:rsid w:val="532F2F36"/>
    <w:rsid w:val="53361FB9"/>
    <w:rsid w:val="5337748D"/>
    <w:rsid w:val="533C7840"/>
    <w:rsid w:val="534E7895"/>
    <w:rsid w:val="53541E71"/>
    <w:rsid w:val="535B4AF4"/>
    <w:rsid w:val="535E583D"/>
    <w:rsid w:val="5363753A"/>
    <w:rsid w:val="5371731E"/>
    <w:rsid w:val="538B5512"/>
    <w:rsid w:val="53957BB5"/>
    <w:rsid w:val="539D4ECB"/>
    <w:rsid w:val="539E0917"/>
    <w:rsid w:val="53A839AB"/>
    <w:rsid w:val="53AC6B4C"/>
    <w:rsid w:val="53B813F1"/>
    <w:rsid w:val="53BC2C8F"/>
    <w:rsid w:val="53C0642D"/>
    <w:rsid w:val="53C95505"/>
    <w:rsid w:val="53CB0FB2"/>
    <w:rsid w:val="53DE3680"/>
    <w:rsid w:val="53F01145"/>
    <w:rsid w:val="540528A4"/>
    <w:rsid w:val="54081426"/>
    <w:rsid w:val="540A0BB4"/>
    <w:rsid w:val="54112761"/>
    <w:rsid w:val="54190C98"/>
    <w:rsid w:val="54196837"/>
    <w:rsid w:val="541C54DC"/>
    <w:rsid w:val="5421065A"/>
    <w:rsid w:val="542341EB"/>
    <w:rsid w:val="54273E81"/>
    <w:rsid w:val="543F11CA"/>
    <w:rsid w:val="54441BEB"/>
    <w:rsid w:val="54617393"/>
    <w:rsid w:val="547D09A9"/>
    <w:rsid w:val="54815C87"/>
    <w:rsid w:val="549817D7"/>
    <w:rsid w:val="549E0B9F"/>
    <w:rsid w:val="549E2395"/>
    <w:rsid w:val="54AE612F"/>
    <w:rsid w:val="54BB051C"/>
    <w:rsid w:val="54BC3505"/>
    <w:rsid w:val="54C3004D"/>
    <w:rsid w:val="54D61DA0"/>
    <w:rsid w:val="54D6501D"/>
    <w:rsid w:val="54D658A9"/>
    <w:rsid w:val="54D6697F"/>
    <w:rsid w:val="54E2455E"/>
    <w:rsid w:val="54E9053C"/>
    <w:rsid w:val="54FC5522"/>
    <w:rsid w:val="55061965"/>
    <w:rsid w:val="551640EA"/>
    <w:rsid w:val="55401F6C"/>
    <w:rsid w:val="554342DD"/>
    <w:rsid w:val="554D2F53"/>
    <w:rsid w:val="55524F48"/>
    <w:rsid w:val="55631DF7"/>
    <w:rsid w:val="557B0928"/>
    <w:rsid w:val="558F3B4F"/>
    <w:rsid w:val="55996E5C"/>
    <w:rsid w:val="55A12E71"/>
    <w:rsid w:val="55A54BB1"/>
    <w:rsid w:val="55A73562"/>
    <w:rsid w:val="55BC4621"/>
    <w:rsid w:val="55BD443D"/>
    <w:rsid w:val="55CF1F23"/>
    <w:rsid w:val="55D13E61"/>
    <w:rsid w:val="55F667BA"/>
    <w:rsid w:val="56052137"/>
    <w:rsid w:val="560938C0"/>
    <w:rsid w:val="56195BF3"/>
    <w:rsid w:val="56245862"/>
    <w:rsid w:val="56272A7D"/>
    <w:rsid w:val="562A12A0"/>
    <w:rsid w:val="563357D9"/>
    <w:rsid w:val="5641747C"/>
    <w:rsid w:val="56502A95"/>
    <w:rsid w:val="56530F5D"/>
    <w:rsid w:val="56677FEB"/>
    <w:rsid w:val="566F6642"/>
    <w:rsid w:val="56914373"/>
    <w:rsid w:val="569A58BB"/>
    <w:rsid w:val="569E641A"/>
    <w:rsid w:val="56A235A0"/>
    <w:rsid w:val="56A72C91"/>
    <w:rsid w:val="56B15C0F"/>
    <w:rsid w:val="56B72258"/>
    <w:rsid w:val="56C2128A"/>
    <w:rsid w:val="56CA7C34"/>
    <w:rsid w:val="56D130C2"/>
    <w:rsid w:val="56D3655A"/>
    <w:rsid w:val="56DA167E"/>
    <w:rsid w:val="56E733A1"/>
    <w:rsid w:val="56E8381C"/>
    <w:rsid w:val="56EB0E21"/>
    <w:rsid w:val="56F03BE4"/>
    <w:rsid w:val="56F12916"/>
    <w:rsid w:val="56F35C8B"/>
    <w:rsid w:val="56F44AE9"/>
    <w:rsid w:val="56FF6A7B"/>
    <w:rsid w:val="570A7EBD"/>
    <w:rsid w:val="5712706A"/>
    <w:rsid w:val="571B59EB"/>
    <w:rsid w:val="572D192E"/>
    <w:rsid w:val="572D3755"/>
    <w:rsid w:val="57333597"/>
    <w:rsid w:val="573A04A7"/>
    <w:rsid w:val="573B2DF1"/>
    <w:rsid w:val="573E3DB0"/>
    <w:rsid w:val="574507A7"/>
    <w:rsid w:val="57492748"/>
    <w:rsid w:val="574D7961"/>
    <w:rsid w:val="575008CE"/>
    <w:rsid w:val="5753390A"/>
    <w:rsid w:val="57585593"/>
    <w:rsid w:val="575A4B6E"/>
    <w:rsid w:val="575B6F81"/>
    <w:rsid w:val="575B7D3F"/>
    <w:rsid w:val="576B196D"/>
    <w:rsid w:val="57780FC6"/>
    <w:rsid w:val="577E3D5E"/>
    <w:rsid w:val="57927F5F"/>
    <w:rsid w:val="5798118C"/>
    <w:rsid w:val="579C264D"/>
    <w:rsid w:val="579E3EDC"/>
    <w:rsid w:val="57A45090"/>
    <w:rsid w:val="57A66EEB"/>
    <w:rsid w:val="57AF2B0B"/>
    <w:rsid w:val="57BF674E"/>
    <w:rsid w:val="57C245EC"/>
    <w:rsid w:val="57C43097"/>
    <w:rsid w:val="57C57C38"/>
    <w:rsid w:val="57CA16BC"/>
    <w:rsid w:val="57CC5F87"/>
    <w:rsid w:val="57CD1F0B"/>
    <w:rsid w:val="57D33F3A"/>
    <w:rsid w:val="57D76583"/>
    <w:rsid w:val="57D92917"/>
    <w:rsid w:val="57E9601D"/>
    <w:rsid w:val="57ED5BDB"/>
    <w:rsid w:val="57F021B8"/>
    <w:rsid w:val="57F23B91"/>
    <w:rsid w:val="580165D4"/>
    <w:rsid w:val="58016EA3"/>
    <w:rsid w:val="58080D10"/>
    <w:rsid w:val="581A5DC1"/>
    <w:rsid w:val="581A7F84"/>
    <w:rsid w:val="58203EAD"/>
    <w:rsid w:val="583643B3"/>
    <w:rsid w:val="583A1FB1"/>
    <w:rsid w:val="5843585C"/>
    <w:rsid w:val="584720E0"/>
    <w:rsid w:val="584F0427"/>
    <w:rsid w:val="585C2251"/>
    <w:rsid w:val="585D272D"/>
    <w:rsid w:val="58616819"/>
    <w:rsid w:val="5863030F"/>
    <w:rsid w:val="5866334E"/>
    <w:rsid w:val="586F4537"/>
    <w:rsid w:val="58737694"/>
    <w:rsid w:val="587716CD"/>
    <w:rsid w:val="58777BBB"/>
    <w:rsid w:val="58975251"/>
    <w:rsid w:val="58BA3515"/>
    <w:rsid w:val="58BE4D9D"/>
    <w:rsid w:val="58C52932"/>
    <w:rsid w:val="58C72B35"/>
    <w:rsid w:val="58CE5DD8"/>
    <w:rsid w:val="58D3734C"/>
    <w:rsid w:val="58D755D2"/>
    <w:rsid w:val="58E66423"/>
    <w:rsid w:val="58EB6A7D"/>
    <w:rsid w:val="58F276D9"/>
    <w:rsid w:val="58F702C5"/>
    <w:rsid w:val="59057E3F"/>
    <w:rsid w:val="59060509"/>
    <w:rsid w:val="59075E0C"/>
    <w:rsid w:val="590E5DE9"/>
    <w:rsid w:val="591075D9"/>
    <w:rsid w:val="5915343E"/>
    <w:rsid w:val="591D1330"/>
    <w:rsid w:val="593037D7"/>
    <w:rsid w:val="593228A9"/>
    <w:rsid w:val="593257A1"/>
    <w:rsid w:val="593C217C"/>
    <w:rsid w:val="59457283"/>
    <w:rsid w:val="594A179F"/>
    <w:rsid w:val="59513E7A"/>
    <w:rsid w:val="59582D08"/>
    <w:rsid w:val="596235C9"/>
    <w:rsid w:val="59624D6C"/>
    <w:rsid w:val="5975153B"/>
    <w:rsid w:val="598B6C60"/>
    <w:rsid w:val="59946483"/>
    <w:rsid w:val="599A16A8"/>
    <w:rsid w:val="599E19A2"/>
    <w:rsid w:val="599E6993"/>
    <w:rsid w:val="59A92BA5"/>
    <w:rsid w:val="59B876BF"/>
    <w:rsid w:val="59BE7319"/>
    <w:rsid w:val="59D24F7D"/>
    <w:rsid w:val="59D651F2"/>
    <w:rsid w:val="59D779FC"/>
    <w:rsid w:val="59F029E9"/>
    <w:rsid w:val="59FE0AA1"/>
    <w:rsid w:val="5A095E00"/>
    <w:rsid w:val="5A0C32DB"/>
    <w:rsid w:val="5A123B55"/>
    <w:rsid w:val="5A1452FF"/>
    <w:rsid w:val="5A1A1CBA"/>
    <w:rsid w:val="5A1C701D"/>
    <w:rsid w:val="5A1D0200"/>
    <w:rsid w:val="5A1E77A4"/>
    <w:rsid w:val="5A1F5D26"/>
    <w:rsid w:val="5A343EB0"/>
    <w:rsid w:val="5A3C1C09"/>
    <w:rsid w:val="5A3C3212"/>
    <w:rsid w:val="5A437E6A"/>
    <w:rsid w:val="5A5B044A"/>
    <w:rsid w:val="5A7654A7"/>
    <w:rsid w:val="5A7F0D48"/>
    <w:rsid w:val="5A830911"/>
    <w:rsid w:val="5A937DF8"/>
    <w:rsid w:val="5A947624"/>
    <w:rsid w:val="5AB41BC5"/>
    <w:rsid w:val="5AB7214C"/>
    <w:rsid w:val="5AB91D82"/>
    <w:rsid w:val="5ACC6BBD"/>
    <w:rsid w:val="5AD86203"/>
    <w:rsid w:val="5ADE78CF"/>
    <w:rsid w:val="5AEE2377"/>
    <w:rsid w:val="5AF63221"/>
    <w:rsid w:val="5AFB1231"/>
    <w:rsid w:val="5B0647F0"/>
    <w:rsid w:val="5B0D59AD"/>
    <w:rsid w:val="5B103FC5"/>
    <w:rsid w:val="5B1704DB"/>
    <w:rsid w:val="5B1A2F87"/>
    <w:rsid w:val="5B294982"/>
    <w:rsid w:val="5B2D636E"/>
    <w:rsid w:val="5B2E479C"/>
    <w:rsid w:val="5B401F71"/>
    <w:rsid w:val="5B4250C0"/>
    <w:rsid w:val="5B555777"/>
    <w:rsid w:val="5B5F6714"/>
    <w:rsid w:val="5B64078F"/>
    <w:rsid w:val="5B67419A"/>
    <w:rsid w:val="5B6F35EA"/>
    <w:rsid w:val="5B727E46"/>
    <w:rsid w:val="5B79457C"/>
    <w:rsid w:val="5B950FB6"/>
    <w:rsid w:val="5BA0583A"/>
    <w:rsid w:val="5BA12401"/>
    <w:rsid w:val="5BA32DAF"/>
    <w:rsid w:val="5BD347B4"/>
    <w:rsid w:val="5BDB2027"/>
    <w:rsid w:val="5C0844D5"/>
    <w:rsid w:val="5C203E82"/>
    <w:rsid w:val="5C2404EA"/>
    <w:rsid w:val="5C3A7130"/>
    <w:rsid w:val="5C3D1211"/>
    <w:rsid w:val="5C4A34F9"/>
    <w:rsid w:val="5C4E173C"/>
    <w:rsid w:val="5C521E6B"/>
    <w:rsid w:val="5C673933"/>
    <w:rsid w:val="5C700201"/>
    <w:rsid w:val="5C71213D"/>
    <w:rsid w:val="5C78382A"/>
    <w:rsid w:val="5C8002B9"/>
    <w:rsid w:val="5C815CE8"/>
    <w:rsid w:val="5C881000"/>
    <w:rsid w:val="5C902F0B"/>
    <w:rsid w:val="5CA05B87"/>
    <w:rsid w:val="5CA74CFC"/>
    <w:rsid w:val="5CA833F8"/>
    <w:rsid w:val="5CAD3C93"/>
    <w:rsid w:val="5CB97A26"/>
    <w:rsid w:val="5CC475BF"/>
    <w:rsid w:val="5CCC024F"/>
    <w:rsid w:val="5CD30758"/>
    <w:rsid w:val="5CF70A6B"/>
    <w:rsid w:val="5CF77A77"/>
    <w:rsid w:val="5CF82AA9"/>
    <w:rsid w:val="5D004573"/>
    <w:rsid w:val="5D0D559B"/>
    <w:rsid w:val="5D120964"/>
    <w:rsid w:val="5D1339C6"/>
    <w:rsid w:val="5D1F3D7E"/>
    <w:rsid w:val="5D244FDC"/>
    <w:rsid w:val="5D274556"/>
    <w:rsid w:val="5D283143"/>
    <w:rsid w:val="5D375134"/>
    <w:rsid w:val="5D3D353F"/>
    <w:rsid w:val="5D444ADA"/>
    <w:rsid w:val="5D4B029D"/>
    <w:rsid w:val="5D591831"/>
    <w:rsid w:val="5D8300B0"/>
    <w:rsid w:val="5D84674C"/>
    <w:rsid w:val="5D9C5D68"/>
    <w:rsid w:val="5DB64111"/>
    <w:rsid w:val="5DBC1753"/>
    <w:rsid w:val="5DBE6F7A"/>
    <w:rsid w:val="5DC61FEF"/>
    <w:rsid w:val="5DCB01AE"/>
    <w:rsid w:val="5DDC4021"/>
    <w:rsid w:val="5DE93079"/>
    <w:rsid w:val="5DEA0ED4"/>
    <w:rsid w:val="5DEC3FA8"/>
    <w:rsid w:val="5DEC652C"/>
    <w:rsid w:val="5DFA1A8E"/>
    <w:rsid w:val="5E0109A2"/>
    <w:rsid w:val="5E015742"/>
    <w:rsid w:val="5E146C84"/>
    <w:rsid w:val="5E1D07CE"/>
    <w:rsid w:val="5E223BEF"/>
    <w:rsid w:val="5E27164D"/>
    <w:rsid w:val="5E2C0A8E"/>
    <w:rsid w:val="5E317DD6"/>
    <w:rsid w:val="5E346C10"/>
    <w:rsid w:val="5E3B6EA6"/>
    <w:rsid w:val="5E404D1C"/>
    <w:rsid w:val="5E483242"/>
    <w:rsid w:val="5E564B0A"/>
    <w:rsid w:val="5E6D41E7"/>
    <w:rsid w:val="5E724C0F"/>
    <w:rsid w:val="5E7D6A2C"/>
    <w:rsid w:val="5E87616F"/>
    <w:rsid w:val="5E920286"/>
    <w:rsid w:val="5EA94D56"/>
    <w:rsid w:val="5EB308BE"/>
    <w:rsid w:val="5EB41A42"/>
    <w:rsid w:val="5EB522EE"/>
    <w:rsid w:val="5EBC65AD"/>
    <w:rsid w:val="5EDB5F93"/>
    <w:rsid w:val="5EDE6EBE"/>
    <w:rsid w:val="5EE757A0"/>
    <w:rsid w:val="5EF16A8C"/>
    <w:rsid w:val="5F011E9E"/>
    <w:rsid w:val="5F1277CD"/>
    <w:rsid w:val="5F3C1E00"/>
    <w:rsid w:val="5F421EC5"/>
    <w:rsid w:val="5F4253D5"/>
    <w:rsid w:val="5F4D50E3"/>
    <w:rsid w:val="5F4E7F47"/>
    <w:rsid w:val="5F526E31"/>
    <w:rsid w:val="5F6104B0"/>
    <w:rsid w:val="5F68097C"/>
    <w:rsid w:val="5F7066B4"/>
    <w:rsid w:val="5F73191F"/>
    <w:rsid w:val="5F7A435B"/>
    <w:rsid w:val="5F887EC9"/>
    <w:rsid w:val="5F8B13AD"/>
    <w:rsid w:val="5F93686E"/>
    <w:rsid w:val="5FB8578C"/>
    <w:rsid w:val="5FBE7D8F"/>
    <w:rsid w:val="5FC110AB"/>
    <w:rsid w:val="5FD24E2C"/>
    <w:rsid w:val="5FE94095"/>
    <w:rsid w:val="5FFF605F"/>
    <w:rsid w:val="601345EE"/>
    <w:rsid w:val="6013629F"/>
    <w:rsid w:val="601A2E81"/>
    <w:rsid w:val="601B0D3D"/>
    <w:rsid w:val="602466EF"/>
    <w:rsid w:val="60285208"/>
    <w:rsid w:val="603E2C7E"/>
    <w:rsid w:val="604C58A4"/>
    <w:rsid w:val="604F6C39"/>
    <w:rsid w:val="60565436"/>
    <w:rsid w:val="60636240"/>
    <w:rsid w:val="60665537"/>
    <w:rsid w:val="60673924"/>
    <w:rsid w:val="60707077"/>
    <w:rsid w:val="607A641B"/>
    <w:rsid w:val="60AE00D8"/>
    <w:rsid w:val="60CE1D0E"/>
    <w:rsid w:val="60D054AF"/>
    <w:rsid w:val="60D33BAA"/>
    <w:rsid w:val="60E7730E"/>
    <w:rsid w:val="60E947D7"/>
    <w:rsid w:val="60EA6962"/>
    <w:rsid w:val="60F17CF0"/>
    <w:rsid w:val="60F63A18"/>
    <w:rsid w:val="60F8776B"/>
    <w:rsid w:val="60FF3CF2"/>
    <w:rsid w:val="6129565B"/>
    <w:rsid w:val="61363955"/>
    <w:rsid w:val="6139713B"/>
    <w:rsid w:val="614271E8"/>
    <w:rsid w:val="614A42DC"/>
    <w:rsid w:val="614B38A4"/>
    <w:rsid w:val="614D1EA3"/>
    <w:rsid w:val="6153453A"/>
    <w:rsid w:val="61575980"/>
    <w:rsid w:val="615C76DF"/>
    <w:rsid w:val="61796113"/>
    <w:rsid w:val="618171E6"/>
    <w:rsid w:val="61823E26"/>
    <w:rsid w:val="6184331C"/>
    <w:rsid w:val="61932F49"/>
    <w:rsid w:val="61952D71"/>
    <w:rsid w:val="61967E27"/>
    <w:rsid w:val="6198346F"/>
    <w:rsid w:val="619B5AB3"/>
    <w:rsid w:val="619F30C9"/>
    <w:rsid w:val="61A11716"/>
    <w:rsid w:val="61A11A3C"/>
    <w:rsid w:val="61A33D74"/>
    <w:rsid w:val="61B01959"/>
    <w:rsid w:val="61C025E1"/>
    <w:rsid w:val="61C7141F"/>
    <w:rsid w:val="61C86CA3"/>
    <w:rsid w:val="61C93B18"/>
    <w:rsid w:val="61DE0274"/>
    <w:rsid w:val="61E20F2D"/>
    <w:rsid w:val="61F07648"/>
    <w:rsid w:val="61F21F72"/>
    <w:rsid w:val="6200673C"/>
    <w:rsid w:val="620F676B"/>
    <w:rsid w:val="62116C55"/>
    <w:rsid w:val="62192B3B"/>
    <w:rsid w:val="62192FFD"/>
    <w:rsid w:val="621B5E82"/>
    <w:rsid w:val="621C2B4B"/>
    <w:rsid w:val="623151CA"/>
    <w:rsid w:val="623E4E43"/>
    <w:rsid w:val="624B73A3"/>
    <w:rsid w:val="624C2788"/>
    <w:rsid w:val="62520F1D"/>
    <w:rsid w:val="625D4DD2"/>
    <w:rsid w:val="626E1143"/>
    <w:rsid w:val="62797394"/>
    <w:rsid w:val="62803FC8"/>
    <w:rsid w:val="62820389"/>
    <w:rsid w:val="62865532"/>
    <w:rsid w:val="629A08DC"/>
    <w:rsid w:val="62A06513"/>
    <w:rsid w:val="62B15989"/>
    <w:rsid w:val="62B341DC"/>
    <w:rsid w:val="62B9483E"/>
    <w:rsid w:val="62BC68FC"/>
    <w:rsid w:val="62C856EE"/>
    <w:rsid w:val="62CA09DD"/>
    <w:rsid w:val="62D93CD0"/>
    <w:rsid w:val="62DE42A4"/>
    <w:rsid w:val="62F41AE5"/>
    <w:rsid w:val="62F4573A"/>
    <w:rsid w:val="62FB7408"/>
    <w:rsid w:val="63137DFE"/>
    <w:rsid w:val="63147153"/>
    <w:rsid w:val="631F28F3"/>
    <w:rsid w:val="632363C1"/>
    <w:rsid w:val="632632EB"/>
    <w:rsid w:val="63304B00"/>
    <w:rsid w:val="6335213C"/>
    <w:rsid w:val="63377D0D"/>
    <w:rsid w:val="634370FD"/>
    <w:rsid w:val="63500CFE"/>
    <w:rsid w:val="635C75B3"/>
    <w:rsid w:val="63666773"/>
    <w:rsid w:val="636813A7"/>
    <w:rsid w:val="637207C8"/>
    <w:rsid w:val="63815DC3"/>
    <w:rsid w:val="6382774D"/>
    <w:rsid w:val="638304BF"/>
    <w:rsid w:val="63916C75"/>
    <w:rsid w:val="639279D9"/>
    <w:rsid w:val="63943ADF"/>
    <w:rsid w:val="639A75F3"/>
    <w:rsid w:val="639E49E5"/>
    <w:rsid w:val="63A14CDF"/>
    <w:rsid w:val="63AD06EE"/>
    <w:rsid w:val="63B15CA2"/>
    <w:rsid w:val="63B21C91"/>
    <w:rsid w:val="63B3609A"/>
    <w:rsid w:val="63B96AC2"/>
    <w:rsid w:val="63BB20F4"/>
    <w:rsid w:val="63BD00B1"/>
    <w:rsid w:val="63BF31E0"/>
    <w:rsid w:val="63C33FBC"/>
    <w:rsid w:val="63CC234F"/>
    <w:rsid w:val="63D025C4"/>
    <w:rsid w:val="63D30448"/>
    <w:rsid w:val="63D750FF"/>
    <w:rsid w:val="63D7683E"/>
    <w:rsid w:val="63E22B77"/>
    <w:rsid w:val="63E264C8"/>
    <w:rsid w:val="63F20007"/>
    <w:rsid w:val="63F61E5B"/>
    <w:rsid w:val="63FC5CC7"/>
    <w:rsid w:val="63FF2724"/>
    <w:rsid w:val="64004117"/>
    <w:rsid w:val="6406177D"/>
    <w:rsid w:val="64075123"/>
    <w:rsid w:val="64075AFF"/>
    <w:rsid w:val="640834AA"/>
    <w:rsid w:val="640940E0"/>
    <w:rsid w:val="64180F4D"/>
    <w:rsid w:val="643A3A59"/>
    <w:rsid w:val="643F03D4"/>
    <w:rsid w:val="64494A95"/>
    <w:rsid w:val="644E7FDF"/>
    <w:rsid w:val="645304E9"/>
    <w:rsid w:val="645C7B76"/>
    <w:rsid w:val="64741868"/>
    <w:rsid w:val="647A121F"/>
    <w:rsid w:val="647D3E64"/>
    <w:rsid w:val="64833355"/>
    <w:rsid w:val="64837576"/>
    <w:rsid w:val="649766E7"/>
    <w:rsid w:val="64A06F2E"/>
    <w:rsid w:val="64A304D8"/>
    <w:rsid w:val="64A358AC"/>
    <w:rsid w:val="64A5458E"/>
    <w:rsid w:val="64AA08E2"/>
    <w:rsid w:val="64BB6A14"/>
    <w:rsid w:val="64BD5ABB"/>
    <w:rsid w:val="64D4595F"/>
    <w:rsid w:val="64D553AB"/>
    <w:rsid w:val="64DB0A56"/>
    <w:rsid w:val="64E72F05"/>
    <w:rsid w:val="64E75692"/>
    <w:rsid w:val="64EA2B29"/>
    <w:rsid w:val="64EC2CA8"/>
    <w:rsid w:val="64F15159"/>
    <w:rsid w:val="64FA308A"/>
    <w:rsid w:val="64FC62AF"/>
    <w:rsid w:val="64FF4855"/>
    <w:rsid w:val="65041523"/>
    <w:rsid w:val="65143FAD"/>
    <w:rsid w:val="651B4427"/>
    <w:rsid w:val="6526196C"/>
    <w:rsid w:val="652A0747"/>
    <w:rsid w:val="6541758C"/>
    <w:rsid w:val="65493C57"/>
    <w:rsid w:val="654B3E73"/>
    <w:rsid w:val="65587DB8"/>
    <w:rsid w:val="65605444"/>
    <w:rsid w:val="657814FE"/>
    <w:rsid w:val="6580099C"/>
    <w:rsid w:val="65887F37"/>
    <w:rsid w:val="658C7FE7"/>
    <w:rsid w:val="659155FE"/>
    <w:rsid w:val="6598698C"/>
    <w:rsid w:val="65A7450C"/>
    <w:rsid w:val="65A801B0"/>
    <w:rsid w:val="65A93AD5"/>
    <w:rsid w:val="65A9538F"/>
    <w:rsid w:val="65B403A1"/>
    <w:rsid w:val="65B563B4"/>
    <w:rsid w:val="65C47781"/>
    <w:rsid w:val="65DA50BE"/>
    <w:rsid w:val="65DE1DB1"/>
    <w:rsid w:val="65E46476"/>
    <w:rsid w:val="65EE464F"/>
    <w:rsid w:val="65F42C4C"/>
    <w:rsid w:val="65FD313D"/>
    <w:rsid w:val="66052709"/>
    <w:rsid w:val="660564BF"/>
    <w:rsid w:val="661C3175"/>
    <w:rsid w:val="662007B2"/>
    <w:rsid w:val="66271C67"/>
    <w:rsid w:val="66372649"/>
    <w:rsid w:val="663824D4"/>
    <w:rsid w:val="663F279F"/>
    <w:rsid w:val="664A412A"/>
    <w:rsid w:val="664A62D0"/>
    <w:rsid w:val="6656504A"/>
    <w:rsid w:val="665736DA"/>
    <w:rsid w:val="66632229"/>
    <w:rsid w:val="6673414E"/>
    <w:rsid w:val="667E576D"/>
    <w:rsid w:val="66A80F29"/>
    <w:rsid w:val="66AF3707"/>
    <w:rsid w:val="66B8486A"/>
    <w:rsid w:val="66BA035D"/>
    <w:rsid w:val="66C265E3"/>
    <w:rsid w:val="66C545AF"/>
    <w:rsid w:val="66CC1ACE"/>
    <w:rsid w:val="66CD6882"/>
    <w:rsid w:val="66D502E8"/>
    <w:rsid w:val="66D860D4"/>
    <w:rsid w:val="66D91C48"/>
    <w:rsid w:val="66E520A5"/>
    <w:rsid w:val="66F422E8"/>
    <w:rsid w:val="670215DF"/>
    <w:rsid w:val="670964B1"/>
    <w:rsid w:val="67162327"/>
    <w:rsid w:val="6716400D"/>
    <w:rsid w:val="67181678"/>
    <w:rsid w:val="672229B1"/>
    <w:rsid w:val="67256946"/>
    <w:rsid w:val="67364DE2"/>
    <w:rsid w:val="673E3B89"/>
    <w:rsid w:val="67407B67"/>
    <w:rsid w:val="674456B0"/>
    <w:rsid w:val="6744594E"/>
    <w:rsid w:val="67465730"/>
    <w:rsid w:val="674A2ED5"/>
    <w:rsid w:val="674E2F5F"/>
    <w:rsid w:val="674F32C3"/>
    <w:rsid w:val="67561AF4"/>
    <w:rsid w:val="675A4107"/>
    <w:rsid w:val="67681336"/>
    <w:rsid w:val="676E2D38"/>
    <w:rsid w:val="677138A6"/>
    <w:rsid w:val="677457DE"/>
    <w:rsid w:val="67780823"/>
    <w:rsid w:val="677A0B46"/>
    <w:rsid w:val="67836D56"/>
    <w:rsid w:val="6788271F"/>
    <w:rsid w:val="67906883"/>
    <w:rsid w:val="679413D5"/>
    <w:rsid w:val="67953E80"/>
    <w:rsid w:val="67A20C2E"/>
    <w:rsid w:val="67B3543E"/>
    <w:rsid w:val="67B73F65"/>
    <w:rsid w:val="67BD2EE6"/>
    <w:rsid w:val="67BD773A"/>
    <w:rsid w:val="67BE32F8"/>
    <w:rsid w:val="67C40D49"/>
    <w:rsid w:val="67C66EE7"/>
    <w:rsid w:val="67CA4DF7"/>
    <w:rsid w:val="67CF27B8"/>
    <w:rsid w:val="67D05ED1"/>
    <w:rsid w:val="67D27D00"/>
    <w:rsid w:val="67D831B5"/>
    <w:rsid w:val="67D94356"/>
    <w:rsid w:val="67DD0486"/>
    <w:rsid w:val="67DF1082"/>
    <w:rsid w:val="67E1778B"/>
    <w:rsid w:val="67F04F8A"/>
    <w:rsid w:val="67FA1964"/>
    <w:rsid w:val="67FE2307"/>
    <w:rsid w:val="680023C0"/>
    <w:rsid w:val="68012F0F"/>
    <w:rsid w:val="68022720"/>
    <w:rsid w:val="682F0DA2"/>
    <w:rsid w:val="683D259E"/>
    <w:rsid w:val="683E0867"/>
    <w:rsid w:val="68456BA0"/>
    <w:rsid w:val="68555008"/>
    <w:rsid w:val="685B5261"/>
    <w:rsid w:val="685F0B4B"/>
    <w:rsid w:val="685F77F8"/>
    <w:rsid w:val="68790CF7"/>
    <w:rsid w:val="68852C0C"/>
    <w:rsid w:val="6885769C"/>
    <w:rsid w:val="688724AF"/>
    <w:rsid w:val="688E20AC"/>
    <w:rsid w:val="68902604"/>
    <w:rsid w:val="68983EEB"/>
    <w:rsid w:val="689F33CB"/>
    <w:rsid w:val="68B166E3"/>
    <w:rsid w:val="68B20C8F"/>
    <w:rsid w:val="68B321C1"/>
    <w:rsid w:val="68B55120"/>
    <w:rsid w:val="68B63CF9"/>
    <w:rsid w:val="68C1269E"/>
    <w:rsid w:val="68C26AE0"/>
    <w:rsid w:val="68C63359"/>
    <w:rsid w:val="68CE3599"/>
    <w:rsid w:val="68D46E6E"/>
    <w:rsid w:val="68D77EEE"/>
    <w:rsid w:val="68F630E6"/>
    <w:rsid w:val="68FA5E59"/>
    <w:rsid w:val="69006B8C"/>
    <w:rsid w:val="6903175A"/>
    <w:rsid w:val="690A194F"/>
    <w:rsid w:val="69181A25"/>
    <w:rsid w:val="691E68CF"/>
    <w:rsid w:val="69233135"/>
    <w:rsid w:val="692C4C40"/>
    <w:rsid w:val="693611BF"/>
    <w:rsid w:val="694601E5"/>
    <w:rsid w:val="6949691B"/>
    <w:rsid w:val="695411E9"/>
    <w:rsid w:val="696062DB"/>
    <w:rsid w:val="69763110"/>
    <w:rsid w:val="6978469E"/>
    <w:rsid w:val="697E690E"/>
    <w:rsid w:val="69807046"/>
    <w:rsid w:val="698804FA"/>
    <w:rsid w:val="69A52ACE"/>
    <w:rsid w:val="69A77AE4"/>
    <w:rsid w:val="69B63494"/>
    <w:rsid w:val="69BA15C7"/>
    <w:rsid w:val="69BD514B"/>
    <w:rsid w:val="69CB63AC"/>
    <w:rsid w:val="69DB7BB3"/>
    <w:rsid w:val="69E94EA3"/>
    <w:rsid w:val="69EE2FB9"/>
    <w:rsid w:val="69F0417B"/>
    <w:rsid w:val="69F469E3"/>
    <w:rsid w:val="69FE4D17"/>
    <w:rsid w:val="6A03160B"/>
    <w:rsid w:val="6A1A3E14"/>
    <w:rsid w:val="6A3F20F7"/>
    <w:rsid w:val="6A47646D"/>
    <w:rsid w:val="6A521366"/>
    <w:rsid w:val="6A574A66"/>
    <w:rsid w:val="6A5A2A9B"/>
    <w:rsid w:val="6A5D1F52"/>
    <w:rsid w:val="6A5F5CCB"/>
    <w:rsid w:val="6A617CAB"/>
    <w:rsid w:val="6A6D0AFF"/>
    <w:rsid w:val="6A78249F"/>
    <w:rsid w:val="6A7A6FA8"/>
    <w:rsid w:val="6A7E4D95"/>
    <w:rsid w:val="6A8E173F"/>
    <w:rsid w:val="6A937C80"/>
    <w:rsid w:val="6A954B9C"/>
    <w:rsid w:val="6A9A6FE3"/>
    <w:rsid w:val="6AA10091"/>
    <w:rsid w:val="6AA5049D"/>
    <w:rsid w:val="6AA75EDE"/>
    <w:rsid w:val="6AAD00D3"/>
    <w:rsid w:val="6AB20728"/>
    <w:rsid w:val="6ABF3C26"/>
    <w:rsid w:val="6ACB180B"/>
    <w:rsid w:val="6ACB3570"/>
    <w:rsid w:val="6ACF74C6"/>
    <w:rsid w:val="6AD26F36"/>
    <w:rsid w:val="6AE716DC"/>
    <w:rsid w:val="6AED60AF"/>
    <w:rsid w:val="6AED65BD"/>
    <w:rsid w:val="6AF36445"/>
    <w:rsid w:val="6AF44665"/>
    <w:rsid w:val="6AFB6BAE"/>
    <w:rsid w:val="6AFF2293"/>
    <w:rsid w:val="6B154282"/>
    <w:rsid w:val="6B230D95"/>
    <w:rsid w:val="6B235BAC"/>
    <w:rsid w:val="6B3147D4"/>
    <w:rsid w:val="6B3B6738"/>
    <w:rsid w:val="6B417BAA"/>
    <w:rsid w:val="6B43739A"/>
    <w:rsid w:val="6B453F86"/>
    <w:rsid w:val="6B490A36"/>
    <w:rsid w:val="6B542CF9"/>
    <w:rsid w:val="6B56505C"/>
    <w:rsid w:val="6B5D519E"/>
    <w:rsid w:val="6B646360"/>
    <w:rsid w:val="6B662BDB"/>
    <w:rsid w:val="6B822971"/>
    <w:rsid w:val="6B8616BB"/>
    <w:rsid w:val="6B904F11"/>
    <w:rsid w:val="6B98635A"/>
    <w:rsid w:val="6BA10507"/>
    <w:rsid w:val="6BB62E4B"/>
    <w:rsid w:val="6BC73B27"/>
    <w:rsid w:val="6BD171A1"/>
    <w:rsid w:val="6BD73B01"/>
    <w:rsid w:val="6BE01063"/>
    <w:rsid w:val="6BFD39ED"/>
    <w:rsid w:val="6C022DB1"/>
    <w:rsid w:val="6C1E71A6"/>
    <w:rsid w:val="6C25217A"/>
    <w:rsid w:val="6C2D49DE"/>
    <w:rsid w:val="6C303D8F"/>
    <w:rsid w:val="6C3118E9"/>
    <w:rsid w:val="6C3C2CA5"/>
    <w:rsid w:val="6C4A7503"/>
    <w:rsid w:val="6C4C227F"/>
    <w:rsid w:val="6C4E55CD"/>
    <w:rsid w:val="6C5309A3"/>
    <w:rsid w:val="6C5C2D7A"/>
    <w:rsid w:val="6C5D0C29"/>
    <w:rsid w:val="6C5E57D7"/>
    <w:rsid w:val="6C6A748C"/>
    <w:rsid w:val="6C7147F8"/>
    <w:rsid w:val="6C7E4953"/>
    <w:rsid w:val="6C877637"/>
    <w:rsid w:val="6C8E3A8C"/>
    <w:rsid w:val="6C9222B9"/>
    <w:rsid w:val="6C937EAD"/>
    <w:rsid w:val="6C974CF0"/>
    <w:rsid w:val="6CA6341B"/>
    <w:rsid w:val="6CA634F0"/>
    <w:rsid w:val="6CAD6062"/>
    <w:rsid w:val="6CB470FF"/>
    <w:rsid w:val="6CC62031"/>
    <w:rsid w:val="6CCA3420"/>
    <w:rsid w:val="6CDF3526"/>
    <w:rsid w:val="6CE10687"/>
    <w:rsid w:val="6CEC29E0"/>
    <w:rsid w:val="6D0F6070"/>
    <w:rsid w:val="6D147240"/>
    <w:rsid w:val="6D2935CA"/>
    <w:rsid w:val="6D317DF2"/>
    <w:rsid w:val="6D33306E"/>
    <w:rsid w:val="6D3F62B5"/>
    <w:rsid w:val="6D400349"/>
    <w:rsid w:val="6D43012D"/>
    <w:rsid w:val="6D472C5A"/>
    <w:rsid w:val="6D4C1E18"/>
    <w:rsid w:val="6D4C540A"/>
    <w:rsid w:val="6D4D4500"/>
    <w:rsid w:val="6D576CBE"/>
    <w:rsid w:val="6D657A9C"/>
    <w:rsid w:val="6D667370"/>
    <w:rsid w:val="6D711757"/>
    <w:rsid w:val="6D756624"/>
    <w:rsid w:val="6D844E57"/>
    <w:rsid w:val="6D854E8F"/>
    <w:rsid w:val="6D885444"/>
    <w:rsid w:val="6D886B3D"/>
    <w:rsid w:val="6D8C29C6"/>
    <w:rsid w:val="6D8C613E"/>
    <w:rsid w:val="6D9D469B"/>
    <w:rsid w:val="6D9E7831"/>
    <w:rsid w:val="6DA02C22"/>
    <w:rsid w:val="6DA055E5"/>
    <w:rsid w:val="6DA146F3"/>
    <w:rsid w:val="6DA21F07"/>
    <w:rsid w:val="6DA65FBE"/>
    <w:rsid w:val="6DB225B5"/>
    <w:rsid w:val="6DB266EA"/>
    <w:rsid w:val="6DD42724"/>
    <w:rsid w:val="6DE02020"/>
    <w:rsid w:val="6DE40F2F"/>
    <w:rsid w:val="6DEB7EAB"/>
    <w:rsid w:val="6DEE183F"/>
    <w:rsid w:val="6DF01E5A"/>
    <w:rsid w:val="6DF5406A"/>
    <w:rsid w:val="6E057100"/>
    <w:rsid w:val="6E095230"/>
    <w:rsid w:val="6E0D6DA8"/>
    <w:rsid w:val="6E0F17B6"/>
    <w:rsid w:val="6E1160B0"/>
    <w:rsid w:val="6E1637A4"/>
    <w:rsid w:val="6E19230E"/>
    <w:rsid w:val="6E1F2AB2"/>
    <w:rsid w:val="6E226D85"/>
    <w:rsid w:val="6E2968C4"/>
    <w:rsid w:val="6E2E4332"/>
    <w:rsid w:val="6E356ABA"/>
    <w:rsid w:val="6E3879DF"/>
    <w:rsid w:val="6E41661F"/>
    <w:rsid w:val="6E4F3D89"/>
    <w:rsid w:val="6E556B57"/>
    <w:rsid w:val="6E621728"/>
    <w:rsid w:val="6E6404AB"/>
    <w:rsid w:val="6E6967CF"/>
    <w:rsid w:val="6E8421A4"/>
    <w:rsid w:val="6E8F45BF"/>
    <w:rsid w:val="6EA12521"/>
    <w:rsid w:val="6EA41373"/>
    <w:rsid w:val="6EA5033C"/>
    <w:rsid w:val="6EA51385"/>
    <w:rsid w:val="6EAF2E61"/>
    <w:rsid w:val="6EB3609D"/>
    <w:rsid w:val="6EB8009F"/>
    <w:rsid w:val="6EB91F51"/>
    <w:rsid w:val="6EBA7F93"/>
    <w:rsid w:val="6EBE68E9"/>
    <w:rsid w:val="6EBF7670"/>
    <w:rsid w:val="6ED50C51"/>
    <w:rsid w:val="6EDB2238"/>
    <w:rsid w:val="6EE37630"/>
    <w:rsid w:val="6EE520C3"/>
    <w:rsid w:val="6EF634D8"/>
    <w:rsid w:val="6EFC1D3A"/>
    <w:rsid w:val="6F0843FC"/>
    <w:rsid w:val="6F1218C9"/>
    <w:rsid w:val="6F143527"/>
    <w:rsid w:val="6F286FD3"/>
    <w:rsid w:val="6F353675"/>
    <w:rsid w:val="6F36407F"/>
    <w:rsid w:val="6F4158F5"/>
    <w:rsid w:val="6F436FBE"/>
    <w:rsid w:val="6F4658A2"/>
    <w:rsid w:val="6F5577C5"/>
    <w:rsid w:val="6F575288"/>
    <w:rsid w:val="6F585AFC"/>
    <w:rsid w:val="6F622A93"/>
    <w:rsid w:val="6F72024E"/>
    <w:rsid w:val="6F7356FE"/>
    <w:rsid w:val="6F750426"/>
    <w:rsid w:val="6F857F81"/>
    <w:rsid w:val="6F88264F"/>
    <w:rsid w:val="6F8A1A3C"/>
    <w:rsid w:val="6F8B6A13"/>
    <w:rsid w:val="6F8B7A92"/>
    <w:rsid w:val="6F8D21AA"/>
    <w:rsid w:val="6FAB29C1"/>
    <w:rsid w:val="6FAB48BC"/>
    <w:rsid w:val="6FAD572A"/>
    <w:rsid w:val="6FB24E29"/>
    <w:rsid w:val="6FB5221D"/>
    <w:rsid w:val="6FC84312"/>
    <w:rsid w:val="6FC87DE4"/>
    <w:rsid w:val="6FDF129A"/>
    <w:rsid w:val="6FE74B3D"/>
    <w:rsid w:val="6FEF7AF1"/>
    <w:rsid w:val="70005E94"/>
    <w:rsid w:val="700912E9"/>
    <w:rsid w:val="7011739C"/>
    <w:rsid w:val="70120CB7"/>
    <w:rsid w:val="701906AC"/>
    <w:rsid w:val="70216C3F"/>
    <w:rsid w:val="70254AB6"/>
    <w:rsid w:val="7045150B"/>
    <w:rsid w:val="70483DAB"/>
    <w:rsid w:val="70566D3E"/>
    <w:rsid w:val="70574571"/>
    <w:rsid w:val="705D2CAC"/>
    <w:rsid w:val="706E7F44"/>
    <w:rsid w:val="707E2CDB"/>
    <w:rsid w:val="70840239"/>
    <w:rsid w:val="70983CE4"/>
    <w:rsid w:val="70A2594D"/>
    <w:rsid w:val="70B64314"/>
    <w:rsid w:val="70B919CF"/>
    <w:rsid w:val="70C20D61"/>
    <w:rsid w:val="70D308F4"/>
    <w:rsid w:val="70D3105E"/>
    <w:rsid w:val="70D93851"/>
    <w:rsid w:val="70EB02BC"/>
    <w:rsid w:val="70ED693D"/>
    <w:rsid w:val="70FC4B0B"/>
    <w:rsid w:val="70FD7FEB"/>
    <w:rsid w:val="71034F2F"/>
    <w:rsid w:val="71094BE2"/>
    <w:rsid w:val="710D6480"/>
    <w:rsid w:val="7111516D"/>
    <w:rsid w:val="71153566"/>
    <w:rsid w:val="71185439"/>
    <w:rsid w:val="711B191E"/>
    <w:rsid w:val="71210217"/>
    <w:rsid w:val="71221416"/>
    <w:rsid w:val="7124406A"/>
    <w:rsid w:val="71247B21"/>
    <w:rsid w:val="712612F0"/>
    <w:rsid w:val="712670FE"/>
    <w:rsid w:val="712D5B8D"/>
    <w:rsid w:val="712F198D"/>
    <w:rsid w:val="71317159"/>
    <w:rsid w:val="71342681"/>
    <w:rsid w:val="71360BC1"/>
    <w:rsid w:val="713F3431"/>
    <w:rsid w:val="714079A9"/>
    <w:rsid w:val="714A41BD"/>
    <w:rsid w:val="714F4D5A"/>
    <w:rsid w:val="71503577"/>
    <w:rsid w:val="7154476D"/>
    <w:rsid w:val="7161057A"/>
    <w:rsid w:val="71655017"/>
    <w:rsid w:val="71657052"/>
    <w:rsid w:val="716F447D"/>
    <w:rsid w:val="717D473D"/>
    <w:rsid w:val="7182403A"/>
    <w:rsid w:val="71921338"/>
    <w:rsid w:val="719E357C"/>
    <w:rsid w:val="71A212BE"/>
    <w:rsid w:val="71A843FB"/>
    <w:rsid w:val="71B2061A"/>
    <w:rsid w:val="71B92164"/>
    <w:rsid w:val="71F3391F"/>
    <w:rsid w:val="720C0776"/>
    <w:rsid w:val="7215547E"/>
    <w:rsid w:val="72160210"/>
    <w:rsid w:val="72222DB7"/>
    <w:rsid w:val="722241AD"/>
    <w:rsid w:val="72356842"/>
    <w:rsid w:val="724350B7"/>
    <w:rsid w:val="724C6A2F"/>
    <w:rsid w:val="724C7A91"/>
    <w:rsid w:val="724E3530"/>
    <w:rsid w:val="7263682F"/>
    <w:rsid w:val="72643124"/>
    <w:rsid w:val="7271695B"/>
    <w:rsid w:val="72757BBD"/>
    <w:rsid w:val="727C260F"/>
    <w:rsid w:val="728124EA"/>
    <w:rsid w:val="728409C4"/>
    <w:rsid w:val="729D1A86"/>
    <w:rsid w:val="729F323B"/>
    <w:rsid w:val="72A345A7"/>
    <w:rsid w:val="72B15886"/>
    <w:rsid w:val="72B27FE8"/>
    <w:rsid w:val="72B66DCD"/>
    <w:rsid w:val="72BA68DF"/>
    <w:rsid w:val="72BC367F"/>
    <w:rsid w:val="72CD4B67"/>
    <w:rsid w:val="72D24BCB"/>
    <w:rsid w:val="72D4062A"/>
    <w:rsid w:val="72D6519F"/>
    <w:rsid w:val="72DC45B8"/>
    <w:rsid w:val="72E353CA"/>
    <w:rsid w:val="72E4770B"/>
    <w:rsid w:val="72E8042D"/>
    <w:rsid w:val="72EC556F"/>
    <w:rsid w:val="72EF6600"/>
    <w:rsid w:val="72F43335"/>
    <w:rsid w:val="72FD0776"/>
    <w:rsid w:val="7303448E"/>
    <w:rsid w:val="730845E7"/>
    <w:rsid w:val="730866B6"/>
    <w:rsid w:val="730F3EF0"/>
    <w:rsid w:val="7325774B"/>
    <w:rsid w:val="73322C50"/>
    <w:rsid w:val="73375A36"/>
    <w:rsid w:val="733C4DFB"/>
    <w:rsid w:val="73412B29"/>
    <w:rsid w:val="734E4B2E"/>
    <w:rsid w:val="73534AE2"/>
    <w:rsid w:val="736142E4"/>
    <w:rsid w:val="7386251A"/>
    <w:rsid w:val="73966B0A"/>
    <w:rsid w:val="739B1DB7"/>
    <w:rsid w:val="73A01B9A"/>
    <w:rsid w:val="73B13F85"/>
    <w:rsid w:val="73CE2F6D"/>
    <w:rsid w:val="73D1218C"/>
    <w:rsid w:val="73D31978"/>
    <w:rsid w:val="73D55EE2"/>
    <w:rsid w:val="73E54D1C"/>
    <w:rsid w:val="73EB6DAC"/>
    <w:rsid w:val="73FD2CDB"/>
    <w:rsid w:val="73FE2ABE"/>
    <w:rsid w:val="74043201"/>
    <w:rsid w:val="740C39EE"/>
    <w:rsid w:val="74140311"/>
    <w:rsid w:val="74157242"/>
    <w:rsid w:val="7416564C"/>
    <w:rsid w:val="74177616"/>
    <w:rsid w:val="741F3BB5"/>
    <w:rsid w:val="74256836"/>
    <w:rsid w:val="74387358"/>
    <w:rsid w:val="7439076C"/>
    <w:rsid w:val="744A0B05"/>
    <w:rsid w:val="744A1B09"/>
    <w:rsid w:val="744C45CD"/>
    <w:rsid w:val="74520D2D"/>
    <w:rsid w:val="7457052E"/>
    <w:rsid w:val="745B4E1A"/>
    <w:rsid w:val="745E6FF3"/>
    <w:rsid w:val="746D6CD7"/>
    <w:rsid w:val="747800B5"/>
    <w:rsid w:val="74850A24"/>
    <w:rsid w:val="74923C14"/>
    <w:rsid w:val="74A024E4"/>
    <w:rsid w:val="74A40EAA"/>
    <w:rsid w:val="74AD2B74"/>
    <w:rsid w:val="74B62489"/>
    <w:rsid w:val="74C94DB4"/>
    <w:rsid w:val="74D3353D"/>
    <w:rsid w:val="74DB6895"/>
    <w:rsid w:val="74DF1EE2"/>
    <w:rsid w:val="74E34015"/>
    <w:rsid w:val="74F65471"/>
    <w:rsid w:val="74F67F50"/>
    <w:rsid w:val="74FB2A94"/>
    <w:rsid w:val="74FD680C"/>
    <w:rsid w:val="7501149E"/>
    <w:rsid w:val="75094CD4"/>
    <w:rsid w:val="75137DDD"/>
    <w:rsid w:val="751F5372"/>
    <w:rsid w:val="75222C9D"/>
    <w:rsid w:val="75256778"/>
    <w:rsid w:val="752E78B1"/>
    <w:rsid w:val="752F7DCE"/>
    <w:rsid w:val="7532227C"/>
    <w:rsid w:val="75356DA1"/>
    <w:rsid w:val="753B2C6A"/>
    <w:rsid w:val="75437C44"/>
    <w:rsid w:val="75470458"/>
    <w:rsid w:val="75492E76"/>
    <w:rsid w:val="754B5D8F"/>
    <w:rsid w:val="755264BB"/>
    <w:rsid w:val="755424B7"/>
    <w:rsid w:val="756542EE"/>
    <w:rsid w:val="75675DB8"/>
    <w:rsid w:val="758B21BD"/>
    <w:rsid w:val="75AB2AFD"/>
    <w:rsid w:val="75B03307"/>
    <w:rsid w:val="75BC7ABF"/>
    <w:rsid w:val="75C6452B"/>
    <w:rsid w:val="75CA19D7"/>
    <w:rsid w:val="75DA316E"/>
    <w:rsid w:val="75DE2ACC"/>
    <w:rsid w:val="75E075C5"/>
    <w:rsid w:val="75E32A6B"/>
    <w:rsid w:val="75E95D2F"/>
    <w:rsid w:val="75F0310B"/>
    <w:rsid w:val="75F3747B"/>
    <w:rsid w:val="75F776FF"/>
    <w:rsid w:val="75FC3A54"/>
    <w:rsid w:val="761262E7"/>
    <w:rsid w:val="76257DC8"/>
    <w:rsid w:val="76310DA4"/>
    <w:rsid w:val="763273F7"/>
    <w:rsid w:val="76355221"/>
    <w:rsid w:val="763600D8"/>
    <w:rsid w:val="76463576"/>
    <w:rsid w:val="764B6670"/>
    <w:rsid w:val="76520A56"/>
    <w:rsid w:val="765C3ABF"/>
    <w:rsid w:val="765D6A50"/>
    <w:rsid w:val="765F2E7A"/>
    <w:rsid w:val="76637AB9"/>
    <w:rsid w:val="766D4748"/>
    <w:rsid w:val="76956B38"/>
    <w:rsid w:val="769E4528"/>
    <w:rsid w:val="76A95EEE"/>
    <w:rsid w:val="76B769F0"/>
    <w:rsid w:val="76C174E4"/>
    <w:rsid w:val="76C84BF7"/>
    <w:rsid w:val="76D538E0"/>
    <w:rsid w:val="76DC0C3C"/>
    <w:rsid w:val="76E95465"/>
    <w:rsid w:val="76E97048"/>
    <w:rsid w:val="76EA4FF6"/>
    <w:rsid w:val="76EC08E6"/>
    <w:rsid w:val="76ED7F68"/>
    <w:rsid w:val="76F219FF"/>
    <w:rsid w:val="76F67A28"/>
    <w:rsid w:val="76FE3F87"/>
    <w:rsid w:val="770E615B"/>
    <w:rsid w:val="770F069E"/>
    <w:rsid w:val="77101EA0"/>
    <w:rsid w:val="771B11CB"/>
    <w:rsid w:val="77252872"/>
    <w:rsid w:val="772B760F"/>
    <w:rsid w:val="77482C5F"/>
    <w:rsid w:val="774D3E20"/>
    <w:rsid w:val="774F7984"/>
    <w:rsid w:val="77503C30"/>
    <w:rsid w:val="775D4F27"/>
    <w:rsid w:val="7782001E"/>
    <w:rsid w:val="77844FC2"/>
    <w:rsid w:val="778F7703"/>
    <w:rsid w:val="77906E40"/>
    <w:rsid w:val="779156E7"/>
    <w:rsid w:val="77A944E5"/>
    <w:rsid w:val="77AD3487"/>
    <w:rsid w:val="77CB605D"/>
    <w:rsid w:val="77E10A3A"/>
    <w:rsid w:val="77E17546"/>
    <w:rsid w:val="77E34F68"/>
    <w:rsid w:val="77E375D8"/>
    <w:rsid w:val="77F42037"/>
    <w:rsid w:val="77F53A38"/>
    <w:rsid w:val="77FA34D6"/>
    <w:rsid w:val="77FC5BD6"/>
    <w:rsid w:val="78104B40"/>
    <w:rsid w:val="781E1F37"/>
    <w:rsid w:val="781E5066"/>
    <w:rsid w:val="781E7156"/>
    <w:rsid w:val="78256826"/>
    <w:rsid w:val="78364C0E"/>
    <w:rsid w:val="78396466"/>
    <w:rsid w:val="783C3AEF"/>
    <w:rsid w:val="784513E1"/>
    <w:rsid w:val="784626E5"/>
    <w:rsid w:val="784A620C"/>
    <w:rsid w:val="786635E7"/>
    <w:rsid w:val="78687CB8"/>
    <w:rsid w:val="787119EB"/>
    <w:rsid w:val="78770683"/>
    <w:rsid w:val="787A1E42"/>
    <w:rsid w:val="787A5876"/>
    <w:rsid w:val="78861E4A"/>
    <w:rsid w:val="78901706"/>
    <w:rsid w:val="78996425"/>
    <w:rsid w:val="78C14123"/>
    <w:rsid w:val="78C161D7"/>
    <w:rsid w:val="78C63E7B"/>
    <w:rsid w:val="78DB6AA1"/>
    <w:rsid w:val="78EB4037"/>
    <w:rsid w:val="78F41CD4"/>
    <w:rsid w:val="78F7736B"/>
    <w:rsid w:val="790C1F77"/>
    <w:rsid w:val="79110AD8"/>
    <w:rsid w:val="7913525A"/>
    <w:rsid w:val="79183C14"/>
    <w:rsid w:val="7924176E"/>
    <w:rsid w:val="79256331"/>
    <w:rsid w:val="792A691F"/>
    <w:rsid w:val="793675A6"/>
    <w:rsid w:val="794412EB"/>
    <w:rsid w:val="794448C0"/>
    <w:rsid w:val="79455C0B"/>
    <w:rsid w:val="795040BE"/>
    <w:rsid w:val="7955121E"/>
    <w:rsid w:val="79585269"/>
    <w:rsid w:val="7961360D"/>
    <w:rsid w:val="7965565C"/>
    <w:rsid w:val="796C21B2"/>
    <w:rsid w:val="796C3F60"/>
    <w:rsid w:val="79780B57"/>
    <w:rsid w:val="797E1F6F"/>
    <w:rsid w:val="797F457E"/>
    <w:rsid w:val="79AC4C43"/>
    <w:rsid w:val="79AE2806"/>
    <w:rsid w:val="79B40578"/>
    <w:rsid w:val="79B564CB"/>
    <w:rsid w:val="79BE0C60"/>
    <w:rsid w:val="79CA64AE"/>
    <w:rsid w:val="79D002FB"/>
    <w:rsid w:val="79DD0AD8"/>
    <w:rsid w:val="79E26729"/>
    <w:rsid w:val="79E317BF"/>
    <w:rsid w:val="79E62CE4"/>
    <w:rsid w:val="79EA3804"/>
    <w:rsid w:val="79ED50A1"/>
    <w:rsid w:val="79F41C72"/>
    <w:rsid w:val="7A016D9E"/>
    <w:rsid w:val="7A022B41"/>
    <w:rsid w:val="7A0A56AF"/>
    <w:rsid w:val="7A322B33"/>
    <w:rsid w:val="7A3251AA"/>
    <w:rsid w:val="7A3426B5"/>
    <w:rsid w:val="7A370FDF"/>
    <w:rsid w:val="7A3A4191"/>
    <w:rsid w:val="7A422D19"/>
    <w:rsid w:val="7A423C12"/>
    <w:rsid w:val="7A463580"/>
    <w:rsid w:val="7A50596E"/>
    <w:rsid w:val="7A5061E2"/>
    <w:rsid w:val="7A53368B"/>
    <w:rsid w:val="7A681467"/>
    <w:rsid w:val="7A6D61E2"/>
    <w:rsid w:val="7A7B26AD"/>
    <w:rsid w:val="7A7E2F7E"/>
    <w:rsid w:val="7A804167"/>
    <w:rsid w:val="7A8552D9"/>
    <w:rsid w:val="7A8B0E54"/>
    <w:rsid w:val="7A9A6864"/>
    <w:rsid w:val="7AA538CD"/>
    <w:rsid w:val="7AB4124D"/>
    <w:rsid w:val="7ABA062C"/>
    <w:rsid w:val="7ABB1DEA"/>
    <w:rsid w:val="7ABE4C8F"/>
    <w:rsid w:val="7AC91246"/>
    <w:rsid w:val="7ACC0BB4"/>
    <w:rsid w:val="7ACF266B"/>
    <w:rsid w:val="7ADC55D7"/>
    <w:rsid w:val="7AE567F6"/>
    <w:rsid w:val="7AEC3C1A"/>
    <w:rsid w:val="7AF9799E"/>
    <w:rsid w:val="7AFC24C0"/>
    <w:rsid w:val="7B090F01"/>
    <w:rsid w:val="7B0C1107"/>
    <w:rsid w:val="7B1227F8"/>
    <w:rsid w:val="7B145B93"/>
    <w:rsid w:val="7B1907F0"/>
    <w:rsid w:val="7B2528B4"/>
    <w:rsid w:val="7B260D53"/>
    <w:rsid w:val="7B30127B"/>
    <w:rsid w:val="7B365BC6"/>
    <w:rsid w:val="7B3E29B5"/>
    <w:rsid w:val="7B3E36DA"/>
    <w:rsid w:val="7B3F2F42"/>
    <w:rsid w:val="7B4333CD"/>
    <w:rsid w:val="7B51262A"/>
    <w:rsid w:val="7B6E3FBF"/>
    <w:rsid w:val="7B7965FE"/>
    <w:rsid w:val="7B7D06A6"/>
    <w:rsid w:val="7B8239B0"/>
    <w:rsid w:val="7B827A6B"/>
    <w:rsid w:val="7B8E5F5C"/>
    <w:rsid w:val="7B987878"/>
    <w:rsid w:val="7BA42138"/>
    <w:rsid w:val="7BA479E1"/>
    <w:rsid w:val="7BAD6D4A"/>
    <w:rsid w:val="7BAF472F"/>
    <w:rsid w:val="7BB14EDC"/>
    <w:rsid w:val="7BB50E20"/>
    <w:rsid w:val="7BB62178"/>
    <w:rsid w:val="7BB73927"/>
    <w:rsid w:val="7BB94290"/>
    <w:rsid w:val="7BDD4BE6"/>
    <w:rsid w:val="7BDF04D0"/>
    <w:rsid w:val="7BE84ACF"/>
    <w:rsid w:val="7BF52DB7"/>
    <w:rsid w:val="7BF81ADB"/>
    <w:rsid w:val="7BFF04E2"/>
    <w:rsid w:val="7C0B6AC2"/>
    <w:rsid w:val="7C114CB7"/>
    <w:rsid w:val="7C1C3A1B"/>
    <w:rsid w:val="7C2B489C"/>
    <w:rsid w:val="7C352D2F"/>
    <w:rsid w:val="7C3F60A8"/>
    <w:rsid w:val="7C436872"/>
    <w:rsid w:val="7C4B0FAA"/>
    <w:rsid w:val="7C5E5E35"/>
    <w:rsid w:val="7C6254F8"/>
    <w:rsid w:val="7C681C48"/>
    <w:rsid w:val="7C730422"/>
    <w:rsid w:val="7C79104D"/>
    <w:rsid w:val="7C812119"/>
    <w:rsid w:val="7C923CDE"/>
    <w:rsid w:val="7C9542D0"/>
    <w:rsid w:val="7C9A05CD"/>
    <w:rsid w:val="7C9F0312"/>
    <w:rsid w:val="7CAA0B70"/>
    <w:rsid w:val="7CB37D96"/>
    <w:rsid w:val="7CB77687"/>
    <w:rsid w:val="7CC00B15"/>
    <w:rsid w:val="7CDB0A82"/>
    <w:rsid w:val="7CE70179"/>
    <w:rsid w:val="7CF00927"/>
    <w:rsid w:val="7CF13AEE"/>
    <w:rsid w:val="7CF172B9"/>
    <w:rsid w:val="7CF65D3E"/>
    <w:rsid w:val="7CFC465E"/>
    <w:rsid w:val="7CFD28CF"/>
    <w:rsid w:val="7D027841"/>
    <w:rsid w:val="7D0A5F6A"/>
    <w:rsid w:val="7D1433B0"/>
    <w:rsid w:val="7D16490F"/>
    <w:rsid w:val="7D170CA4"/>
    <w:rsid w:val="7D28070D"/>
    <w:rsid w:val="7D306F70"/>
    <w:rsid w:val="7D313860"/>
    <w:rsid w:val="7D333DEC"/>
    <w:rsid w:val="7D362B32"/>
    <w:rsid w:val="7D376633"/>
    <w:rsid w:val="7D3C25A3"/>
    <w:rsid w:val="7D3E5C13"/>
    <w:rsid w:val="7D3F3530"/>
    <w:rsid w:val="7D433503"/>
    <w:rsid w:val="7D4638A1"/>
    <w:rsid w:val="7D483EC6"/>
    <w:rsid w:val="7D487BFB"/>
    <w:rsid w:val="7D4915AE"/>
    <w:rsid w:val="7D694645"/>
    <w:rsid w:val="7D6B0D83"/>
    <w:rsid w:val="7D6B0FB3"/>
    <w:rsid w:val="7D6C2781"/>
    <w:rsid w:val="7D6C7906"/>
    <w:rsid w:val="7D6F4CC8"/>
    <w:rsid w:val="7D7004C3"/>
    <w:rsid w:val="7D7C5803"/>
    <w:rsid w:val="7D7D7BFD"/>
    <w:rsid w:val="7D8E2930"/>
    <w:rsid w:val="7D965AF2"/>
    <w:rsid w:val="7D9A156C"/>
    <w:rsid w:val="7D9B321E"/>
    <w:rsid w:val="7DA97531"/>
    <w:rsid w:val="7DB55297"/>
    <w:rsid w:val="7DBE2B05"/>
    <w:rsid w:val="7DC079C3"/>
    <w:rsid w:val="7DC224E6"/>
    <w:rsid w:val="7DC40DF0"/>
    <w:rsid w:val="7DCC6151"/>
    <w:rsid w:val="7DD963C8"/>
    <w:rsid w:val="7DE41D54"/>
    <w:rsid w:val="7DF30334"/>
    <w:rsid w:val="7DF369FE"/>
    <w:rsid w:val="7DF5444F"/>
    <w:rsid w:val="7DF74253"/>
    <w:rsid w:val="7E124DB4"/>
    <w:rsid w:val="7E360FBC"/>
    <w:rsid w:val="7E3C56EF"/>
    <w:rsid w:val="7E4159BB"/>
    <w:rsid w:val="7E49457C"/>
    <w:rsid w:val="7E603084"/>
    <w:rsid w:val="7E6150E3"/>
    <w:rsid w:val="7E725B75"/>
    <w:rsid w:val="7E7B5798"/>
    <w:rsid w:val="7E7D0715"/>
    <w:rsid w:val="7E7D2B1B"/>
    <w:rsid w:val="7E8731BF"/>
    <w:rsid w:val="7E8E4216"/>
    <w:rsid w:val="7E941F8F"/>
    <w:rsid w:val="7EA47CF8"/>
    <w:rsid w:val="7EAA002B"/>
    <w:rsid w:val="7EAD7761"/>
    <w:rsid w:val="7EB365D2"/>
    <w:rsid w:val="7EBF4B32"/>
    <w:rsid w:val="7EC26C1F"/>
    <w:rsid w:val="7ECB34D7"/>
    <w:rsid w:val="7ECC727C"/>
    <w:rsid w:val="7ECD2214"/>
    <w:rsid w:val="7ED72A7F"/>
    <w:rsid w:val="7EE540F6"/>
    <w:rsid w:val="7EEC6400"/>
    <w:rsid w:val="7EED3DCE"/>
    <w:rsid w:val="7EED7801"/>
    <w:rsid w:val="7EF87A98"/>
    <w:rsid w:val="7F080F2E"/>
    <w:rsid w:val="7F130024"/>
    <w:rsid w:val="7F1475FF"/>
    <w:rsid w:val="7F1509DB"/>
    <w:rsid w:val="7F2B6212"/>
    <w:rsid w:val="7F2E4138"/>
    <w:rsid w:val="7F332850"/>
    <w:rsid w:val="7F361708"/>
    <w:rsid w:val="7F3A6453"/>
    <w:rsid w:val="7F457584"/>
    <w:rsid w:val="7F53350F"/>
    <w:rsid w:val="7F5E7D34"/>
    <w:rsid w:val="7F641A7D"/>
    <w:rsid w:val="7F6B1248"/>
    <w:rsid w:val="7F6B1E42"/>
    <w:rsid w:val="7FA04138"/>
    <w:rsid w:val="7FAF798F"/>
    <w:rsid w:val="7FB079C5"/>
    <w:rsid w:val="7FB32836"/>
    <w:rsid w:val="7FB37A7A"/>
    <w:rsid w:val="7FBC791E"/>
    <w:rsid w:val="7FCB3655"/>
    <w:rsid w:val="7FDB6568"/>
    <w:rsid w:val="7FE51D05"/>
    <w:rsid w:val="7FFD3B64"/>
    <w:rsid w:val="7FFF2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qFormat="1"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99" w:semiHidden="0" w:name="Balloon Text"/>
    <w:lsdException w:qFormat="1" w:uiPriority="0" w:semiHidden="0" w:name="Table Grid"/>
    <w:lsdException w:unhideWhenUsed="0" w:uiPriority="99" w:semiHidden="0"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ascii="Times New Roman" w:hAnsi="Times New Roman" w:eastAsia="仿宋_GB2312" w:cs="Times New Roman"/>
      <w:kern w:val="2"/>
      <w:sz w:val="21"/>
      <w:szCs w:val="24"/>
      <w:lang w:val="en-US" w:eastAsia="zh-CN" w:bidi="ar-SA"/>
    </w:rPr>
  </w:style>
  <w:style w:type="paragraph" w:styleId="3">
    <w:name w:val="heading 1"/>
    <w:basedOn w:val="1"/>
    <w:next w:val="1"/>
    <w:link w:val="50"/>
    <w:qFormat/>
    <w:uiPriority w:val="9"/>
    <w:pPr>
      <w:keepNext/>
      <w:keepLines/>
      <w:spacing w:before="340" w:after="330"/>
      <w:jc w:val="center"/>
      <w:outlineLvl w:val="0"/>
    </w:pPr>
    <w:rPr>
      <w:b/>
      <w:bCs/>
      <w:kern w:val="44"/>
      <w:sz w:val="28"/>
      <w:szCs w:val="44"/>
    </w:rPr>
  </w:style>
  <w:style w:type="paragraph" w:styleId="4">
    <w:name w:val="heading 2"/>
    <w:basedOn w:val="1"/>
    <w:next w:val="1"/>
    <w:link w:val="44"/>
    <w:qFormat/>
    <w:uiPriority w:val="9"/>
    <w:pPr>
      <w:keepNext/>
      <w:keepLines/>
      <w:spacing w:before="140" w:after="140"/>
      <w:jc w:val="center"/>
      <w:outlineLvl w:val="1"/>
    </w:pPr>
    <w:rPr>
      <w:rFonts w:ascii="Arial" w:hAnsi="Arial"/>
      <w:b/>
      <w:kern w:val="0"/>
      <w:sz w:val="24"/>
      <w:szCs w:val="20"/>
    </w:rPr>
  </w:style>
  <w:style w:type="paragraph" w:styleId="5">
    <w:name w:val="heading 3"/>
    <w:basedOn w:val="1"/>
    <w:next w:val="1"/>
    <w:link w:val="100"/>
    <w:qFormat/>
    <w:uiPriority w:val="9"/>
    <w:pPr>
      <w:keepNext/>
      <w:keepLines/>
      <w:spacing w:line="413" w:lineRule="auto"/>
      <w:outlineLvl w:val="2"/>
    </w:pPr>
    <w:rPr>
      <w:sz w:val="28"/>
    </w:rPr>
  </w:style>
  <w:style w:type="paragraph" w:styleId="6">
    <w:name w:val="heading 4"/>
    <w:basedOn w:val="1"/>
    <w:next w:val="1"/>
    <w:qFormat/>
    <w:uiPriority w:val="0"/>
    <w:pPr>
      <w:keepNext/>
      <w:keepLines/>
      <w:spacing w:line="240" w:lineRule="auto"/>
      <w:ind w:firstLine="883"/>
      <w:outlineLvl w:val="3"/>
    </w:pPr>
    <w:rPr>
      <w:rFonts w:ascii="Arial" w:hAnsi="Arial"/>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正式文本"/>
    <w:basedOn w:val="1"/>
    <w:link w:val="55"/>
    <w:qFormat/>
    <w:uiPriority w:val="0"/>
    <w:pPr>
      <w:spacing w:line="500" w:lineRule="exact"/>
      <w:ind w:firstLine="200"/>
    </w:pPr>
    <w:rPr>
      <w:rFonts w:ascii="Arial Narrow" w:hAnsi="Arial Narrow" w:eastAsia="汉鼎简书宋"/>
      <w:sz w:val="24"/>
    </w:rPr>
  </w:style>
  <w:style w:type="paragraph" w:styleId="7">
    <w:name w:val="toc 7"/>
    <w:basedOn w:val="1"/>
    <w:next w:val="1"/>
    <w:qFormat/>
    <w:uiPriority w:val="39"/>
    <w:pPr>
      <w:ind w:left="2520" w:leftChars="1200"/>
    </w:pPr>
  </w:style>
  <w:style w:type="paragraph" w:styleId="8">
    <w:name w:val="Normal Indent"/>
    <w:basedOn w:val="1"/>
    <w:link w:val="123"/>
    <w:qFormat/>
    <w:uiPriority w:val="0"/>
    <w:pPr>
      <w:ind w:firstLine="420"/>
    </w:pPr>
  </w:style>
  <w:style w:type="paragraph" w:styleId="9">
    <w:name w:val="caption"/>
    <w:basedOn w:val="1"/>
    <w:next w:val="1"/>
    <w:qFormat/>
    <w:uiPriority w:val="99"/>
    <w:pPr>
      <w:snapToGrid w:val="0"/>
      <w:spacing w:line="336" w:lineRule="auto"/>
      <w:jc w:val="center"/>
    </w:pPr>
    <w:rPr>
      <w:rFonts w:eastAsia="宋体"/>
      <w:b/>
      <w:color w:val="000000"/>
      <w:szCs w:val="20"/>
    </w:rPr>
  </w:style>
  <w:style w:type="paragraph" w:styleId="10">
    <w:name w:val="Document Map"/>
    <w:basedOn w:val="1"/>
    <w:semiHidden/>
    <w:qFormat/>
    <w:uiPriority w:val="99"/>
    <w:pPr>
      <w:shd w:val="clear" w:color="auto" w:fill="000080"/>
    </w:pPr>
  </w:style>
  <w:style w:type="paragraph" w:styleId="11">
    <w:name w:val="annotation text"/>
    <w:basedOn w:val="1"/>
    <w:unhideWhenUsed/>
    <w:qFormat/>
    <w:uiPriority w:val="99"/>
    <w:pPr>
      <w:jc w:val="left"/>
    </w:pPr>
  </w:style>
  <w:style w:type="paragraph" w:styleId="12">
    <w:name w:val="Body Text"/>
    <w:basedOn w:val="1"/>
    <w:next w:val="13"/>
    <w:link w:val="114"/>
    <w:qFormat/>
    <w:uiPriority w:val="0"/>
    <w:pPr>
      <w:spacing w:after="120"/>
    </w:pPr>
  </w:style>
  <w:style w:type="paragraph" w:customStyle="1" w:styleId="13">
    <w:name w:val="正文部分"/>
    <w:basedOn w:val="1"/>
    <w:qFormat/>
    <w:uiPriority w:val="99"/>
    <w:pPr>
      <w:adjustRightInd w:val="0"/>
      <w:spacing w:line="460" w:lineRule="exact"/>
      <w:textAlignment w:val="baseline"/>
    </w:pPr>
    <w:rPr>
      <w:rFonts w:ascii="宋体" w:hAnsi="宋体"/>
      <w:kern w:val="0"/>
      <w:sz w:val="30"/>
      <w:szCs w:val="20"/>
    </w:rPr>
  </w:style>
  <w:style w:type="paragraph" w:styleId="14">
    <w:name w:val="Body Text Indent"/>
    <w:basedOn w:val="1"/>
    <w:link w:val="77"/>
    <w:qFormat/>
    <w:uiPriority w:val="0"/>
    <w:pPr>
      <w:spacing w:after="120"/>
      <w:ind w:left="420" w:leftChars="200"/>
    </w:pPr>
  </w:style>
  <w:style w:type="paragraph" w:styleId="15">
    <w:name w:val="Block Text"/>
    <w:basedOn w:val="1"/>
    <w:unhideWhenUsed/>
    <w:qFormat/>
    <w:uiPriority w:val="99"/>
    <w:pPr>
      <w:spacing w:after="120"/>
      <w:ind w:left="1440" w:leftChars="700" w:right="700" w:rightChars="700"/>
    </w:pPr>
  </w:style>
  <w:style w:type="paragraph" w:styleId="16">
    <w:name w:val="index 4"/>
    <w:basedOn w:val="1"/>
    <w:next w:val="1"/>
    <w:qFormat/>
    <w:uiPriority w:val="0"/>
    <w:pPr>
      <w:ind w:left="600" w:leftChars="600"/>
    </w:pPr>
    <w:rPr>
      <w:sz w:val="32"/>
    </w:rPr>
  </w:style>
  <w:style w:type="paragraph" w:styleId="17">
    <w:name w:val="toc 5"/>
    <w:basedOn w:val="1"/>
    <w:next w:val="1"/>
    <w:qFormat/>
    <w:uiPriority w:val="39"/>
    <w:pPr>
      <w:ind w:left="1680" w:leftChars="800"/>
    </w:pPr>
  </w:style>
  <w:style w:type="paragraph" w:styleId="18">
    <w:name w:val="toc 3"/>
    <w:basedOn w:val="1"/>
    <w:next w:val="1"/>
    <w:qFormat/>
    <w:uiPriority w:val="39"/>
    <w:pPr>
      <w:ind w:left="840" w:leftChars="400"/>
    </w:pPr>
  </w:style>
  <w:style w:type="paragraph" w:styleId="19">
    <w:name w:val="Plain Text"/>
    <w:basedOn w:val="1"/>
    <w:qFormat/>
    <w:uiPriority w:val="0"/>
    <w:rPr>
      <w:rFonts w:ascii="宋体" w:hAnsi="Courier New" w:cs="Courier New"/>
      <w:szCs w:val="21"/>
    </w:rPr>
  </w:style>
  <w:style w:type="paragraph" w:styleId="20">
    <w:name w:val="toc 8"/>
    <w:basedOn w:val="1"/>
    <w:next w:val="1"/>
    <w:qFormat/>
    <w:uiPriority w:val="39"/>
    <w:pPr>
      <w:ind w:left="2940" w:leftChars="1400"/>
    </w:pPr>
  </w:style>
  <w:style w:type="paragraph" w:styleId="21">
    <w:name w:val="Date"/>
    <w:basedOn w:val="1"/>
    <w:next w:val="1"/>
    <w:qFormat/>
    <w:uiPriority w:val="0"/>
    <w:pPr>
      <w:ind w:left="100" w:leftChars="2500"/>
    </w:pPr>
  </w:style>
  <w:style w:type="paragraph" w:styleId="22">
    <w:name w:val="Body Text Indent 2"/>
    <w:basedOn w:val="1"/>
    <w:qFormat/>
    <w:uiPriority w:val="0"/>
    <w:pPr>
      <w:spacing w:after="120" w:line="480" w:lineRule="auto"/>
      <w:ind w:left="420" w:leftChars="200"/>
    </w:pPr>
    <w:rPr>
      <w:sz w:val="32"/>
    </w:rPr>
  </w:style>
  <w:style w:type="paragraph" w:styleId="23">
    <w:name w:val="Balloon Text"/>
    <w:basedOn w:val="1"/>
    <w:link w:val="96"/>
    <w:qFormat/>
    <w:uiPriority w:val="99"/>
    <w:pPr>
      <w:spacing w:line="240" w:lineRule="auto"/>
    </w:pPr>
    <w:rPr>
      <w:sz w:val="18"/>
      <w:szCs w:val="18"/>
    </w:rPr>
  </w:style>
  <w:style w:type="paragraph" w:styleId="24">
    <w:name w:val="footer"/>
    <w:basedOn w:val="1"/>
    <w:link w:val="53"/>
    <w:qFormat/>
    <w:uiPriority w:val="99"/>
    <w:pPr>
      <w:tabs>
        <w:tab w:val="center" w:pos="4153"/>
        <w:tab w:val="right" w:pos="8306"/>
      </w:tabs>
      <w:snapToGrid w:val="0"/>
      <w:jc w:val="left"/>
    </w:pPr>
    <w:rPr>
      <w:sz w:val="18"/>
      <w:szCs w:val="18"/>
    </w:rPr>
  </w:style>
  <w:style w:type="paragraph" w:styleId="25">
    <w:name w:val="header"/>
    <w:basedOn w:val="1"/>
    <w:link w:val="54"/>
    <w:qFormat/>
    <w:uiPriority w:val="99"/>
    <w:pPr>
      <w:tabs>
        <w:tab w:val="center" w:pos="4153"/>
        <w:tab w:val="right" w:pos="8306"/>
      </w:tabs>
      <w:snapToGrid w:val="0"/>
      <w:jc w:val="center"/>
    </w:pPr>
    <w:rPr>
      <w:sz w:val="18"/>
      <w:szCs w:val="18"/>
    </w:rPr>
  </w:style>
  <w:style w:type="paragraph" w:styleId="26">
    <w:name w:val="toc 1"/>
    <w:basedOn w:val="1"/>
    <w:next w:val="1"/>
    <w:qFormat/>
    <w:uiPriority w:val="39"/>
  </w:style>
  <w:style w:type="paragraph" w:styleId="27">
    <w:name w:val="toc 4"/>
    <w:basedOn w:val="1"/>
    <w:next w:val="1"/>
    <w:qFormat/>
    <w:uiPriority w:val="39"/>
    <w:pPr>
      <w:ind w:left="1260" w:leftChars="600"/>
    </w:pPr>
  </w:style>
  <w:style w:type="paragraph" w:styleId="28">
    <w:name w:val="List"/>
    <w:basedOn w:val="1"/>
    <w:qFormat/>
    <w:uiPriority w:val="0"/>
    <w:pPr>
      <w:ind w:left="200" w:hanging="200" w:hangingChars="200"/>
    </w:pPr>
  </w:style>
  <w:style w:type="paragraph" w:styleId="29">
    <w:name w:val="toc 6"/>
    <w:basedOn w:val="1"/>
    <w:next w:val="1"/>
    <w:qFormat/>
    <w:uiPriority w:val="39"/>
    <w:pPr>
      <w:ind w:left="2100" w:leftChars="1000"/>
    </w:pPr>
  </w:style>
  <w:style w:type="paragraph" w:styleId="30">
    <w:name w:val="toc 2"/>
    <w:basedOn w:val="1"/>
    <w:next w:val="1"/>
    <w:qFormat/>
    <w:uiPriority w:val="39"/>
    <w:pPr>
      <w:ind w:left="420" w:leftChars="200"/>
    </w:pPr>
  </w:style>
  <w:style w:type="paragraph" w:styleId="31">
    <w:name w:val="toc 9"/>
    <w:basedOn w:val="1"/>
    <w:next w:val="1"/>
    <w:qFormat/>
    <w:uiPriority w:val="39"/>
    <w:pPr>
      <w:ind w:left="3360" w:leftChars="1600"/>
    </w:pPr>
  </w:style>
  <w:style w:type="paragraph" w:styleId="32">
    <w:name w:val="Body Text 2"/>
    <w:basedOn w:val="1"/>
    <w:qFormat/>
    <w:uiPriority w:val="0"/>
    <w:pPr>
      <w:tabs>
        <w:tab w:val="right" w:pos="2205"/>
      </w:tabs>
    </w:pPr>
    <w:rPr>
      <w:color w:val="000000"/>
      <w:sz w:val="28"/>
    </w:rPr>
  </w:style>
  <w:style w:type="paragraph" w:styleId="33">
    <w:name w:val="Normal (Web)"/>
    <w:basedOn w:val="1"/>
    <w:qFormat/>
    <w:uiPriority w:val="0"/>
    <w:pPr>
      <w:widowControl/>
      <w:spacing w:before="100" w:beforeAutospacing="1" w:after="100" w:afterAutospacing="1"/>
      <w:jc w:val="left"/>
    </w:pPr>
    <w:rPr>
      <w:rFonts w:ascii="宋体" w:hAnsi="宋体"/>
      <w:kern w:val="0"/>
      <w:sz w:val="24"/>
    </w:rPr>
  </w:style>
  <w:style w:type="paragraph" w:styleId="34">
    <w:name w:val="Title"/>
    <w:basedOn w:val="1"/>
    <w:next w:val="1"/>
    <w:link w:val="43"/>
    <w:qFormat/>
    <w:uiPriority w:val="0"/>
    <w:pPr>
      <w:spacing w:before="240" w:after="60"/>
      <w:jc w:val="center"/>
      <w:outlineLvl w:val="0"/>
    </w:pPr>
    <w:rPr>
      <w:rFonts w:ascii="Cambria" w:hAnsi="Cambria"/>
      <w:b/>
      <w:bCs/>
      <w:sz w:val="32"/>
      <w:szCs w:val="32"/>
    </w:rPr>
  </w:style>
  <w:style w:type="paragraph" w:styleId="35">
    <w:name w:val="Body Text First Indent 2"/>
    <w:basedOn w:val="14"/>
    <w:qFormat/>
    <w:uiPriority w:val="0"/>
    <w:pPr>
      <w:ind w:firstLine="420"/>
    </w:pPr>
  </w:style>
  <w:style w:type="table" w:styleId="37">
    <w:name w:val="Table Grid"/>
    <w:basedOn w:val="36"/>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page number"/>
    <w:basedOn w:val="38"/>
    <w:qFormat/>
    <w:uiPriority w:val="0"/>
  </w:style>
  <w:style w:type="character" w:styleId="40">
    <w:name w:val="Emphasis"/>
    <w:qFormat/>
    <w:uiPriority w:val="20"/>
    <w:rPr>
      <w:color w:val="CC0000"/>
      <w:sz w:val="28"/>
      <w:szCs w:val="20"/>
    </w:rPr>
  </w:style>
  <w:style w:type="character" w:styleId="41">
    <w:name w:val="Hyperlink"/>
    <w:qFormat/>
    <w:uiPriority w:val="99"/>
    <w:rPr>
      <w:color w:val="0000FF"/>
      <w:sz w:val="28"/>
      <w:szCs w:val="20"/>
      <w:u w:val="single"/>
    </w:rPr>
  </w:style>
  <w:style w:type="paragraph" w:styleId="42">
    <w:name w:val="List Paragraph"/>
    <w:basedOn w:val="1"/>
    <w:qFormat/>
    <w:uiPriority w:val="34"/>
    <w:pPr>
      <w:ind w:firstLine="420"/>
    </w:pPr>
  </w:style>
  <w:style w:type="character" w:customStyle="1" w:styleId="43">
    <w:name w:val="标题 Char"/>
    <w:link w:val="34"/>
    <w:qFormat/>
    <w:uiPriority w:val="0"/>
    <w:rPr>
      <w:rFonts w:ascii="Cambria" w:hAnsi="Cambria" w:cs="Times New Roman"/>
      <w:b/>
      <w:bCs/>
      <w:kern w:val="2"/>
      <w:sz w:val="32"/>
      <w:szCs w:val="32"/>
    </w:rPr>
  </w:style>
  <w:style w:type="character" w:customStyle="1" w:styleId="44">
    <w:name w:val="标题 2 Char"/>
    <w:link w:val="4"/>
    <w:qFormat/>
    <w:uiPriority w:val="9"/>
    <w:rPr>
      <w:rFonts w:ascii="Arial" w:hAnsi="Arial" w:eastAsia="仿宋_GB2312"/>
      <w:b/>
      <w:sz w:val="24"/>
    </w:rPr>
  </w:style>
  <w:style w:type="character" w:customStyle="1" w:styleId="45">
    <w:name w:val="llj Char"/>
    <w:link w:val="46"/>
    <w:qFormat/>
    <w:uiPriority w:val="0"/>
    <w:rPr>
      <w:rFonts w:eastAsia="宋体"/>
      <w:kern w:val="2"/>
      <w:sz w:val="24"/>
      <w:szCs w:val="22"/>
      <w:lang w:val="en-US" w:eastAsia="zh-CN" w:bidi="ar-SA"/>
    </w:rPr>
  </w:style>
  <w:style w:type="paragraph" w:customStyle="1" w:styleId="46">
    <w:name w:val="llj"/>
    <w:basedOn w:val="1"/>
    <w:link w:val="45"/>
    <w:qFormat/>
    <w:uiPriority w:val="0"/>
    <w:pPr>
      <w:spacing w:line="400" w:lineRule="exact"/>
      <w:ind w:firstLine="200"/>
    </w:pPr>
    <w:rPr>
      <w:rFonts w:eastAsia="宋体"/>
      <w:sz w:val="24"/>
      <w:szCs w:val="22"/>
    </w:rPr>
  </w:style>
  <w:style w:type="character" w:customStyle="1" w:styleId="47">
    <w:name w:val="font11"/>
    <w:qFormat/>
    <w:uiPriority w:val="0"/>
    <w:rPr>
      <w:rFonts w:ascii="font-weight : 700" w:hAnsi="font-weight : 700" w:eastAsia="font-weight : 700" w:cs="font-weight : 700"/>
      <w:color w:val="000000"/>
      <w:sz w:val="16"/>
      <w:szCs w:val="16"/>
      <w:u w:val="none"/>
    </w:rPr>
  </w:style>
  <w:style w:type="character" w:customStyle="1" w:styleId="48">
    <w:name w:val="图示123 Char"/>
    <w:link w:val="49"/>
    <w:qFormat/>
    <w:uiPriority w:val="0"/>
    <w:rPr>
      <w:rFonts w:ascii="宋体" w:hAnsi="宋体" w:eastAsia="仿宋_GB2312"/>
      <w:kern w:val="2"/>
      <w:sz w:val="21"/>
      <w:szCs w:val="24"/>
      <w:lang w:val="en-US" w:eastAsia="zh-CN" w:bidi="ar-SA"/>
    </w:rPr>
  </w:style>
  <w:style w:type="paragraph" w:customStyle="1" w:styleId="49">
    <w:name w:val="图示123"/>
    <w:basedOn w:val="1"/>
    <w:link w:val="48"/>
    <w:qFormat/>
    <w:uiPriority w:val="0"/>
    <w:pPr>
      <w:spacing w:beforeLines="50" w:afterLines="50"/>
      <w:jc w:val="center"/>
    </w:pPr>
    <w:rPr>
      <w:rFonts w:ascii="宋体" w:hAnsi="宋体"/>
    </w:rPr>
  </w:style>
  <w:style w:type="character" w:customStyle="1" w:styleId="50">
    <w:name w:val="标题 1 Char"/>
    <w:link w:val="3"/>
    <w:qFormat/>
    <w:uiPriority w:val="9"/>
    <w:rPr>
      <w:rFonts w:ascii="Times New Roman" w:hAnsi="Times New Roman" w:eastAsia="仿宋_GB2312"/>
      <w:b/>
      <w:bCs/>
      <w:kern w:val="44"/>
      <w:sz w:val="28"/>
      <w:szCs w:val="44"/>
    </w:rPr>
  </w:style>
  <w:style w:type="character" w:customStyle="1" w:styleId="51">
    <w:name w:val="zhenwen141"/>
    <w:qFormat/>
    <w:uiPriority w:val="0"/>
    <w:rPr>
      <w:rFonts w:hint="default" w:ascii="ˎ̥" w:hAnsi="ˎ̥"/>
      <w:sz w:val="21"/>
      <w:szCs w:val="21"/>
    </w:rPr>
  </w:style>
  <w:style w:type="character" w:customStyle="1" w:styleId="52">
    <w:name w:val="Plain Text Char"/>
    <w:qFormat/>
    <w:uiPriority w:val="0"/>
    <w:rPr>
      <w:rFonts w:ascii="宋体" w:hAnsi="Courier New" w:eastAsia="宋体"/>
      <w:sz w:val="21"/>
    </w:rPr>
  </w:style>
  <w:style w:type="character" w:customStyle="1" w:styleId="53">
    <w:name w:val="页脚 Char"/>
    <w:link w:val="24"/>
    <w:qFormat/>
    <w:uiPriority w:val="99"/>
    <w:rPr>
      <w:rFonts w:eastAsia="仿宋_GB2312"/>
      <w:kern w:val="2"/>
      <w:sz w:val="18"/>
      <w:szCs w:val="18"/>
    </w:rPr>
  </w:style>
  <w:style w:type="character" w:customStyle="1" w:styleId="54">
    <w:name w:val="页眉 Char"/>
    <w:link w:val="25"/>
    <w:qFormat/>
    <w:uiPriority w:val="99"/>
    <w:rPr>
      <w:rFonts w:eastAsia="仿宋_GB2312"/>
      <w:kern w:val="2"/>
      <w:sz w:val="18"/>
      <w:szCs w:val="18"/>
      <w:lang w:val="en-US" w:eastAsia="zh-CN" w:bidi="ar-SA"/>
    </w:rPr>
  </w:style>
  <w:style w:type="character" w:customStyle="1" w:styleId="55">
    <w:name w:val="正式文本 Char"/>
    <w:link w:val="2"/>
    <w:qFormat/>
    <w:uiPriority w:val="0"/>
    <w:rPr>
      <w:rFonts w:ascii="Arial Narrow" w:hAnsi="Arial Narrow" w:eastAsia="汉鼎简书宋"/>
      <w:kern w:val="2"/>
      <w:sz w:val="24"/>
      <w:szCs w:val="24"/>
      <w:lang w:val="en-US" w:eastAsia="zh-CN" w:bidi="ar-SA"/>
    </w:rPr>
  </w:style>
  <w:style w:type="character" w:customStyle="1" w:styleId="56">
    <w:name w:val="3 Char"/>
    <w:link w:val="57"/>
    <w:qFormat/>
    <w:uiPriority w:val="0"/>
    <w:rPr>
      <w:rFonts w:eastAsia="宋体"/>
      <w:color w:val="000000"/>
      <w:sz w:val="24"/>
      <w:szCs w:val="20"/>
      <w:lang w:bidi="ar-SA"/>
    </w:rPr>
  </w:style>
  <w:style w:type="paragraph" w:customStyle="1" w:styleId="57">
    <w:name w:val="3"/>
    <w:basedOn w:val="1"/>
    <w:link w:val="56"/>
    <w:qFormat/>
    <w:uiPriority w:val="0"/>
    <w:pPr>
      <w:ind w:left="-105" w:leftChars="-50" w:right="-40" w:rightChars="-19" w:firstLine="449" w:firstLineChars="187"/>
    </w:pPr>
    <w:rPr>
      <w:rFonts w:eastAsia="宋体"/>
      <w:color w:val="000000"/>
      <w:kern w:val="0"/>
      <w:sz w:val="24"/>
      <w:szCs w:val="20"/>
    </w:rPr>
  </w:style>
  <w:style w:type="paragraph" w:customStyle="1" w:styleId="58">
    <w:name w:val="郭标正文"/>
    <w:basedOn w:val="1"/>
    <w:qFormat/>
    <w:uiPriority w:val="0"/>
    <w:pPr>
      <w:widowControl/>
      <w:spacing w:line="400" w:lineRule="exact"/>
      <w:ind w:firstLine="200"/>
      <w:jc w:val="left"/>
    </w:pPr>
    <w:rPr>
      <w:rFonts w:ascii="楷体_GB2312" w:eastAsia="楷体_GB2312" w:cs="宋体"/>
      <w:bCs/>
      <w:kern w:val="44"/>
      <w:szCs w:val="20"/>
    </w:rPr>
  </w:style>
  <w:style w:type="paragraph" w:customStyle="1" w:styleId="59">
    <w:name w:val="无间隔1"/>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60">
    <w:name w:val="样式1"/>
    <w:basedOn w:val="1"/>
    <w:qFormat/>
    <w:uiPriority w:val="0"/>
    <w:pPr>
      <w:ind w:firstLine="0" w:firstLineChars="0"/>
    </w:pPr>
    <w:rPr>
      <w:b/>
    </w:rPr>
  </w:style>
  <w:style w:type="paragraph" w:customStyle="1" w:styleId="61">
    <w:name w:val="_Style 8"/>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62">
    <w:name w:val="_Style 11"/>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63">
    <w:name w:val="列表段落1"/>
    <w:basedOn w:val="1"/>
    <w:qFormat/>
    <w:uiPriority w:val="0"/>
    <w:pPr>
      <w:snapToGrid w:val="0"/>
      <w:spacing w:line="240" w:lineRule="auto"/>
      <w:ind w:firstLine="420"/>
    </w:pPr>
    <w:rPr>
      <w:snapToGrid w:val="0"/>
      <w:sz w:val="24"/>
      <w:szCs w:val="21"/>
    </w:rPr>
  </w:style>
  <w:style w:type="paragraph" w:customStyle="1" w:styleId="64">
    <w:name w:val="新"/>
    <w:basedOn w:val="1"/>
    <w:qFormat/>
    <w:uiPriority w:val="0"/>
    <w:pPr>
      <w:widowControl/>
      <w:snapToGrid w:val="0"/>
      <w:spacing w:beforeLines="30" w:afterLines="30" w:line="400" w:lineRule="exact"/>
      <w:ind w:firstLine="200"/>
      <w:textAlignment w:val="baseline"/>
    </w:pPr>
    <w:rPr>
      <w:rFonts w:ascii="仿宋_GB2312" w:hAnsi="宋体" w:cs="宋体"/>
      <w:color w:val="000000"/>
      <w:sz w:val="24"/>
    </w:rPr>
  </w:style>
  <w:style w:type="paragraph" w:customStyle="1" w:styleId="65">
    <w:name w:val="2图标五号"/>
    <w:basedOn w:val="1"/>
    <w:qFormat/>
    <w:uiPriority w:val="0"/>
    <w:pPr>
      <w:snapToGrid w:val="0"/>
      <w:spacing w:line="276" w:lineRule="auto"/>
      <w:jc w:val="center"/>
    </w:pPr>
    <w:rPr>
      <w:rFonts w:hAnsi="宋体"/>
      <w:bCs/>
      <w:color w:val="000000"/>
      <w:spacing w:val="-2"/>
      <w:szCs w:val="21"/>
    </w:rPr>
  </w:style>
  <w:style w:type="paragraph" w:customStyle="1" w:styleId="66">
    <w:name w:val="图片"/>
    <w:basedOn w:val="1"/>
    <w:qFormat/>
    <w:uiPriority w:val="0"/>
    <w:pPr>
      <w:ind w:firstLine="0" w:firstLineChars="0"/>
      <w:jc w:val="center"/>
    </w:pPr>
    <w:rPr>
      <w:rFonts w:eastAsia="宋体"/>
      <w:szCs w:val="18"/>
    </w:rPr>
  </w:style>
  <w:style w:type="paragraph" w:customStyle="1" w:styleId="67">
    <w:name w:val="样式2"/>
    <w:basedOn w:val="1"/>
    <w:qFormat/>
    <w:uiPriority w:val="0"/>
    <w:pPr>
      <w:ind w:firstLine="280" w:firstLineChars="100"/>
    </w:pPr>
    <w:rPr>
      <w:b/>
    </w:rPr>
  </w:style>
  <w:style w:type="paragraph" w:customStyle="1" w:styleId="68">
    <w:name w:val="Char"/>
    <w:basedOn w:val="1"/>
    <w:qFormat/>
    <w:uiPriority w:val="0"/>
    <w:rPr>
      <w:sz w:val="28"/>
      <w:szCs w:val="20"/>
    </w:rPr>
  </w:style>
  <w:style w:type="paragraph" w:customStyle="1" w:styleId="69">
    <w:name w:val="chang"/>
    <w:qFormat/>
    <w:uiPriority w:val="0"/>
    <w:pPr>
      <w:widowControl w:val="0"/>
      <w:spacing w:line="400" w:lineRule="exact"/>
      <w:ind w:firstLine="200" w:firstLineChars="200"/>
      <w:jc w:val="both"/>
      <w:textAlignment w:val="center"/>
    </w:pPr>
    <w:rPr>
      <w:rFonts w:ascii="Times New Roman" w:hAnsi="Times New Roman" w:eastAsia="宋体" w:cs="Calibri"/>
      <w:iCs/>
      <w:color w:val="000000"/>
      <w:kern w:val="2"/>
      <w:sz w:val="24"/>
      <w:szCs w:val="22"/>
      <w:lang w:val="en-US" w:eastAsia="zh-CN" w:bidi="ar-SA"/>
    </w:rPr>
  </w:style>
  <w:style w:type="paragraph" w:customStyle="1" w:styleId="70">
    <w:name w:val="1111"/>
    <w:basedOn w:val="1"/>
    <w:qFormat/>
    <w:uiPriority w:val="0"/>
    <w:pPr>
      <w:ind w:firstLine="480"/>
    </w:pPr>
    <w:rPr>
      <w:sz w:val="24"/>
    </w:rPr>
  </w:style>
  <w:style w:type="paragraph" w:customStyle="1" w:styleId="71">
    <w:name w:val="table"/>
    <w:basedOn w:val="1"/>
    <w:qFormat/>
    <w:uiPriority w:val="0"/>
    <w:pPr>
      <w:spacing w:line="240" w:lineRule="exact"/>
    </w:pPr>
    <w:rPr>
      <w:szCs w:val="22"/>
    </w:rPr>
  </w:style>
  <w:style w:type="paragraph" w:customStyle="1" w:styleId="72">
    <w:name w:val="p0"/>
    <w:basedOn w:val="1"/>
    <w:qFormat/>
    <w:uiPriority w:val="0"/>
    <w:pPr>
      <w:widowControl/>
    </w:pPr>
    <w:rPr>
      <w:kern w:val="0"/>
      <w:szCs w:val="21"/>
    </w:rPr>
  </w:style>
  <w:style w:type="paragraph" w:customStyle="1" w:styleId="73">
    <w:name w:val="样式 伪钞正文 + 首行缩进:  2 字符"/>
    <w:basedOn w:val="1"/>
    <w:qFormat/>
    <w:uiPriority w:val="0"/>
    <w:pPr>
      <w:widowControl/>
      <w:spacing w:line="400" w:lineRule="exact"/>
      <w:ind w:firstLine="480"/>
      <w:jc w:val="left"/>
    </w:pPr>
    <w:rPr>
      <w:rFonts w:eastAsia="楷体_GB2312" w:cs="宋体"/>
      <w:bCs/>
      <w:kern w:val="44"/>
      <w:szCs w:val="20"/>
    </w:rPr>
  </w:style>
  <w:style w:type="paragraph" w:customStyle="1" w:styleId="74">
    <w:name w:val="正文文件"/>
    <w:basedOn w:val="1"/>
    <w:qFormat/>
    <w:uiPriority w:val="0"/>
    <w:pPr>
      <w:spacing w:line="520" w:lineRule="exact"/>
      <w:ind w:firstLine="600"/>
      <w:jc w:val="left"/>
    </w:pPr>
    <w:rPr>
      <w:rFonts w:ascii="仿宋_GB2312" w:hAnsi="??"/>
      <w:sz w:val="30"/>
      <w:szCs w:val="30"/>
    </w:rPr>
  </w:style>
  <w:style w:type="paragraph" w:customStyle="1" w:styleId="75">
    <w:name w:val="标题1"/>
    <w:basedOn w:val="3"/>
    <w:qFormat/>
    <w:uiPriority w:val="0"/>
    <w:pPr>
      <w:spacing w:before="100" w:beforeAutospacing="1" w:after="100" w:afterAutospacing="1" w:line="240" w:lineRule="auto"/>
      <w:contextualSpacing/>
    </w:pPr>
    <w:rPr>
      <w:rFonts w:eastAsia="黑体"/>
      <w:sz w:val="32"/>
      <w:szCs w:val="32"/>
    </w:rPr>
  </w:style>
  <w:style w:type="paragraph" w:customStyle="1" w:styleId="76">
    <w:name w:val="z-窗体顶端1"/>
    <w:qFormat/>
    <w:uiPriority w:val="0"/>
    <w:pPr>
      <w:widowControl w:val="0"/>
      <w:jc w:val="center"/>
    </w:pPr>
    <w:rPr>
      <w:rFonts w:ascii="Times New Roman" w:hAnsi="Times New Roman" w:eastAsia="宋体" w:cs="Times New Roman"/>
      <w:kern w:val="2"/>
      <w:sz w:val="21"/>
      <w:szCs w:val="22"/>
      <w:lang w:val="en-US" w:eastAsia="zh-CN" w:bidi="ar-SA"/>
    </w:rPr>
  </w:style>
  <w:style w:type="character" w:customStyle="1" w:styleId="77">
    <w:name w:val="正文文本缩进 Char"/>
    <w:basedOn w:val="38"/>
    <w:link w:val="14"/>
    <w:qFormat/>
    <w:uiPriority w:val="0"/>
    <w:rPr>
      <w:rFonts w:eastAsia="仿宋_GB2312"/>
      <w:kern w:val="2"/>
      <w:sz w:val="21"/>
      <w:szCs w:val="24"/>
    </w:rPr>
  </w:style>
  <w:style w:type="paragraph" w:customStyle="1" w:styleId="78">
    <w:name w:val="图表名称"/>
    <w:basedOn w:val="1"/>
    <w:qFormat/>
    <w:uiPriority w:val="0"/>
    <w:pPr>
      <w:snapToGrid w:val="0"/>
      <w:jc w:val="center"/>
    </w:pPr>
    <w:rPr>
      <w:rFonts w:eastAsia="宋体"/>
      <w:b/>
      <w:szCs w:val="21"/>
    </w:rPr>
  </w:style>
  <w:style w:type="paragraph" w:customStyle="1" w:styleId="79">
    <w:name w:val="主体：图标注"/>
    <w:next w:val="1"/>
    <w:qFormat/>
    <w:uiPriority w:val="0"/>
    <w:pPr>
      <w:jc w:val="center"/>
    </w:pPr>
    <w:rPr>
      <w:rFonts w:ascii="Times New Roman" w:hAnsi="Times New Roman" w:eastAsia="黑体" w:cs="Times New Roman"/>
      <w:kern w:val="2"/>
      <w:sz w:val="21"/>
      <w:szCs w:val="22"/>
      <w:lang w:val="en-US" w:eastAsia="zh-CN" w:bidi="ar-SA"/>
    </w:rPr>
  </w:style>
  <w:style w:type="paragraph" w:customStyle="1" w:styleId="80">
    <w:name w:val="图表内容"/>
    <w:basedOn w:val="1"/>
    <w:link w:val="122"/>
    <w:qFormat/>
    <w:uiPriority w:val="0"/>
    <w:pPr>
      <w:snapToGrid w:val="0"/>
      <w:jc w:val="center"/>
    </w:pPr>
    <w:rPr>
      <w:rFonts w:eastAsia="Times New Roman"/>
    </w:rPr>
  </w:style>
  <w:style w:type="paragraph" w:customStyle="1" w:styleId="81">
    <w:name w:val="图表标题"/>
    <w:basedOn w:val="78"/>
    <w:link w:val="121"/>
    <w:qFormat/>
    <w:uiPriority w:val="0"/>
  </w:style>
  <w:style w:type="paragraph" w:customStyle="1" w:styleId="82">
    <w:name w:val="列出段落1"/>
    <w:basedOn w:val="1"/>
    <w:qFormat/>
    <w:uiPriority w:val="34"/>
    <w:pPr>
      <w:ind w:firstLine="420"/>
    </w:pPr>
    <w:rPr>
      <w:rFonts w:ascii="Calibri" w:hAnsi="Calibri" w:eastAsia="宋体"/>
    </w:rPr>
  </w:style>
  <w:style w:type="paragraph" w:customStyle="1" w:styleId="83">
    <w:name w:val="1.1"/>
    <w:qFormat/>
    <w:uiPriority w:val="0"/>
    <w:pPr>
      <w:spacing w:before="100" w:after="100" w:line="400" w:lineRule="exact"/>
      <w:outlineLvl w:val="1"/>
    </w:pPr>
    <w:rPr>
      <w:rFonts w:asciiTheme="minorHAnsi" w:hAnsiTheme="minorHAnsi" w:eastAsiaTheme="minorEastAsia" w:cstheme="minorBidi"/>
      <w:b/>
      <w:iCs/>
      <w:color w:val="000000"/>
      <w:kern w:val="2"/>
      <w:sz w:val="30"/>
      <w:szCs w:val="22"/>
      <w:lang w:val="en-US" w:eastAsia="zh-CN" w:bidi="ar-SA"/>
    </w:rPr>
  </w:style>
  <w:style w:type="character" w:customStyle="1" w:styleId="84">
    <w:name w:val="font61"/>
    <w:basedOn w:val="38"/>
    <w:qFormat/>
    <w:uiPriority w:val="0"/>
    <w:rPr>
      <w:rFonts w:hint="eastAsia" w:ascii="宋体" w:hAnsi="宋体" w:eastAsia="宋体" w:cs="宋体"/>
      <w:b/>
      <w:color w:val="000000"/>
      <w:sz w:val="22"/>
      <w:szCs w:val="22"/>
      <w:u w:val="none"/>
    </w:rPr>
  </w:style>
  <w:style w:type="character" w:customStyle="1" w:styleId="85">
    <w:name w:val="font31"/>
    <w:basedOn w:val="38"/>
    <w:qFormat/>
    <w:uiPriority w:val="0"/>
    <w:rPr>
      <w:rFonts w:hint="default" w:ascii="Times New Roman" w:hAnsi="Times New Roman" w:cs="Times New Roman"/>
      <w:color w:val="000000"/>
      <w:sz w:val="22"/>
      <w:szCs w:val="22"/>
      <w:u w:val="none"/>
    </w:rPr>
  </w:style>
  <w:style w:type="character" w:customStyle="1" w:styleId="86">
    <w:name w:val="font01"/>
    <w:basedOn w:val="38"/>
    <w:qFormat/>
    <w:uiPriority w:val="0"/>
    <w:rPr>
      <w:rFonts w:hint="eastAsia" w:ascii="宋体" w:hAnsi="宋体" w:eastAsia="宋体" w:cs="宋体"/>
      <w:color w:val="000000"/>
      <w:sz w:val="22"/>
      <w:szCs w:val="22"/>
      <w:u w:val="none"/>
    </w:rPr>
  </w:style>
  <w:style w:type="paragraph" w:customStyle="1" w:styleId="87">
    <w:name w:val="主体：正文"/>
    <w:qFormat/>
    <w:uiPriority w:val="99"/>
    <w:pPr>
      <w:spacing w:line="480" w:lineRule="exact"/>
      <w:ind w:firstLine="200" w:firstLineChars="200"/>
      <w:jc w:val="both"/>
    </w:pPr>
    <w:rPr>
      <w:rFonts w:ascii="Times New Roman" w:hAnsi="Times New Roman" w:eastAsia="宋体" w:cs="Times New Roman"/>
      <w:sz w:val="24"/>
      <w:lang w:val="en-US" w:eastAsia="zh-CN" w:bidi="ar-SA"/>
    </w:rPr>
  </w:style>
  <w:style w:type="paragraph" w:customStyle="1" w:styleId="88">
    <w:name w:val="_Style 3"/>
    <w:basedOn w:val="1"/>
    <w:qFormat/>
    <w:uiPriority w:val="1"/>
    <w:pPr>
      <w:ind w:firstLine="602"/>
    </w:pPr>
    <w:rPr>
      <w:b/>
      <w:bCs/>
      <w:sz w:val="30"/>
    </w:rPr>
  </w:style>
  <w:style w:type="paragraph" w:customStyle="1" w:styleId="89">
    <w:name w:val="样式 标题四"/>
    <w:basedOn w:val="1"/>
    <w:qFormat/>
    <w:uiPriority w:val="0"/>
    <w:pPr>
      <w:jc w:val="left"/>
      <w:outlineLvl w:val="3"/>
    </w:pPr>
    <w:rPr>
      <w:rFonts w:ascii="仿宋_GB2312"/>
      <w:kern w:val="0"/>
      <w:sz w:val="24"/>
    </w:rPr>
  </w:style>
  <w:style w:type="paragraph" w:customStyle="1" w:styleId="90">
    <w:name w:val="1302工作面设计说明书"/>
    <w:basedOn w:val="1"/>
    <w:qFormat/>
    <w:uiPriority w:val="0"/>
    <w:pPr>
      <w:widowControl/>
      <w:spacing w:line="500" w:lineRule="exact"/>
      <w:ind w:firstLine="600"/>
    </w:pPr>
    <w:rPr>
      <w:bCs/>
      <w:sz w:val="30"/>
      <w:szCs w:val="30"/>
    </w:rPr>
  </w:style>
  <w:style w:type="paragraph" w:customStyle="1" w:styleId="91">
    <w:name w:val="HTML 预设格式1"/>
    <w:basedOn w:val="1"/>
    <w:qFormat/>
    <w:uiPriority w:val="0"/>
    <w:rPr>
      <w:rFonts w:hint="eastAsia" w:ascii="Courier New" w:hAnsi="Courier New"/>
      <w:sz w:val="20"/>
      <w:szCs w:val="20"/>
    </w:rPr>
  </w:style>
  <w:style w:type="paragraph" w:customStyle="1" w:styleId="92">
    <w:name w:val="图片说明"/>
    <w:next w:val="1"/>
    <w:qFormat/>
    <w:uiPriority w:val="0"/>
    <w:pPr>
      <w:spacing w:line="360" w:lineRule="auto"/>
      <w:jc w:val="center"/>
    </w:pPr>
    <w:rPr>
      <w:rFonts w:ascii="Times New Roman" w:hAnsi="Times New Roman" w:eastAsia="黑体" w:cs="Times New Roman"/>
      <w:kern w:val="2"/>
      <w:sz w:val="21"/>
      <w:szCs w:val="21"/>
      <w:lang w:val="en-US" w:eastAsia="zh-CN" w:bidi="ar-SA"/>
    </w:rPr>
  </w:style>
  <w:style w:type="paragraph" w:customStyle="1" w:styleId="93">
    <w:name w:val="表格文字1"/>
    <w:basedOn w:val="1"/>
    <w:qFormat/>
    <w:uiPriority w:val="0"/>
    <w:pPr>
      <w:jc w:val="center"/>
    </w:pPr>
    <w:rPr>
      <w:color w:val="000000"/>
      <w:sz w:val="18"/>
      <w:szCs w:val="21"/>
    </w:rPr>
  </w:style>
  <w:style w:type="paragraph" w:customStyle="1" w:styleId="94">
    <w:name w:val="Table Paragraph"/>
    <w:basedOn w:val="1"/>
    <w:qFormat/>
    <w:uiPriority w:val="1"/>
    <w:pPr>
      <w:spacing w:before="38"/>
    </w:pPr>
    <w:rPr>
      <w:rFonts w:ascii="宋体" w:hAnsi="宋体" w:eastAsia="宋体" w:cs="宋体"/>
      <w:lang w:eastAsia="en-US" w:bidi="en-US"/>
    </w:rPr>
  </w:style>
  <w:style w:type="paragraph" w:customStyle="1" w:styleId="95">
    <w:name w:val="正文2"/>
    <w:basedOn w:val="1"/>
    <w:qFormat/>
    <w:uiPriority w:val="0"/>
    <w:pPr>
      <w:adjustRightInd w:val="0"/>
      <w:snapToGrid w:val="0"/>
      <w:spacing w:line="276" w:lineRule="auto"/>
    </w:pPr>
    <w:rPr>
      <w:szCs w:val="20"/>
    </w:rPr>
  </w:style>
  <w:style w:type="character" w:customStyle="1" w:styleId="96">
    <w:name w:val="批注框文本 Char"/>
    <w:basedOn w:val="38"/>
    <w:link w:val="23"/>
    <w:qFormat/>
    <w:uiPriority w:val="99"/>
    <w:rPr>
      <w:rFonts w:eastAsia="仿宋_GB2312"/>
      <w:kern w:val="2"/>
      <w:sz w:val="18"/>
      <w:szCs w:val="18"/>
    </w:rPr>
  </w:style>
  <w:style w:type="character" w:customStyle="1" w:styleId="97">
    <w:name w:val="表格 Char"/>
    <w:link w:val="98"/>
    <w:qFormat/>
    <w:uiPriority w:val="0"/>
    <w:rPr>
      <w:rFonts w:ascii="仿宋_GB2312" w:eastAsia="仿宋_GB2312"/>
      <w:kern w:val="2"/>
      <w:sz w:val="24"/>
      <w:szCs w:val="24"/>
    </w:rPr>
  </w:style>
  <w:style w:type="paragraph" w:customStyle="1" w:styleId="98">
    <w:name w:val="表格"/>
    <w:basedOn w:val="99"/>
    <w:next w:val="1"/>
    <w:link w:val="97"/>
    <w:qFormat/>
    <w:uiPriority w:val="0"/>
    <w:pPr>
      <w:spacing w:line="320" w:lineRule="exact"/>
      <w:ind w:firstLine="0" w:firstLineChars="0"/>
      <w:jc w:val="center"/>
    </w:pPr>
    <w:rPr>
      <w:rFonts w:ascii="仿宋_GB2312"/>
      <w:sz w:val="24"/>
    </w:rPr>
  </w:style>
  <w:style w:type="paragraph" w:styleId="99">
    <w:name w:val="No Spacing"/>
    <w:semiHidden/>
    <w:unhideWhenUsed/>
    <w:qFormat/>
    <w:uiPriority w:val="99"/>
    <w:pPr>
      <w:widowControl w:val="0"/>
      <w:ind w:firstLine="560" w:firstLineChars="200"/>
      <w:jc w:val="both"/>
    </w:pPr>
    <w:rPr>
      <w:rFonts w:ascii="Times New Roman" w:hAnsi="Times New Roman" w:eastAsia="仿宋_GB2312" w:cs="Times New Roman"/>
      <w:kern w:val="2"/>
      <w:sz w:val="21"/>
      <w:szCs w:val="24"/>
      <w:lang w:val="en-US" w:eastAsia="zh-CN" w:bidi="ar-SA"/>
    </w:rPr>
  </w:style>
  <w:style w:type="character" w:customStyle="1" w:styleId="100">
    <w:name w:val="标题 3 Char"/>
    <w:basedOn w:val="38"/>
    <w:link w:val="5"/>
    <w:qFormat/>
    <w:uiPriority w:val="9"/>
    <w:rPr>
      <w:rFonts w:eastAsia="仿宋_GB2312"/>
      <w:kern w:val="2"/>
      <w:sz w:val="28"/>
      <w:szCs w:val="24"/>
    </w:rPr>
  </w:style>
  <w:style w:type="paragraph" w:customStyle="1" w:styleId="101">
    <w:name w:val="表抬头"/>
    <w:basedOn w:val="1"/>
    <w:qFormat/>
    <w:uiPriority w:val="0"/>
    <w:pPr>
      <w:spacing w:line="400" w:lineRule="exact"/>
      <w:ind w:firstLine="6" w:firstLineChars="0"/>
      <w:jc w:val="center"/>
      <w:textAlignment w:val="center"/>
    </w:pPr>
    <w:rPr>
      <w:rFonts w:cs="宋体"/>
      <w:sz w:val="24"/>
      <w:szCs w:val="20"/>
    </w:rPr>
  </w:style>
  <w:style w:type="paragraph" w:customStyle="1" w:styleId="102">
    <w:name w:val="正文规程专用格式"/>
    <w:basedOn w:val="103"/>
    <w:link w:val="105"/>
    <w:qFormat/>
    <w:uiPriority w:val="0"/>
    <w:pPr>
      <w:ind w:left="0" w:leftChars="0" w:firstLine="883" w:firstLineChars="200"/>
      <w:jc w:val="left"/>
    </w:pPr>
    <w:rPr>
      <w:rFonts w:eastAsia="仿宋_GB2312"/>
    </w:rPr>
  </w:style>
  <w:style w:type="paragraph" w:customStyle="1" w:styleId="103">
    <w:name w:val="正文居中"/>
    <w:basedOn w:val="1"/>
    <w:link w:val="104"/>
    <w:qFormat/>
    <w:uiPriority w:val="0"/>
    <w:pPr>
      <w:spacing w:line="400" w:lineRule="exact"/>
      <w:ind w:left="480" w:leftChars="200" w:firstLine="6" w:firstLineChars="0"/>
      <w:jc w:val="center"/>
      <w:textAlignment w:val="center"/>
    </w:pPr>
    <w:rPr>
      <w:rFonts w:ascii="Calibri" w:hAnsi="Calibri" w:eastAsia="宋体"/>
      <w:sz w:val="24"/>
      <w:szCs w:val="20"/>
    </w:rPr>
  </w:style>
  <w:style w:type="character" w:customStyle="1" w:styleId="104">
    <w:name w:val="正文居中 Char"/>
    <w:link w:val="103"/>
    <w:qFormat/>
    <w:uiPriority w:val="0"/>
    <w:rPr>
      <w:rFonts w:ascii="Calibri" w:hAnsi="Calibri"/>
      <w:kern w:val="2"/>
      <w:sz w:val="24"/>
    </w:rPr>
  </w:style>
  <w:style w:type="character" w:customStyle="1" w:styleId="105">
    <w:name w:val="正文规程专用格式 Char"/>
    <w:link w:val="102"/>
    <w:qFormat/>
    <w:uiPriority w:val="0"/>
    <w:rPr>
      <w:rFonts w:ascii="Calibri" w:hAnsi="Calibri" w:eastAsia="仿宋_GB2312"/>
      <w:kern w:val="2"/>
      <w:sz w:val="24"/>
    </w:rPr>
  </w:style>
  <w:style w:type="paragraph" w:customStyle="1" w:styleId="106">
    <w:name w:val="一级标题"/>
    <w:basedOn w:val="1"/>
    <w:qFormat/>
    <w:uiPriority w:val="0"/>
    <w:pPr>
      <w:spacing w:line="400" w:lineRule="exact"/>
      <w:ind w:firstLine="0" w:firstLineChars="0"/>
      <w:jc w:val="left"/>
      <w:textAlignment w:val="center"/>
    </w:pPr>
    <w:rPr>
      <w:rFonts w:hint="eastAsia" w:ascii="Calibri" w:hAnsi="Calibri" w:eastAsia="黑体"/>
      <w:sz w:val="28"/>
      <w:szCs w:val="20"/>
    </w:rPr>
  </w:style>
  <w:style w:type="paragraph" w:customStyle="1" w:styleId="107">
    <w:name w:val="二级标题"/>
    <w:basedOn w:val="1"/>
    <w:link w:val="108"/>
    <w:qFormat/>
    <w:uiPriority w:val="0"/>
    <w:pPr>
      <w:spacing w:line="400" w:lineRule="exact"/>
      <w:ind w:firstLine="720"/>
      <w:jc w:val="left"/>
      <w:textAlignment w:val="center"/>
    </w:pPr>
    <w:rPr>
      <w:rFonts w:ascii="Calibri" w:hAnsi="Calibri" w:eastAsia="楷体_GB2312"/>
      <w:sz w:val="28"/>
      <w:szCs w:val="20"/>
    </w:rPr>
  </w:style>
  <w:style w:type="character" w:customStyle="1" w:styleId="108">
    <w:name w:val="二级标题 Char"/>
    <w:link w:val="107"/>
    <w:qFormat/>
    <w:uiPriority w:val="0"/>
    <w:rPr>
      <w:rFonts w:ascii="Calibri" w:hAnsi="Calibri" w:eastAsia="楷体_GB2312"/>
      <w:kern w:val="2"/>
      <w:sz w:val="28"/>
    </w:rPr>
  </w:style>
  <w:style w:type="character" w:customStyle="1" w:styleId="109">
    <w:name w:val="fontstyle01"/>
    <w:basedOn w:val="38"/>
    <w:qFormat/>
    <w:uiPriority w:val="0"/>
    <w:rPr>
      <w:rFonts w:hint="eastAsia" w:ascii="宋体" w:hAnsi="宋体" w:eastAsia="宋体"/>
      <w:color w:val="000000"/>
      <w:sz w:val="24"/>
      <w:szCs w:val="24"/>
    </w:rPr>
  </w:style>
  <w:style w:type="character" w:customStyle="1" w:styleId="110">
    <w:name w:val="fontstyle11"/>
    <w:basedOn w:val="38"/>
    <w:qFormat/>
    <w:uiPriority w:val="0"/>
    <w:rPr>
      <w:rFonts w:hint="default" w:ascii="TimesNewRomanPSMT" w:hAnsi="TimesNewRomanPSMT"/>
      <w:color w:val="000000"/>
      <w:sz w:val="24"/>
      <w:szCs w:val="24"/>
    </w:rPr>
  </w:style>
  <w:style w:type="character" w:customStyle="1" w:styleId="111">
    <w:name w:val="fontstyle21"/>
    <w:basedOn w:val="38"/>
    <w:qFormat/>
    <w:uiPriority w:val="0"/>
    <w:rPr>
      <w:rFonts w:hint="default" w:ascii="TimesNewRomanPSMT" w:hAnsi="TimesNewRomanPSMT"/>
      <w:color w:val="000000"/>
      <w:sz w:val="24"/>
      <w:szCs w:val="24"/>
    </w:rPr>
  </w:style>
  <w:style w:type="character" w:customStyle="1" w:styleId="112">
    <w:name w:val="fontstyle31"/>
    <w:basedOn w:val="38"/>
    <w:qFormat/>
    <w:uiPriority w:val="0"/>
    <w:rPr>
      <w:rFonts w:hint="default" w:ascii="Calibri" w:hAnsi="Calibri" w:cs="Calibri"/>
      <w:color w:val="000000"/>
      <w:sz w:val="18"/>
      <w:szCs w:val="18"/>
    </w:rPr>
  </w:style>
  <w:style w:type="character" w:customStyle="1" w:styleId="113">
    <w:name w:val="fontstyle41"/>
    <w:basedOn w:val="38"/>
    <w:qFormat/>
    <w:uiPriority w:val="0"/>
    <w:rPr>
      <w:rFonts w:hint="default" w:ascii="TimesNewRomanPSMT" w:hAnsi="TimesNewRomanPSMT"/>
      <w:color w:val="000000"/>
      <w:sz w:val="24"/>
      <w:szCs w:val="24"/>
    </w:rPr>
  </w:style>
  <w:style w:type="character" w:customStyle="1" w:styleId="114">
    <w:name w:val="正文文本 Char"/>
    <w:basedOn w:val="38"/>
    <w:link w:val="12"/>
    <w:qFormat/>
    <w:uiPriority w:val="0"/>
    <w:rPr>
      <w:rFonts w:eastAsia="仿宋_GB2312"/>
      <w:kern w:val="2"/>
      <w:sz w:val="21"/>
      <w:szCs w:val="24"/>
    </w:rPr>
  </w:style>
  <w:style w:type="paragraph" w:customStyle="1" w:styleId="115">
    <w:name w:val="表格文字"/>
    <w:basedOn w:val="1"/>
    <w:link w:val="120"/>
    <w:qFormat/>
    <w:uiPriority w:val="0"/>
    <w:pPr>
      <w:spacing w:line="240" w:lineRule="auto"/>
      <w:ind w:firstLine="0" w:firstLineChars="0"/>
      <w:jc w:val="center"/>
    </w:pPr>
    <w:rPr>
      <w:rFonts w:hAnsi="宋体" w:eastAsia="宋体"/>
      <w:szCs w:val="18"/>
    </w:rPr>
  </w:style>
  <w:style w:type="character" w:customStyle="1" w:styleId="116">
    <w:name w:val="wgf图 Char"/>
    <w:link w:val="117"/>
    <w:qFormat/>
    <w:uiPriority w:val="0"/>
    <w:rPr>
      <w:b/>
      <w:kern w:val="2"/>
      <w:sz w:val="21"/>
      <w:lang w:val="zh-CN"/>
    </w:rPr>
  </w:style>
  <w:style w:type="paragraph" w:customStyle="1" w:styleId="117">
    <w:name w:val="wgf图"/>
    <w:basedOn w:val="9"/>
    <w:link w:val="116"/>
    <w:qFormat/>
    <w:uiPriority w:val="0"/>
    <w:pPr>
      <w:snapToGrid/>
      <w:spacing w:line="276" w:lineRule="auto"/>
      <w:ind w:firstLine="0" w:firstLineChars="0"/>
    </w:pPr>
    <w:rPr>
      <w:color w:val="auto"/>
      <w:lang w:val="zh-CN"/>
    </w:rPr>
  </w:style>
  <w:style w:type="character" w:customStyle="1" w:styleId="118">
    <w:name w:val="wgf正文 Char"/>
    <w:link w:val="119"/>
    <w:qFormat/>
    <w:uiPriority w:val="0"/>
    <w:rPr>
      <w:kern w:val="2"/>
      <w:sz w:val="24"/>
      <w:szCs w:val="22"/>
      <w:lang w:val="zh-CN"/>
    </w:rPr>
  </w:style>
  <w:style w:type="paragraph" w:customStyle="1" w:styleId="119">
    <w:name w:val="wgf正文"/>
    <w:basedOn w:val="1"/>
    <w:link w:val="118"/>
    <w:qFormat/>
    <w:uiPriority w:val="0"/>
    <w:pPr>
      <w:ind w:firstLine="480"/>
    </w:pPr>
    <w:rPr>
      <w:rFonts w:eastAsia="宋体"/>
      <w:sz w:val="24"/>
      <w:szCs w:val="22"/>
      <w:lang w:val="zh-CN"/>
    </w:rPr>
  </w:style>
  <w:style w:type="character" w:customStyle="1" w:styleId="120">
    <w:name w:val="表格文字 字符"/>
    <w:link w:val="115"/>
    <w:qFormat/>
    <w:uiPriority w:val="0"/>
    <w:rPr>
      <w:rFonts w:hAnsi="宋体"/>
      <w:kern w:val="2"/>
      <w:sz w:val="21"/>
      <w:szCs w:val="18"/>
    </w:rPr>
  </w:style>
  <w:style w:type="character" w:customStyle="1" w:styleId="121">
    <w:name w:val="图表标题 Char"/>
    <w:link w:val="81"/>
    <w:qFormat/>
    <w:uiPriority w:val="0"/>
    <w:rPr>
      <w:b/>
      <w:kern w:val="2"/>
      <w:sz w:val="21"/>
      <w:szCs w:val="21"/>
    </w:rPr>
  </w:style>
  <w:style w:type="character" w:customStyle="1" w:styleId="122">
    <w:name w:val="图表内容 Char"/>
    <w:link w:val="80"/>
    <w:qFormat/>
    <w:uiPriority w:val="0"/>
    <w:rPr>
      <w:rFonts w:eastAsia="Times New Roman"/>
      <w:kern w:val="2"/>
      <w:sz w:val="21"/>
      <w:szCs w:val="24"/>
    </w:rPr>
  </w:style>
  <w:style w:type="character" w:customStyle="1" w:styleId="123">
    <w:name w:val="正文缩进 Char"/>
    <w:link w:val="8"/>
    <w:qFormat/>
    <w:uiPriority w:val="0"/>
    <w:rPr>
      <w:rFonts w:eastAsia="仿宋_GB2312"/>
      <w:kern w:val="2"/>
      <w:sz w:val="21"/>
      <w:szCs w:val="24"/>
    </w:rPr>
  </w:style>
  <w:style w:type="paragraph" w:customStyle="1" w:styleId="124">
    <w:name w:val="TOC Heading"/>
    <w:basedOn w:val="3"/>
    <w:next w:val="1"/>
    <w:semiHidden/>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376092" w:themeColor="accent1" w:themeShade="BF"/>
      <w:kern w:val="0"/>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7.png"/><Relationship Id="rId6" Type="http://schemas.openxmlformats.org/officeDocument/2006/relationships/footer" Target="footer1.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jpeg"/><Relationship Id="rId46" Type="http://schemas.openxmlformats.org/officeDocument/2006/relationships/image" Target="media/image23.pn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png"/><Relationship Id="rId32" Type="http://schemas.openxmlformats.org/officeDocument/2006/relationships/image" Target="media/image9.wmf"/><Relationship Id="rId31" Type="http://schemas.openxmlformats.org/officeDocument/2006/relationships/oleObject" Target="embeddings/oleObject3.bin"/><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jpeg"/><Relationship Id="rId25" Type="http://schemas.openxmlformats.org/officeDocument/2006/relationships/image" Target="media/image3.wmf"/><Relationship Id="rId24" Type="http://schemas.openxmlformats.org/officeDocument/2006/relationships/oleObject" Target="embeddings/oleObject2.bin"/><Relationship Id="rId23" Type="http://schemas.openxmlformats.org/officeDocument/2006/relationships/image" Target="media/image2.w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AAA07E-CFC3-4DED-84A6-CCAC6C5C145D}">
  <ds:schemaRefs/>
</ds:datastoreItem>
</file>

<file path=docProps/app.xml><?xml version="1.0" encoding="utf-8"?>
<Properties xmlns="http://schemas.openxmlformats.org/officeDocument/2006/extended-properties" xmlns:vt="http://schemas.openxmlformats.org/officeDocument/2006/docPropsVTypes">
  <Template>Normal</Template>
  <Company>信念技术论坛</Company>
  <Pages>266</Pages>
  <Words>173459</Words>
  <Characters>196127</Characters>
  <Lines>1501</Lines>
  <Paragraphs>422</Paragraphs>
  <TotalTime>14</TotalTime>
  <ScaleCrop>false</ScaleCrop>
  <LinksUpToDate>false</LinksUpToDate>
  <CharactersWithSpaces>199618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2022-12-16T10:47:00Z</dcterms:created>
  <dc:creator>Windows 用户</dc:creator>
  <cp:lastModifiedBy>WPS_KQ1559637278</cp:lastModifiedBy>
  <cp:lastPrinted>2023-06-08T00:39:55Z</cp:lastPrinted>
  <dcterms:modified xsi:type="dcterms:W3CDTF">2023-06-08T00:41:40Z</dcterms:modified>
  <dc:title>陕西金源招贤矿业有限责任公司              1303工作面回采作业规程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3242E580F4EE41D6A78A46C07A106854</vt:lpwstr>
  </property>
  <property fmtid="{D5CDD505-2E9C-101B-9397-08002B2CF9AE}" pid="4" name="commondata">
    <vt:lpwstr>eyJoZGlkIjoiNTlmMTY3NmYyMjQzZDAyZTBiZTY4NzI5NTcwMzNmM2YifQ==</vt:lpwstr>
  </property>
</Properties>
</file>