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spacing w:line="560" w:lineRule="exact"/>
        <w:jc w:val="both"/>
        <w:textAlignment w:val="baseline"/>
        <w:rPr>
          <w:rFonts w:hint="eastAsia" w:ascii="仿宋" w:hAnsi="仿宋" w:eastAsia="仿宋" w:cs="仿宋"/>
          <w:spacing w:val="3"/>
          <w:sz w:val="32"/>
          <w:szCs w:val="32"/>
          <w:lang w:val="en-US" w:eastAsia="zh-CN"/>
        </w:rPr>
      </w:pPr>
      <w:r>
        <w:rPr>
          <w:rFonts w:hint="eastAsia" w:ascii="黑体" w:hAnsi="黑体" w:eastAsia="黑体" w:cs="黑体"/>
          <w:b w:val="0"/>
          <w:bCs/>
          <w:snapToGrid/>
          <w:color w:val="000000"/>
          <w:kern w:val="2"/>
          <w:sz w:val="32"/>
          <w:szCs w:val="32"/>
          <w:highlight w:val="none"/>
          <w:lang w:val="en-US" w:eastAsia="zh-CN" w:bidi="ar-SA"/>
        </w:rPr>
        <w:t xml:space="preserve">附件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spacing w:val="3"/>
          <w:sz w:val="32"/>
          <w:szCs w:val="32"/>
          <w:lang w:val="en-US" w:eastAsia="zh-CN"/>
        </w:rPr>
        <w:t xml:space="preserve">   </w:t>
      </w:r>
    </w:p>
    <w:p>
      <w:pPr>
        <w:keepNext w:val="0"/>
        <w:keepLines w:val="0"/>
        <w:pageBreakBefore w:val="0"/>
        <w:widowControl/>
        <w:kinsoku w:val="0"/>
        <w:wordWrap/>
        <w:overflowPunct/>
        <w:topLinePunct w:val="0"/>
        <w:autoSpaceDE w:val="0"/>
        <w:autoSpaceDN w:val="0"/>
        <w:bidi w:val="0"/>
        <w:spacing w:line="560" w:lineRule="exact"/>
        <w:jc w:val="center"/>
        <w:textAlignment w:val="baseline"/>
        <w:rPr>
          <w:rFonts w:hint="eastAsia" w:ascii="方正小标宋简体" w:hAnsi="方正小标宋简体" w:eastAsia="方正小标宋简体" w:cs="方正小标宋简体"/>
          <w:b w:val="0"/>
          <w:bCs/>
          <w:snapToGrid/>
          <w:color w:val="000000"/>
          <w:kern w:val="2"/>
          <w:sz w:val="44"/>
          <w:szCs w:val="44"/>
          <w:highlight w:val="none"/>
          <w:lang w:val="en-US" w:eastAsia="zh-CN" w:bidi="ar-SA"/>
        </w:rPr>
      </w:pPr>
      <w:r>
        <w:rPr>
          <w:rFonts w:hint="eastAsia" w:ascii="方正小标宋简体" w:hAnsi="方正小标宋简体" w:eastAsia="方正小标宋简体" w:cs="方正小标宋简体"/>
          <w:b w:val="0"/>
          <w:bCs/>
          <w:snapToGrid/>
          <w:color w:val="000000"/>
          <w:kern w:val="2"/>
          <w:sz w:val="44"/>
          <w:szCs w:val="44"/>
          <w:highlight w:val="none"/>
          <w:lang w:val="en-US" w:eastAsia="zh-CN" w:bidi="ar-SA"/>
        </w:rPr>
        <w:t>废旧物资处置办法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default"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为规范我公司废旧物资处置流程，使废旧物资的回收、 报废等工作有序进行, 进而有效监控各类废旧物资处理, 最大限度地降低物资报废给企业造成的经济损失, 结合物资管理的实际需要, 特制定本办法。</w:t>
      </w:r>
    </w:p>
    <w:p>
      <w:pPr>
        <w:keepNext w:val="0"/>
        <w:keepLines w:val="0"/>
        <w:pageBreakBefore w:val="0"/>
        <w:widowControl w:val="0"/>
        <w:kinsoku/>
        <w:wordWrap/>
        <w:overflowPunct/>
        <w:topLinePunct w:val="0"/>
        <w:autoSpaceDE/>
        <w:autoSpaceDN/>
        <w:bidi w:val="0"/>
        <w:adjustRightInd/>
        <w:snapToGrid/>
        <w:spacing w:line="540" w:lineRule="exact"/>
        <w:ind w:right="0" w:firstLine="672" w:firstLineChars="200"/>
        <w:jc w:val="both"/>
        <w:textAlignment w:val="baseline"/>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一、报废申请</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baseline"/>
        <w:rPr>
          <w:rFonts w:hint="default"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各单位需要报废物资通过部门鉴定统计后，推送OA办公通用请示报告，注明报废物资明细、数量、报废原因等，经分管领导、总经理批准后，由经营管理部组织鉴定。</w:t>
      </w:r>
    </w:p>
    <w:p>
      <w:pPr>
        <w:keepNext w:val="0"/>
        <w:keepLines w:val="0"/>
        <w:pageBreakBefore w:val="0"/>
        <w:widowControl w:val="0"/>
        <w:kinsoku/>
        <w:wordWrap/>
        <w:overflowPunct/>
        <w:topLinePunct w:val="0"/>
        <w:autoSpaceDE/>
        <w:autoSpaceDN/>
        <w:bidi w:val="0"/>
        <w:adjustRightInd/>
        <w:snapToGrid/>
        <w:spacing w:line="540" w:lineRule="exact"/>
        <w:ind w:right="0" w:firstLine="672" w:firstLineChars="200"/>
        <w:jc w:val="both"/>
        <w:textAlignment w:val="baseline"/>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二、鉴定流程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76" w:firstLineChars="200"/>
        <w:jc w:val="both"/>
        <w:textAlignment w:val="baseline"/>
        <w:rPr>
          <w:rFonts w:hint="eastAsia" w:ascii="楷体_GB2312" w:hAnsi="楷体_GB2312" w:eastAsia="楷体_GB2312" w:cs="楷体_GB2312"/>
          <w:b w:val="0"/>
          <w:bCs w:val="0"/>
          <w:spacing w:val="9"/>
          <w:sz w:val="32"/>
          <w:szCs w:val="32"/>
          <w:lang w:val="en-US" w:eastAsia="zh-CN"/>
        </w:rPr>
      </w:pPr>
      <w:r>
        <w:rPr>
          <w:rFonts w:hint="eastAsia" w:ascii="楷体_GB2312" w:hAnsi="楷体_GB2312" w:eastAsia="楷体_GB2312" w:cs="楷体_GB2312"/>
          <w:b w:val="0"/>
          <w:bCs w:val="0"/>
          <w:spacing w:val="9"/>
          <w:sz w:val="32"/>
          <w:szCs w:val="32"/>
          <w:lang w:val="en-US" w:eastAsia="zh-CN"/>
        </w:rPr>
        <w:t>（一）设备类</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机电部按机械类、电气类归集整理、登记造册，与财务部核实原值、余值等信息后申请鉴定，由经营管理部组织财务科、审计、后勤部（武保）、机电部、调度指挥中心、安全监察部现场鉴定，出具鉴定意见，报总经理办公会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76" w:firstLineChars="200"/>
        <w:jc w:val="both"/>
        <w:textAlignment w:val="baseline"/>
        <w:rPr>
          <w:rFonts w:hint="eastAsia" w:ascii="楷体_GB2312" w:hAnsi="楷体_GB2312" w:eastAsia="楷体_GB2312" w:cs="楷体_GB2312"/>
          <w:b w:val="0"/>
          <w:bCs w:val="0"/>
          <w:spacing w:val="9"/>
          <w:sz w:val="32"/>
          <w:szCs w:val="32"/>
          <w:lang w:val="en-US" w:eastAsia="zh-CN"/>
        </w:rPr>
      </w:pPr>
      <w:r>
        <w:rPr>
          <w:rFonts w:hint="eastAsia" w:ascii="楷体_GB2312" w:hAnsi="楷体_GB2312" w:eastAsia="楷体_GB2312" w:cs="楷体_GB2312"/>
          <w:b w:val="0"/>
          <w:bCs w:val="0"/>
          <w:spacing w:val="9"/>
          <w:sz w:val="32"/>
          <w:szCs w:val="32"/>
          <w:lang w:val="en-US" w:eastAsia="zh-CN"/>
        </w:rPr>
        <w:t>（二）材料类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 xml:space="preserve"> 经公司领导审批同意后，由经营管理部组织财务科、审计、后勤部（武保）、调度指挥中心、安全监察部及相关单位对出售的废旧物资进行现场鉴定。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76" w:firstLineChars="200"/>
        <w:jc w:val="both"/>
        <w:textAlignment w:val="baseline"/>
        <w:rPr>
          <w:rFonts w:hint="eastAsia" w:ascii="楷体_GB2312" w:hAnsi="楷体_GB2312" w:eastAsia="楷体_GB2312" w:cs="楷体_GB2312"/>
          <w:b w:val="0"/>
          <w:bCs w:val="0"/>
          <w:spacing w:val="9"/>
          <w:sz w:val="32"/>
          <w:szCs w:val="32"/>
          <w:lang w:val="en-US" w:eastAsia="zh-CN"/>
        </w:rPr>
      </w:pPr>
      <w:r>
        <w:rPr>
          <w:rFonts w:hint="eastAsia" w:ascii="楷体_GB2312" w:hAnsi="楷体_GB2312" w:eastAsia="楷体_GB2312" w:cs="楷体_GB2312"/>
          <w:b w:val="0"/>
          <w:bCs w:val="0"/>
          <w:spacing w:val="9"/>
          <w:sz w:val="32"/>
          <w:szCs w:val="32"/>
          <w:lang w:val="en-US" w:eastAsia="zh-CN"/>
        </w:rPr>
        <w:t>（三）危险废物类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公司产生的危废品由征迁环保部负责出具危险废物范围及目录，各单位根据目录按要求送到危险废物库房，供应部按相关法律法规分类管理。处置过程由征迁环保部全程监督，确保处置合法合规。</w:t>
      </w:r>
    </w:p>
    <w:p>
      <w:pPr>
        <w:keepNext w:val="0"/>
        <w:keepLines w:val="0"/>
        <w:pageBreakBefore w:val="0"/>
        <w:widowControl w:val="0"/>
        <w:kinsoku/>
        <w:wordWrap/>
        <w:overflowPunct/>
        <w:topLinePunct w:val="0"/>
        <w:autoSpaceDE/>
        <w:autoSpaceDN/>
        <w:bidi w:val="0"/>
        <w:adjustRightInd/>
        <w:snapToGrid/>
        <w:spacing w:line="540" w:lineRule="exact"/>
        <w:ind w:right="0" w:firstLine="672" w:firstLineChars="200"/>
        <w:jc w:val="both"/>
        <w:textAlignment w:val="baseline"/>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三、定价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default"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经营管理部梳理各招标网近期相关废旧物资报废招标公告对报废物资进行分标段，经财务科、审计、后勤部（武保）、调度指挥中心、安全监察部等相关人员召开定价会议，形成定价会议纪要。</w:t>
      </w:r>
    </w:p>
    <w:p>
      <w:pPr>
        <w:keepNext w:val="0"/>
        <w:keepLines w:val="0"/>
        <w:pageBreakBefore w:val="0"/>
        <w:widowControl w:val="0"/>
        <w:kinsoku/>
        <w:wordWrap/>
        <w:overflowPunct/>
        <w:topLinePunct w:val="0"/>
        <w:autoSpaceDE/>
        <w:autoSpaceDN/>
        <w:bidi w:val="0"/>
        <w:adjustRightInd/>
        <w:snapToGrid/>
        <w:spacing w:line="540" w:lineRule="exact"/>
        <w:ind w:right="0" w:firstLine="672" w:firstLineChars="200"/>
        <w:jc w:val="both"/>
        <w:textAlignment w:val="baseline"/>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四、网络竞拍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一）经营管理部应协助辅拍机构，结合市场行情审定标段划分及竞拍底价，制定竞拍方案，明确竞拍日期、签约时限、清运时限和竞拍保证金、履约保证金，发布竞拍公告，公告期不少于7天。一旦发布竞拍公告，标的物不得擅自变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二）竞拍保证金一般不超过预估成交金额的2%，由辅拍机构竞拍前代收代管。其中的履约保证金不超过预估成交金额的10%，由成交人在清运前打入公司账户，成交人违约的，履约保证金直接扣除。履约保证金不得冲抵货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三）第一次网络竞拍流拍的，应调整竞拍底价或变更竞拍条件，组织第二次网络竞拍，第二次网络竞拍底价一般不低于第一次的80%，且公告期不少于10天。再次流拍需调整竞拍底价的，应经公司总经理批准同意，方可重新组织竞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（四）根据实际情况选择辅拍机构，原则上在与招贤矿业公司有业务协议的拍卖网（西煤网）选其一。</w:t>
      </w:r>
    </w:p>
    <w:p>
      <w:pPr>
        <w:keepNext w:val="0"/>
        <w:keepLines w:val="0"/>
        <w:pageBreakBefore w:val="0"/>
        <w:widowControl w:val="0"/>
        <w:kinsoku/>
        <w:wordWrap/>
        <w:overflowPunct/>
        <w:topLinePunct w:val="0"/>
        <w:autoSpaceDE/>
        <w:autoSpaceDN/>
        <w:bidi w:val="0"/>
        <w:adjustRightInd/>
        <w:snapToGrid/>
        <w:spacing w:line="540" w:lineRule="exact"/>
        <w:ind w:right="0" w:firstLine="672" w:firstLineChars="200"/>
        <w:jc w:val="both"/>
        <w:textAlignment w:val="baseline"/>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五、现场踏勘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经营管理部组织竞买人现场踏勘，各归口部门配合，明确告知废旧物资范围及现场情况，不得拒绝竞买人的踏勘要求。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72" w:firstLineChars="200"/>
        <w:jc w:val="both"/>
        <w:textAlignment w:val="baseline"/>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六、签订合同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合同签订参照《招贤矿业公司合同管理办法》执行。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72" w:firstLineChars="200"/>
        <w:jc w:val="both"/>
        <w:textAlignment w:val="baseline"/>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七、清运</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（一）买受人凭购销合同及预付款凭证进场清运，严格履行 合同约定标的物内容，确保合法合规，料清场清。</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二）废旧物资装车时，由经营管理部、后勤部（保卫）及承包单位现场监督，严禁不同标段的废旧物资混装；需现场拆解方可装车的废旧物资，应保留现场拆解的影像或照片资料；装车前应检查空车情况，空车、重车逐次过磅，且不得离开监装人员视线范围，装车时不得遗留、“挑肥拣瘦”，直至重车过磅完毕，防止弄虚作假。凡是不按规定装车，把有利用价值的物资误装车，按物资原值处罚归口单位及责任人。</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（三）经营管理部、后勤部（保卫）、销售部、归口单位负责过磅，登记。</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baseline"/>
        <w:rPr>
          <w:rFonts w:hint="eastAsia" w:ascii="仿宋" w:hAnsi="仿宋" w:eastAsia="仿宋" w:cs="仿宋"/>
          <w:spacing w:val="3"/>
          <w:sz w:val="32"/>
          <w:szCs w:val="32"/>
          <w:lang w:val="en-US" w:eastAsia="zh-CN"/>
        </w:rPr>
      </w:pPr>
      <w:r>
        <w:rPr>
          <w:rFonts w:hint="eastAsia" w:ascii="Times New Roman" w:hAnsi="Times New Roman" w:eastAsia="仿宋_GB2312" w:cs="Times New Roman"/>
          <w:snapToGrid/>
          <w:color w:val="auto"/>
          <w:kern w:val="0"/>
          <w:sz w:val="32"/>
          <w:szCs w:val="32"/>
          <w:highlight w:val="none"/>
          <w:lang w:val="en-US" w:eastAsia="zh-CN" w:bidi="ar-SA"/>
        </w:rPr>
        <w:t xml:space="preserve">（四）承包单位负责按规定程序办理出门手续。   </w:t>
      </w:r>
      <w:r>
        <w:rPr>
          <w:rFonts w:hint="eastAsia" w:ascii="仿宋" w:hAnsi="仿宋" w:eastAsia="仿宋" w:cs="仿宋"/>
          <w:spacing w:val="3"/>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72" w:firstLineChars="200"/>
        <w:jc w:val="both"/>
        <w:textAlignment w:val="baseline"/>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八、结算阶段</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baseline"/>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财务部根据鉴定结果核销相关资产账面价值，处置时依据合同、结算单开具货物名称为“废旧物资”的发票，进行账务处理。每次处理结束，由经营管理部申请，经公司总经理办公会审核同意后，按废旧物资出售总金额的20%增加相关单位的绩效考核工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000000"/>
          <w:sz w:val="24"/>
          <w:szCs w:val="24"/>
          <w:highlight w:val="none"/>
          <w:lang w:val="en-US" w:eastAsia="zh-CN"/>
        </w:rPr>
      </w:pPr>
      <w:bookmarkStart w:id="0" w:name="_GoBack"/>
      <w:bookmarkEnd w:id="0"/>
      <w:r>
        <w:rPr>
          <w:rFonts w:hint="eastAsia" w:ascii="黑体" w:hAnsi="黑体" w:eastAsia="黑体" w:cs="黑体"/>
          <w:b w:val="0"/>
          <w:bCs/>
          <w:snapToGrid/>
          <w:color w:val="000000"/>
          <w:kern w:val="2"/>
          <w:sz w:val="32"/>
          <w:szCs w:val="32"/>
          <w:highlight w:val="none"/>
          <w:lang w:val="en-US" w:eastAsia="zh-CN" w:bidi="ar-SA"/>
        </w:rPr>
        <w:t xml:space="preserve">附表一：  </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24"/>
          <w:szCs w:val="24"/>
          <w:highlight w:val="none"/>
          <w:lang w:val="en-US" w:eastAsia="zh-CN"/>
        </w:rPr>
        <w:t xml:space="preserve">            </w:t>
      </w:r>
    </w:p>
    <w:tbl>
      <w:tblPr>
        <w:tblStyle w:val="8"/>
        <w:tblpPr w:leftFromText="180" w:rightFromText="180" w:vertAnchor="text" w:horzAnchor="page" w:tblpX="1890" w:tblpY="567"/>
        <w:tblOverlap w:val="never"/>
        <w:tblW w:w="8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682"/>
        <w:gridCol w:w="941"/>
        <w:gridCol w:w="1169"/>
        <w:gridCol w:w="1623"/>
        <w:gridCol w:w="568"/>
        <w:gridCol w:w="941"/>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回收物资名称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单位</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回收率%</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接收单位</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回收物资名称</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单位</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回收率%</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接收单位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电源线</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电管队</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W钢带</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螺栓</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平钢带</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直通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截齿</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90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三通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U型棚</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U型卡</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注液枪</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把</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道木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回头滑子</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道钉</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拉线螺丝</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道夹板</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付</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拔柱器</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道压块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钢丝绳</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钢丝绳卡</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地辊架</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手拉葫芦</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管路弯头</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报废配件</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管路三通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手镐</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闸阀</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铲子</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高压胶管</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轴承</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风镐钎子</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压力表</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风锤钎子</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载波线</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设备队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煤钻杆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信号灯</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盏</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废钻头</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防爆荧光灯</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盏</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钻探钻头</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电缆钩</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钻探钻杆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设备配件</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机修厂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油漆桶</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各种千斤顶</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机修厂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油桶</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订扣机</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机修厂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废矿物油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保险档</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付</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机修厂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半圆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加工件</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方木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铁道板</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大板</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待修配件</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机修厂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木托盘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工字钢</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锚杆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U型棚卡子</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付</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lang w:val="en-US" w:eastAsia="zh-CN"/>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锚杆托盘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U型棚拉杆</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lang w:val="en-US" w:eastAsia="zh-CN"/>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锚索托盘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拉杆卡子</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付</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lang w:val="en-US" w:eastAsia="zh-CN"/>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金属网</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片</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snapToGrid w:val="0"/>
                <w:color w:val="000000"/>
                <w:kern w:val="0"/>
                <w:sz w:val="21"/>
                <w:szCs w:val="21"/>
                <w:highlight w:val="none"/>
                <w:u w:val="none"/>
                <w:lang w:val="en-US" w:eastAsia="zh-CN"/>
              </w:rPr>
              <w:t>复合双翼钻头</w:t>
            </w:r>
          </w:p>
        </w:tc>
        <w:tc>
          <w:tcPr>
            <w:tcW w:w="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snapToGrid w:val="0"/>
                <w:color w:val="000000"/>
                <w:kern w:val="0"/>
                <w:sz w:val="21"/>
                <w:szCs w:val="21"/>
                <w:highlight w:val="none"/>
                <w:u w:val="none"/>
                <w:lang w:val="en-US" w:eastAsia="zh-CN"/>
              </w:rPr>
              <w:t>90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snapToGrid w:val="0"/>
                <w:color w:val="000000"/>
                <w:kern w:val="0"/>
                <w:sz w:val="21"/>
                <w:szCs w:val="21"/>
                <w:highlight w:val="none"/>
                <w:u w:val="none"/>
                <w:lang w:val="en-US" w:eastAsia="zh-CN" w:bidi="ar"/>
              </w:rPr>
              <w:t>接杆钎子</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snapToGrid w:val="0"/>
                <w:color w:val="000000"/>
                <w:kern w:val="0"/>
                <w:sz w:val="21"/>
                <w:szCs w:val="21"/>
                <w:highlight w:val="none"/>
                <w:u w:val="none"/>
                <w:lang w:val="en-US" w:eastAsia="zh-CN"/>
              </w:rPr>
              <w:t>95</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snapToGrid w:val="0"/>
                <w:color w:val="000000"/>
                <w:kern w:val="0"/>
                <w:sz w:val="21"/>
                <w:szCs w:val="21"/>
                <w:highlight w:val="none"/>
                <w:u w:val="none"/>
                <w:lang w:val="en-US" w:eastAsia="zh-CN"/>
              </w:rPr>
              <w:t>截止阀</w:t>
            </w:r>
          </w:p>
        </w:tc>
        <w:tc>
          <w:tcPr>
            <w:tcW w:w="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snapToGrid w:val="0"/>
                <w:color w:val="000000"/>
                <w:kern w:val="0"/>
                <w:sz w:val="21"/>
                <w:szCs w:val="21"/>
                <w:highlight w:val="none"/>
                <w:u w:val="none"/>
                <w:lang w:val="en-US" w:eastAsia="zh-CN"/>
              </w:rPr>
              <w:t>个</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1"/>
                <w:szCs w:val="21"/>
                <w:highlight w:val="none"/>
                <w:u w:val="none"/>
                <w:lang w:val="en-US" w:eastAsia="zh-CN"/>
              </w:rPr>
            </w:pPr>
            <w:r>
              <w:rPr>
                <w:rFonts w:hint="eastAsia" w:ascii="仿宋" w:hAnsi="仿宋" w:eastAsia="仿宋" w:cs="仿宋"/>
                <w:i w:val="0"/>
                <w:iCs w:val="0"/>
                <w:snapToGrid w:val="0"/>
                <w:color w:val="000000"/>
                <w:kern w:val="0"/>
                <w:sz w:val="21"/>
                <w:szCs w:val="21"/>
                <w:highlight w:val="none"/>
                <w:u w:val="none"/>
                <w:lang w:val="en-US" w:eastAsia="zh-CN"/>
              </w:rPr>
              <w:t>100</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3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说明：1.本表未列物资的回收率、增加绩效金额比照同类物资执行。2.未列各类报废物资交供应部。3.支护材料回收率按技术部根据实际情况下达。</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3"/>
          <w:sz w:val="24"/>
          <w:szCs w:val="24"/>
          <w:lang w:val="en-US" w:eastAsia="zh-CN"/>
        </w:rPr>
      </w:pPr>
      <w:r>
        <w:rPr>
          <w:rFonts w:hint="eastAsia" w:ascii="黑体" w:hAnsi="黑体" w:eastAsia="黑体" w:cs="黑体"/>
          <w:b w:val="0"/>
          <w:bCs/>
          <w:snapToGrid/>
          <w:color w:val="000000"/>
          <w:kern w:val="2"/>
          <w:sz w:val="32"/>
          <w:szCs w:val="32"/>
          <w:highlight w:val="none"/>
          <w:lang w:val="zh-CN" w:eastAsia="zh-CN" w:bidi="ar-SA"/>
        </w:rPr>
        <w:t>物资回收率</w:t>
      </w:r>
      <w:r>
        <w:rPr>
          <w:rFonts w:hint="eastAsia" w:ascii="黑体" w:hAnsi="黑体" w:eastAsia="黑体" w:cs="黑体"/>
          <w:b w:val="0"/>
          <w:bCs/>
          <w:snapToGrid/>
          <w:color w:val="000000"/>
          <w:kern w:val="2"/>
          <w:sz w:val="32"/>
          <w:szCs w:val="32"/>
          <w:highlight w:val="none"/>
          <w:lang w:val="en-US" w:eastAsia="zh-CN" w:bidi="ar-SA"/>
        </w:rPr>
        <w:t>明细表</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lang w:val="en-US" w:eastAsia="zh-CN"/>
        </w:rPr>
        <w:sectPr>
          <w:footerReference r:id="rId5" w:type="default"/>
          <w:pgSz w:w="11906" w:h="16839"/>
          <w:pgMar w:top="2098" w:right="1474" w:bottom="1984" w:left="1587" w:header="0" w:footer="1191"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黑体" w:hAnsi="黑体" w:eastAsia="黑体" w:cs="黑体"/>
          <w:b w:val="0"/>
          <w:bCs/>
          <w:snapToGrid/>
          <w:color w:val="000000"/>
          <w:kern w:val="2"/>
          <w:sz w:val="32"/>
          <w:szCs w:val="32"/>
          <w:highlight w:val="none"/>
          <w:lang w:val="en-US" w:eastAsia="zh-CN" w:bidi="ar-SA"/>
        </w:rPr>
      </w:pPr>
      <w:r>
        <w:rPr>
          <w:rFonts w:hint="eastAsia" w:ascii="黑体" w:hAnsi="黑体" w:eastAsia="黑体" w:cs="黑体"/>
          <w:b w:val="0"/>
          <w:bCs/>
          <w:snapToGrid/>
          <w:color w:val="000000"/>
          <w:kern w:val="2"/>
          <w:sz w:val="32"/>
          <w:szCs w:val="32"/>
          <w:highlight w:val="none"/>
          <w:lang w:val="en-US" w:eastAsia="zh-CN" w:bidi="ar-SA"/>
        </w:rPr>
        <w:t>附表二：</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snapToGrid/>
          <w:color w:val="000000"/>
          <w:kern w:val="2"/>
          <w:sz w:val="32"/>
          <w:szCs w:val="32"/>
          <w:highlight w:val="none"/>
          <w:lang w:val="zh-CN" w:eastAsia="zh-CN" w:bidi="ar-SA"/>
        </w:rPr>
      </w:pPr>
      <w:r>
        <w:rPr>
          <w:rFonts w:hint="eastAsia" w:ascii="黑体" w:hAnsi="黑体" w:eastAsia="黑体" w:cs="黑体"/>
          <w:b w:val="0"/>
          <w:bCs/>
          <w:snapToGrid/>
          <w:color w:val="000000"/>
          <w:kern w:val="2"/>
          <w:sz w:val="32"/>
          <w:szCs w:val="32"/>
          <w:highlight w:val="none"/>
          <w:lang w:val="zh-CN" w:eastAsia="zh-CN" w:bidi="ar-SA"/>
        </w:rPr>
        <w:t>修旧利废汇总表</w:t>
      </w:r>
    </w:p>
    <w:p>
      <w:pPr>
        <w:pStyle w:val="10"/>
        <w:rPr>
          <w:rFonts w:hint="eastAsia"/>
          <w:lang w:val="zh-CN" w:eastAsia="zh-CN"/>
        </w:rPr>
      </w:pPr>
    </w:p>
    <w:tbl>
      <w:tblPr>
        <w:tblStyle w:val="8"/>
        <w:tblW w:w="5326" w:type="pct"/>
        <w:jc w:val="center"/>
        <w:tblLayout w:type="autofit"/>
        <w:tblCellMar>
          <w:top w:w="0" w:type="dxa"/>
          <w:left w:w="108" w:type="dxa"/>
          <w:bottom w:w="0" w:type="dxa"/>
          <w:right w:w="108" w:type="dxa"/>
        </w:tblCellMar>
      </w:tblPr>
      <w:tblGrid>
        <w:gridCol w:w="1558"/>
        <w:gridCol w:w="1176"/>
        <w:gridCol w:w="809"/>
        <w:gridCol w:w="809"/>
        <w:gridCol w:w="809"/>
        <w:gridCol w:w="809"/>
        <w:gridCol w:w="1176"/>
        <w:gridCol w:w="1176"/>
        <w:gridCol w:w="756"/>
      </w:tblGrid>
      <w:tr>
        <w:tblPrEx>
          <w:tblCellMar>
            <w:top w:w="0" w:type="dxa"/>
            <w:left w:w="108" w:type="dxa"/>
            <w:bottom w:w="0" w:type="dxa"/>
            <w:right w:w="108" w:type="dxa"/>
          </w:tblCellMar>
        </w:tblPrEx>
        <w:trPr>
          <w:trHeight w:val="511" w:hRule="atLeast"/>
          <w:jc w:val="center"/>
        </w:trPr>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承修单位</w:t>
            </w:r>
          </w:p>
        </w:tc>
        <w:tc>
          <w:tcPr>
            <w:tcW w:w="647"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物资名称</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规格</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数量</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单价</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原值</w:t>
            </w:r>
          </w:p>
        </w:tc>
        <w:tc>
          <w:tcPr>
            <w:tcW w:w="647"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投入成本</w:t>
            </w:r>
          </w:p>
        </w:tc>
        <w:tc>
          <w:tcPr>
            <w:tcW w:w="647"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节余成本</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511"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11"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11"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11"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11"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11"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11"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合计</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21"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45"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w:t>
            </w:r>
          </w:p>
        </w:tc>
      </w:tr>
    </w:tbl>
    <w:p>
      <w:pPr>
        <w:spacing w:line="360" w:lineRule="auto"/>
        <w:rPr>
          <w:rFonts w:hint="eastAsia" w:ascii="仿宋" w:hAnsi="仿宋" w:eastAsia="仿宋" w:cs="仿宋"/>
          <w:sz w:val="24"/>
          <w:szCs w:val="24"/>
        </w:rPr>
      </w:pPr>
    </w:p>
    <w:p>
      <w:pPr>
        <w:spacing w:line="560" w:lineRule="exact"/>
        <w:ind w:firstLine="635"/>
        <w:jc w:val="center"/>
        <w:rPr>
          <w:rFonts w:hint="eastAsia" w:ascii="仿宋" w:hAnsi="仿宋" w:eastAsia="仿宋" w:cs="仿宋"/>
          <w:b w:val="0"/>
          <w:bCs w:val="0"/>
          <w:color w:val="000000"/>
          <w:sz w:val="24"/>
          <w:szCs w:val="24"/>
          <w:highlight w:val="none"/>
        </w:rPr>
      </w:pPr>
    </w:p>
    <w:p>
      <w:pPr>
        <w:spacing w:line="520" w:lineRule="exact"/>
        <w:ind w:firstLine="480" w:firstLineChars="200"/>
        <w:rPr>
          <w:rFonts w:hint="eastAsia" w:ascii="仿宋" w:hAnsi="仿宋" w:eastAsia="仿宋" w:cs="仿宋"/>
          <w:sz w:val="24"/>
          <w:szCs w:val="24"/>
        </w:rPr>
      </w:pPr>
    </w:p>
    <w:p>
      <w:pPr>
        <w:rPr>
          <w:rFonts w:hint="eastAsia" w:ascii="仿宋" w:hAnsi="仿宋" w:eastAsia="仿宋" w:cs="仿宋"/>
          <w:spacing w:val="5"/>
          <w:sz w:val="24"/>
          <w:szCs w:val="24"/>
        </w:rPr>
      </w:pPr>
      <w:r>
        <w:rPr>
          <w:rFonts w:hint="eastAsia" w:ascii="仿宋" w:hAnsi="仿宋" w:eastAsia="仿宋" w:cs="仿宋"/>
          <w:spacing w:val="5"/>
          <w:sz w:val="24"/>
          <w:szCs w:val="24"/>
        </w:rPr>
        <w:br w:type="page"/>
      </w:r>
    </w:p>
    <w:p>
      <w:pPr>
        <w:pStyle w:val="3"/>
        <w:spacing w:line="360" w:lineRule="auto"/>
        <w:rPr>
          <w:rFonts w:hint="eastAsia" w:ascii="黑体" w:hAnsi="黑体" w:eastAsia="黑体" w:cs="黑体"/>
          <w:b w:val="0"/>
          <w:bCs/>
          <w:snapToGrid/>
          <w:color w:val="000000"/>
          <w:kern w:val="2"/>
          <w:sz w:val="32"/>
          <w:szCs w:val="32"/>
          <w:highlight w:val="none"/>
          <w:lang w:val="en-US" w:eastAsia="zh-CN" w:bidi="ar-SA"/>
        </w:rPr>
      </w:pPr>
      <w:r>
        <w:rPr>
          <w:rFonts w:hint="eastAsia" w:ascii="黑体" w:hAnsi="黑体" w:eastAsia="黑体" w:cs="黑体"/>
          <w:b w:val="0"/>
          <w:bCs/>
          <w:snapToGrid/>
          <w:color w:val="000000"/>
          <w:kern w:val="2"/>
          <w:sz w:val="32"/>
          <w:szCs w:val="32"/>
          <w:highlight w:val="none"/>
          <w:lang w:val="en-US" w:eastAsia="zh-CN" w:bidi="ar-SA"/>
        </w:rPr>
        <w:t>附</w:t>
      </w:r>
      <w:r>
        <w:rPr>
          <w:rFonts w:hint="eastAsia" w:ascii="黑体" w:hAnsi="黑体" w:cs="黑体"/>
          <w:b w:val="0"/>
          <w:bCs/>
          <w:snapToGrid/>
          <w:color w:val="000000"/>
          <w:kern w:val="2"/>
          <w:sz w:val="32"/>
          <w:szCs w:val="32"/>
          <w:highlight w:val="none"/>
          <w:lang w:val="en-US" w:eastAsia="zh-CN" w:bidi="ar-SA"/>
        </w:rPr>
        <w:t>表</w:t>
      </w:r>
      <w:r>
        <w:rPr>
          <w:rFonts w:hint="eastAsia" w:ascii="黑体" w:hAnsi="黑体" w:eastAsia="黑体" w:cs="黑体"/>
          <w:b w:val="0"/>
          <w:bCs/>
          <w:snapToGrid/>
          <w:color w:val="000000"/>
          <w:kern w:val="2"/>
          <w:sz w:val="32"/>
          <w:szCs w:val="32"/>
          <w:highlight w:val="none"/>
          <w:lang w:val="en-US" w:eastAsia="zh-CN" w:bidi="ar-SA"/>
        </w:rPr>
        <w:t>三：</w:t>
      </w:r>
    </w:p>
    <w:p>
      <w:pPr>
        <w:pStyle w:val="3"/>
        <w:spacing w:line="360" w:lineRule="auto"/>
        <w:jc w:val="center"/>
        <w:rPr>
          <w:rFonts w:hint="eastAsia" w:ascii="黑体" w:hAnsi="黑体" w:eastAsia="黑体" w:cs="黑体"/>
          <w:b w:val="0"/>
          <w:bCs w:val="0"/>
          <w:sz w:val="32"/>
          <w:szCs w:val="32"/>
        </w:rPr>
      </w:pPr>
      <w:r>
        <w:rPr>
          <w:rFonts w:hint="eastAsia" w:ascii="黑体" w:hAnsi="黑体" w:eastAsia="黑体" w:cs="黑体"/>
          <w:b w:val="0"/>
          <w:bCs/>
          <w:snapToGrid/>
          <w:color w:val="000000"/>
          <w:kern w:val="2"/>
          <w:sz w:val="32"/>
          <w:szCs w:val="32"/>
          <w:highlight w:val="none"/>
          <w:lang w:val="en-US" w:eastAsia="zh-CN" w:bidi="ar-SA"/>
        </w:rPr>
        <w:t>交接单样式表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650"/>
        <w:gridCol w:w="757"/>
        <w:gridCol w:w="713"/>
        <w:gridCol w:w="967"/>
        <w:gridCol w:w="8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交接地点：</w:t>
            </w:r>
          </w:p>
        </w:tc>
        <w:tc>
          <w:tcPr>
            <w:tcW w:w="1650" w:type="dxa"/>
            <w:noWrap w:val="0"/>
            <w:vAlign w:val="center"/>
          </w:tcPr>
          <w:p>
            <w:pPr>
              <w:spacing w:line="360" w:lineRule="auto"/>
              <w:jc w:val="center"/>
              <w:rPr>
                <w:rFonts w:hint="eastAsia" w:ascii="仿宋" w:hAnsi="仿宋" w:eastAsia="仿宋" w:cs="仿宋"/>
                <w:b w:val="0"/>
                <w:bCs w:val="0"/>
                <w:sz w:val="24"/>
                <w:szCs w:val="24"/>
              </w:rPr>
            </w:pPr>
          </w:p>
        </w:tc>
        <w:tc>
          <w:tcPr>
            <w:tcW w:w="1470" w:type="dxa"/>
            <w:gridSpan w:val="2"/>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交接时间：</w:t>
            </w:r>
          </w:p>
        </w:tc>
        <w:tc>
          <w:tcPr>
            <w:tcW w:w="3217" w:type="dxa"/>
            <w:gridSpan w:val="3"/>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交方单位：</w:t>
            </w:r>
          </w:p>
        </w:tc>
        <w:tc>
          <w:tcPr>
            <w:tcW w:w="1650" w:type="dxa"/>
            <w:noWrap w:val="0"/>
            <w:vAlign w:val="center"/>
          </w:tcPr>
          <w:p>
            <w:pPr>
              <w:spacing w:line="360" w:lineRule="auto"/>
              <w:jc w:val="center"/>
              <w:rPr>
                <w:rFonts w:hint="eastAsia" w:ascii="仿宋" w:hAnsi="仿宋" w:eastAsia="仿宋" w:cs="仿宋"/>
                <w:b w:val="0"/>
                <w:bCs w:val="0"/>
                <w:sz w:val="24"/>
                <w:szCs w:val="24"/>
              </w:rPr>
            </w:pPr>
          </w:p>
        </w:tc>
        <w:tc>
          <w:tcPr>
            <w:tcW w:w="1470" w:type="dxa"/>
            <w:gridSpan w:val="2"/>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接方单位：</w:t>
            </w:r>
          </w:p>
        </w:tc>
        <w:tc>
          <w:tcPr>
            <w:tcW w:w="3217" w:type="dxa"/>
            <w:gridSpan w:val="3"/>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物资名称</w:t>
            </w:r>
          </w:p>
        </w:tc>
        <w:tc>
          <w:tcPr>
            <w:tcW w:w="1650"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单位</w:t>
            </w:r>
          </w:p>
        </w:tc>
        <w:tc>
          <w:tcPr>
            <w:tcW w:w="1470" w:type="dxa"/>
            <w:gridSpan w:val="2"/>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规格型号</w:t>
            </w:r>
          </w:p>
        </w:tc>
        <w:tc>
          <w:tcPr>
            <w:tcW w:w="1050" w:type="dxa"/>
            <w:gridSpan w:val="2"/>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数量</w:t>
            </w:r>
          </w:p>
        </w:tc>
        <w:tc>
          <w:tcPr>
            <w:tcW w:w="2167"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备注（新旧）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塑料电缆钩</w:t>
            </w:r>
          </w:p>
        </w:tc>
        <w:tc>
          <w:tcPr>
            <w:tcW w:w="1650"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只</w:t>
            </w:r>
          </w:p>
        </w:tc>
        <w:tc>
          <w:tcPr>
            <w:tcW w:w="1470" w:type="dxa"/>
            <w:gridSpan w:val="2"/>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1050" w:type="dxa"/>
            <w:gridSpan w:val="2"/>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2167" w:type="dxa"/>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p>
        </w:tc>
        <w:tc>
          <w:tcPr>
            <w:tcW w:w="1650" w:type="dxa"/>
            <w:noWrap w:val="0"/>
            <w:vAlign w:val="center"/>
          </w:tcPr>
          <w:p>
            <w:pPr>
              <w:spacing w:line="360" w:lineRule="auto"/>
              <w:jc w:val="center"/>
              <w:rPr>
                <w:rFonts w:hint="eastAsia" w:ascii="仿宋" w:hAnsi="仿宋" w:eastAsia="仿宋" w:cs="仿宋"/>
                <w:b w:val="0"/>
                <w:bCs w:val="0"/>
                <w:sz w:val="24"/>
                <w:szCs w:val="24"/>
              </w:rPr>
            </w:pPr>
          </w:p>
        </w:tc>
        <w:tc>
          <w:tcPr>
            <w:tcW w:w="1470" w:type="dxa"/>
            <w:gridSpan w:val="2"/>
            <w:noWrap w:val="0"/>
            <w:vAlign w:val="center"/>
          </w:tcPr>
          <w:p>
            <w:pPr>
              <w:spacing w:line="360" w:lineRule="auto"/>
              <w:jc w:val="center"/>
              <w:rPr>
                <w:rFonts w:hint="eastAsia" w:ascii="仿宋" w:hAnsi="仿宋" w:eastAsia="仿宋" w:cs="仿宋"/>
                <w:b w:val="0"/>
                <w:bCs w:val="0"/>
                <w:sz w:val="24"/>
                <w:szCs w:val="24"/>
              </w:rPr>
            </w:pPr>
          </w:p>
        </w:tc>
        <w:tc>
          <w:tcPr>
            <w:tcW w:w="1050" w:type="dxa"/>
            <w:gridSpan w:val="2"/>
            <w:noWrap w:val="0"/>
            <w:vAlign w:val="center"/>
          </w:tcPr>
          <w:p>
            <w:pPr>
              <w:spacing w:line="360" w:lineRule="auto"/>
              <w:jc w:val="center"/>
              <w:rPr>
                <w:rFonts w:hint="eastAsia" w:ascii="仿宋" w:hAnsi="仿宋" w:eastAsia="仿宋" w:cs="仿宋"/>
                <w:b w:val="0"/>
                <w:bCs w:val="0"/>
                <w:sz w:val="24"/>
                <w:szCs w:val="24"/>
              </w:rPr>
            </w:pPr>
          </w:p>
        </w:tc>
        <w:tc>
          <w:tcPr>
            <w:tcW w:w="2167" w:type="dxa"/>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p>
        </w:tc>
        <w:tc>
          <w:tcPr>
            <w:tcW w:w="1650" w:type="dxa"/>
            <w:noWrap w:val="0"/>
            <w:vAlign w:val="center"/>
          </w:tcPr>
          <w:p>
            <w:pPr>
              <w:spacing w:line="360" w:lineRule="auto"/>
              <w:jc w:val="center"/>
              <w:rPr>
                <w:rFonts w:hint="eastAsia" w:ascii="仿宋" w:hAnsi="仿宋" w:eastAsia="仿宋" w:cs="仿宋"/>
                <w:b w:val="0"/>
                <w:bCs w:val="0"/>
                <w:sz w:val="24"/>
                <w:szCs w:val="24"/>
              </w:rPr>
            </w:pPr>
          </w:p>
        </w:tc>
        <w:tc>
          <w:tcPr>
            <w:tcW w:w="1470" w:type="dxa"/>
            <w:gridSpan w:val="2"/>
            <w:noWrap w:val="0"/>
            <w:vAlign w:val="center"/>
          </w:tcPr>
          <w:p>
            <w:pPr>
              <w:spacing w:line="360" w:lineRule="auto"/>
              <w:jc w:val="center"/>
              <w:rPr>
                <w:rFonts w:hint="eastAsia" w:ascii="仿宋" w:hAnsi="仿宋" w:eastAsia="仿宋" w:cs="仿宋"/>
                <w:b w:val="0"/>
                <w:bCs w:val="0"/>
                <w:sz w:val="24"/>
                <w:szCs w:val="24"/>
              </w:rPr>
            </w:pPr>
          </w:p>
        </w:tc>
        <w:tc>
          <w:tcPr>
            <w:tcW w:w="1050" w:type="dxa"/>
            <w:gridSpan w:val="2"/>
            <w:noWrap w:val="0"/>
            <w:vAlign w:val="center"/>
          </w:tcPr>
          <w:p>
            <w:pPr>
              <w:spacing w:line="360" w:lineRule="auto"/>
              <w:jc w:val="center"/>
              <w:rPr>
                <w:rFonts w:hint="eastAsia" w:ascii="仿宋" w:hAnsi="仿宋" w:eastAsia="仿宋" w:cs="仿宋"/>
                <w:b w:val="0"/>
                <w:bCs w:val="0"/>
                <w:sz w:val="24"/>
                <w:szCs w:val="24"/>
              </w:rPr>
            </w:pPr>
          </w:p>
        </w:tc>
        <w:tc>
          <w:tcPr>
            <w:tcW w:w="2167" w:type="dxa"/>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p>
        </w:tc>
        <w:tc>
          <w:tcPr>
            <w:tcW w:w="1650" w:type="dxa"/>
            <w:noWrap w:val="0"/>
            <w:vAlign w:val="center"/>
          </w:tcPr>
          <w:p>
            <w:pPr>
              <w:spacing w:line="360" w:lineRule="auto"/>
              <w:jc w:val="center"/>
              <w:rPr>
                <w:rFonts w:hint="eastAsia" w:ascii="仿宋" w:hAnsi="仿宋" w:eastAsia="仿宋" w:cs="仿宋"/>
                <w:b w:val="0"/>
                <w:bCs w:val="0"/>
                <w:sz w:val="24"/>
                <w:szCs w:val="24"/>
              </w:rPr>
            </w:pPr>
          </w:p>
        </w:tc>
        <w:tc>
          <w:tcPr>
            <w:tcW w:w="1470" w:type="dxa"/>
            <w:gridSpan w:val="2"/>
            <w:noWrap w:val="0"/>
            <w:vAlign w:val="center"/>
          </w:tcPr>
          <w:p>
            <w:pPr>
              <w:spacing w:line="360" w:lineRule="auto"/>
              <w:jc w:val="center"/>
              <w:rPr>
                <w:rFonts w:hint="eastAsia" w:ascii="仿宋" w:hAnsi="仿宋" w:eastAsia="仿宋" w:cs="仿宋"/>
                <w:b w:val="0"/>
                <w:bCs w:val="0"/>
                <w:sz w:val="24"/>
                <w:szCs w:val="24"/>
              </w:rPr>
            </w:pPr>
          </w:p>
        </w:tc>
        <w:tc>
          <w:tcPr>
            <w:tcW w:w="1050" w:type="dxa"/>
            <w:gridSpan w:val="2"/>
            <w:noWrap w:val="0"/>
            <w:vAlign w:val="center"/>
          </w:tcPr>
          <w:p>
            <w:pPr>
              <w:spacing w:line="360" w:lineRule="auto"/>
              <w:jc w:val="center"/>
              <w:rPr>
                <w:rFonts w:hint="eastAsia" w:ascii="仿宋" w:hAnsi="仿宋" w:eastAsia="仿宋" w:cs="仿宋"/>
                <w:b w:val="0"/>
                <w:bCs w:val="0"/>
                <w:sz w:val="24"/>
                <w:szCs w:val="24"/>
              </w:rPr>
            </w:pPr>
          </w:p>
        </w:tc>
        <w:tc>
          <w:tcPr>
            <w:tcW w:w="2167" w:type="dxa"/>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p>
        </w:tc>
        <w:tc>
          <w:tcPr>
            <w:tcW w:w="1650" w:type="dxa"/>
            <w:noWrap w:val="0"/>
            <w:vAlign w:val="center"/>
          </w:tcPr>
          <w:p>
            <w:pPr>
              <w:spacing w:line="360" w:lineRule="auto"/>
              <w:jc w:val="center"/>
              <w:rPr>
                <w:rFonts w:hint="eastAsia" w:ascii="仿宋" w:hAnsi="仿宋" w:eastAsia="仿宋" w:cs="仿宋"/>
                <w:b w:val="0"/>
                <w:bCs w:val="0"/>
                <w:sz w:val="24"/>
                <w:szCs w:val="24"/>
              </w:rPr>
            </w:pPr>
          </w:p>
        </w:tc>
        <w:tc>
          <w:tcPr>
            <w:tcW w:w="1470" w:type="dxa"/>
            <w:gridSpan w:val="2"/>
            <w:noWrap w:val="0"/>
            <w:vAlign w:val="center"/>
          </w:tcPr>
          <w:p>
            <w:pPr>
              <w:spacing w:line="360" w:lineRule="auto"/>
              <w:jc w:val="center"/>
              <w:rPr>
                <w:rFonts w:hint="eastAsia" w:ascii="仿宋" w:hAnsi="仿宋" w:eastAsia="仿宋" w:cs="仿宋"/>
                <w:b w:val="0"/>
                <w:bCs w:val="0"/>
                <w:sz w:val="24"/>
                <w:szCs w:val="24"/>
              </w:rPr>
            </w:pPr>
          </w:p>
        </w:tc>
        <w:tc>
          <w:tcPr>
            <w:tcW w:w="1050" w:type="dxa"/>
            <w:gridSpan w:val="2"/>
            <w:noWrap w:val="0"/>
            <w:vAlign w:val="center"/>
          </w:tcPr>
          <w:p>
            <w:pPr>
              <w:spacing w:line="360" w:lineRule="auto"/>
              <w:jc w:val="center"/>
              <w:rPr>
                <w:rFonts w:hint="eastAsia" w:ascii="仿宋" w:hAnsi="仿宋" w:eastAsia="仿宋" w:cs="仿宋"/>
                <w:b w:val="0"/>
                <w:bCs w:val="0"/>
                <w:sz w:val="24"/>
                <w:szCs w:val="24"/>
              </w:rPr>
            </w:pPr>
          </w:p>
        </w:tc>
        <w:tc>
          <w:tcPr>
            <w:tcW w:w="2167" w:type="dxa"/>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noWrap w:val="0"/>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交接</w:t>
            </w:r>
            <w:r>
              <w:rPr>
                <w:rFonts w:hint="eastAsia" w:ascii="仿宋" w:hAnsi="仿宋" w:eastAsia="仿宋" w:cs="仿宋"/>
                <w:b w:val="0"/>
                <w:bCs w:val="0"/>
                <w:sz w:val="24"/>
                <w:szCs w:val="24"/>
                <w:lang w:val="en-US" w:eastAsia="zh-CN"/>
              </w:rPr>
              <w:t>范围</w:t>
            </w:r>
          </w:p>
        </w:tc>
        <w:tc>
          <w:tcPr>
            <w:tcW w:w="6337" w:type="dxa"/>
            <w:gridSpan w:val="6"/>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交方单位</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签字：</w:t>
            </w:r>
          </w:p>
        </w:tc>
        <w:tc>
          <w:tcPr>
            <w:tcW w:w="2407" w:type="dxa"/>
            <w:gridSpan w:val="2"/>
            <w:noWrap w:val="0"/>
            <w:vAlign w:val="center"/>
          </w:tcPr>
          <w:p>
            <w:pPr>
              <w:spacing w:line="360" w:lineRule="auto"/>
              <w:jc w:val="center"/>
              <w:rPr>
                <w:rFonts w:hint="eastAsia" w:ascii="仿宋" w:hAnsi="仿宋" w:eastAsia="仿宋" w:cs="仿宋"/>
                <w:b w:val="0"/>
                <w:bCs w:val="0"/>
                <w:sz w:val="24"/>
                <w:szCs w:val="24"/>
              </w:rPr>
            </w:pPr>
          </w:p>
        </w:tc>
        <w:tc>
          <w:tcPr>
            <w:tcW w:w="1680" w:type="dxa"/>
            <w:gridSpan w:val="2"/>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接方单位</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签字：</w:t>
            </w:r>
          </w:p>
        </w:tc>
        <w:tc>
          <w:tcPr>
            <w:tcW w:w="2250" w:type="dxa"/>
            <w:gridSpan w:val="2"/>
            <w:noWrap w:val="0"/>
            <w:vAlign w:val="center"/>
          </w:tcPr>
          <w:p>
            <w:pPr>
              <w:spacing w:line="36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1" w:type="dxa"/>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流转</w:t>
            </w:r>
            <w:r>
              <w:rPr>
                <w:rFonts w:hint="eastAsia" w:ascii="仿宋" w:hAnsi="仿宋" w:eastAsia="仿宋" w:cs="仿宋"/>
                <w:b w:val="0"/>
                <w:bCs w:val="0"/>
                <w:sz w:val="24"/>
                <w:szCs w:val="24"/>
              </w:rPr>
              <w:t>单位：</w:t>
            </w:r>
          </w:p>
        </w:tc>
        <w:tc>
          <w:tcPr>
            <w:tcW w:w="2407" w:type="dxa"/>
            <w:gridSpan w:val="2"/>
            <w:noWrap w:val="0"/>
            <w:vAlign w:val="center"/>
          </w:tcPr>
          <w:p>
            <w:pPr>
              <w:spacing w:line="360" w:lineRule="auto"/>
              <w:jc w:val="center"/>
              <w:rPr>
                <w:rFonts w:hint="eastAsia" w:ascii="仿宋" w:hAnsi="仿宋" w:eastAsia="仿宋" w:cs="仿宋"/>
                <w:b w:val="0"/>
                <w:bCs w:val="0"/>
                <w:sz w:val="24"/>
                <w:szCs w:val="24"/>
                <w:lang w:val="en-US" w:eastAsia="zh-CN"/>
              </w:rPr>
            </w:pPr>
          </w:p>
        </w:tc>
        <w:tc>
          <w:tcPr>
            <w:tcW w:w="1680" w:type="dxa"/>
            <w:gridSpan w:val="2"/>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归口</w:t>
            </w:r>
            <w:r>
              <w:rPr>
                <w:rFonts w:hint="eastAsia" w:ascii="仿宋" w:hAnsi="仿宋" w:eastAsia="仿宋" w:cs="仿宋"/>
                <w:b w:val="0"/>
                <w:bCs w:val="0"/>
                <w:sz w:val="24"/>
                <w:szCs w:val="24"/>
              </w:rPr>
              <w:t>单位</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签字：</w:t>
            </w:r>
          </w:p>
        </w:tc>
        <w:tc>
          <w:tcPr>
            <w:tcW w:w="2250" w:type="dxa"/>
            <w:gridSpan w:val="2"/>
            <w:noWrap w:val="0"/>
            <w:vAlign w:val="center"/>
          </w:tcPr>
          <w:p>
            <w:pPr>
              <w:spacing w:line="360" w:lineRule="auto"/>
              <w:jc w:val="center"/>
              <w:rPr>
                <w:rFonts w:hint="eastAsia" w:ascii="仿宋" w:hAnsi="仿宋" w:eastAsia="仿宋" w:cs="仿宋"/>
                <w:b w:val="0"/>
                <w:bCs w:val="0"/>
                <w:sz w:val="24"/>
                <w:szCs w:val="24"/>
              </w:rPr>
            </w:pPr>
          </w:p>
        </w:tc>
      </w:tr>
    </w:tbl>
    <w:p>
      <w:pPr>
        <w:pStyle w:val="11"/>
        <w:ind w:left="0" w:leftChars="0" w:firstLine="0" w:firstLineChars="0"/>
        <w:rPr>
          <w:rFonts w:hint="eastAsia" w:ascii="仿宋" w:hAnsi="仿宋" w:eastAsia="仿宋" w:cs="仿宋"/>
          <w:sz w:val="24"/>
          <w:szCs w:val="24"/>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_">
    <w:altName w:val="宋体"/>
    <w:panose1 w:val="00000000000000000000"/>
    <w:charset w:val="86"/>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- 16 -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- 16 -</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A47AC"/>
    <w:multiLevelType w:val="multilevel"/>
    <w:tmpl w:val="44BA47AC"/>
    <w:lvl w:ilvl="0" w:tentative="0">
      <w:start w:val="1"/>
      <w:numFmt w:val="chineseCountingThousand"/>
      <w:suff w:val="space"/>
      <w:lvlText w:val="第%1章"/>
      <w:lvlJc w:val="left"/>
      <w:pPr>
        <w:ind w:left="0" w:firstLine="0"/>
      </w:pPr>
      <w:rPr>
        <w:rFonts w:hint="default" w:ascii="Arial" w:hAnsi="Arial" w:eastAsia="仿宋_GB2312"/>
        <w:b/>
        <w:i w:val="0"/>
        <w:color w:val="auto"/>
        <w:sz w:val="30"/>
        <w:u w:val="none"/>
      </w:rPr>
    </w:lvl>
    <w:lvl w:ilvl="1" w:tentative="0">
      <w:start w:val="1"/>
      <w:numFmt w:val="chineseCountingThousand"/>
      <w:suff w:val="space"/>
      <w:lvlText w:val="第%2节"/>
      <w:lvlJc w:val="left"/>
      <w:pPr>
        <w:ind w:left="0" w:firstLine="0"/>
      </w:pPr>
      <w:rPr>
        <w:rFonts w:hint="default" w:ascii="Arial" w:hAnsi="Arial" w:eastAsia="仿宋_GB2312"/>
        <w:b/>
        <w:i w:val="0"/>
        <w:color w:val="auto"/>
        <w:sz w:val="28"/>
        <w:u w:val="none"/>
      </w:rPr>
    </w:lvl>
    <w:lvl w:ilvl="2" w:tentative="0">
      <w:start w:val="1"/>
      <w:numFmt w:val="chineseCountingThousand"/>
      <w:lvlRestart w:val="0"/>
      <w:pStyle w:val="13"/>
      <w:suff w:val="space"/>
      <w:lvlText w:val="第%3条"/>
      <w:lvlJc w:val="left"/>
      <w:pPr>
        <w:ind w:left="0" w:firstLine="0"/>
      </w:pPr>
      <w:rPr>
        <w:rFonts w:hint="default" w:ascii="Arial" w:hAnsi="Arial" w:eastAsia="仿宋_GB2312"/>
        <w:b/>
        <w:i w:val="0"/>
        <w:sz w:val="32"/>
        <w:szCs w:val="32"/>
        <w:u w:val="none"/>
        <w:lang w:val="en-US"/>
      </w:rPr>
    </w:lvl>
    <w:lvl w:ilvl="3" w:tentative="0">
      <w:start w:val="1"/>
      <w:numFmt w:val="chineseCountingThousand"/>
      <w:suff w:val="space"/>
      <w:lvlText w:val="（%4）"/>
      <w:lvlJc w:val="left"/>
      <w:pPr>
        <w:ind w:left="0" w:firstLine="0"/>
      </w:pPr>
      <w:rPr>
        <w:rFonts w:hint="default" w:ascii="Arial" w:hAnsi="Arial" w:eastAsia="仿宋_GB2312"/>
        <w:b w:val="0"/>
        <w:i w:val="0"/>
        <w:color w:val="auto"/>
        <w:sz w:val="32"/>
        <w:szCs w:val="32"/>
      </w:rPr>
    </w:lvl>
    <w:lvl w:ilvl="4" w:tentative="0">
      <w:start w:val="1"/>
      <w:numFmt w:val="decimal"/>
      <w:suff w:val="space"/>
      <w:lvlText w:val="%5．"/>
      <w:lvlJc w:val="left"/>
      <w:pPr>
        <w:ind w:left="0" w:firstLine="0"/>
      </w:pPr>
      <w:rPr>
        <w:rFonts w:hint="default" w:ascii="Arial" w:hAnsi="Arial" w:eastAsia="仿宋_"/>
        <w:b w:val="0"/>
        <w:i w:val="0"/>
        <w:color w:val="auto"/>
        <w:sz w:val="28"/>
      </w:rPr>
    </w:lvl>
    <w:lvl w:ilvl="5" w:tentative="0">
      <w:start w:val="1"/>
      <w:numFmt w:val="none"/>
      <w:suff w:val="nothing"/>
      <w:lvlText w:val="%6"/>
      <w:lvlJc w:val="left"/>
      <w:pPr>
        <w:ind w:left="0" w:firstLine="0"/>
      </w:pPr>
      <w:rPr>
        <w:rFonts w:hint="default" w:ascii="Arial" w:hAnsi="Arial" w:eastAsia="仿宋_"/>
        <w:b w:val="0"/>
        <w:i w:val="0"/>
        <w:color w:val="auto"/>
        <w:sz w:val="28"/>
      </w:rPr>
    </w:lvl>
    <w:lvl w:ilvl="6" w:tentative="0">
      <w:start w:val="1"/>
      <w:numFmt w:val="none"/>
      <w:suff w:val="nothing"/>
      <w:lvlText w:val="%7"/>
      <w:lvlJc w:val="left"/>
      <w:pPr>
        <w:ind w:left="0" w:firstLine="0"/>
      </w:pPr>
      <w:rPr>
        <w:rFonts w:hint="eastAsia"/>
      </w:rPr>
    </w:lvl>
    <w:lvl w:ilvl="7" w:tentative="0">
      <w:start w:val="1"/>
      <w:numFmt w:val="none"/>
      <w:suff w:val="nothing"/>
      <w:lvlText w:val="%8"/>
      <w:lvlJc w:val="left"/>
      <w:pPr>
        <w:ind w:left="0" w:firstLine="0"/>
      </w:pPr>
      <w:rPr>
        <w:rFonts w:hint="eastAsia"/>
      </w:rPr>
    </w:lvl>
    <w:lvl w:ilvl="8" w:tentative="0">
      <w:start w:val="1"/>
      <w:numFmt w:val="none"/>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ZjRjNWRjOTNmM2NmZGMxNWVmZTZmMWVlYWE0NTEifQ=="/>
  </w:docVars>
  <w:rsids>
    <w:rsidRoot w:val="3B416CE1"/>
    <w:rsid w:val="00197541"/>
    <w:rsid w:val="002E3C43"/>
    <w:rsid w:val="01244776"/>
    <w:rsid w:val="0721638A"/>
    <w:rsid w:val="08AD58BC"/>
    <w:rsid w:val="08B33959"/>
    <w:rsid w:val="08F20A31"/>
    <w:rsid w:val="0B164FC1"/>
    <w:rsid w:val="0B252DDB"/>
    <w:rsid w:val="0C032502"/>
    <w:rsid w:val="0D0423D5"/>
    <w:rsid w:val="10521CAA"/>
    <w:rsid w:val="18DA3D79"/>
    <w:rsid w:val="18DA6EF8"/>
    <w:rsid w:val="18F05B02"/>
    <w:rsid w:val="1CF4181F"/>
    <w:rsid w:val="1D9E48F1"/>
    <w:rsid w:val="1E856F37"/>
    <w:rsid w:val="1F4F73C5"/>
    <w:rsid w:val="21C85967"/>
    <w:rsid w:val="23ED6213"/>
    <w:rsid w:val="25CE6675"/>
    <w:rsid w:val="2726094E"/>
    <w:rsid w:val="287B1075"/>
    <w:rsid w:val="28A215C2"/>
    <w:rsid w:val="2A036979"/>
    <w:rsid w:val="2DAE3749"/>
    <w:rsid w:val="2E1E21B7"/>
    <w:rsid w:val="2E6B53DA"/>
    <w:rsid w:val="2EB26031"/>
    <w:rsid w:val="30826D77"/>
    <w:rsid w:val="313E5C07"/>
    <w:rsid w:val="31EE58BC"/>
    <w:rsid w:val="32C93A4D"/>
    <w:rsid w:val="32E012B1"/>
    <w:rsid w:val="33EF10B2"/>
    <w:rsid w:val="35ED1886"/>
    <w:rsid w:val="36623E1A"/>
    <w:rsid w:val="36723220"/>
    <w:rsid w:val="37BB40F0"/>
    <w:rsid w:val="39BD75A3"/>
    <w:rsid w:val="3A4974E4"/>
    <w:rsid w:val="3A9F01AD"/>
    <w:rsid w:val="3B416CE1"/>
    <w:rsid w:val="3BE4673F"/>
    <w:rsid w:val="3DD56FC5"/>
    <w:rsid w:val="3E894239"/>
    <w:rsid w:val="3ECE1D63"/>
    <w:rsid w:val="3F3C627A"/>
    <w:rsid w:val="3FDF05B5"/>
    <w:rsid w:val="41FF031A"/>
    <w:rsid w:val="42E56B7B"/>
    <w:rsid w:val="438C2EA2"/>
    <w:rsid w:val="43D61CCF"/>
    <w:rsid w:val="43E71F33"/>
    <w:rsid w:val="442B6132"/>
    <w:rsid w:val="450E2292"/>
    <w:rsid w:val="464C4364"/>
    <w:rsid w:val="49DC53AA"/>
    <w:rsid w:val="4B1C339E"/>
    <w:rsid w:val="4B790AFD"/>
    <w:rsid w:val="50305C54"/>
    <w:rsid w:val="50A43B2D"/>
    <w:rsid w:val="55025CBB"/>
    <w:rsid w:val="557B2451"/>
    <w:rsid w:val="56A02222"/>
    <w:rsid w:val="58060E4B"/>
    <w:rsid w:val="592F323D"/>
    <w:rsid w:val="5F535EBB"/>
    <w:rsid w:val="605D4C85"/>
    <w:rsid w:val="629921A4"/>
    <w:rsid w:val="64EA1F3F"/>
    <w:rsid w:val="65DA462D"/>
    <w:rsid w:val="66F91232"/>
    <w:rsid w:val="67F500C6"/>
    <w:rsid w:val="687F015B"/>
    <w:rsid w:val="6E900CE8"/>
    <w:rsid w:val="6FA00E88"/>
    <w:rsid w:val="728C73A4"/>
    <w:rsid w:val="754C32EF"/>
    <w:rsid w:val="75A64624"/>
    <w:rsid w:val="75CE77AD"/>
    <w:rsid w:val="763F17CA"/>
    <w:rsid w:val="770773A2"/>
    <w:rsid w:val="77341C81"/>
    <w:rsid w:val="783C50DD"/>
    <w:rsid w:val="784A7FBA"/>
    <w:rsid w:val="799139C7"/>
    <w:rsid w:val="79F506BB"/>
    <w:rsid w:val="7A631E64"/>
    <w:rsid w:val="7BFA24EC"/>
    <w:rsid w:val="7CD42C27"/>
    <w:rsid w:val="7D9E2B05"/>
    <w:rsid w:val="7E3B745A"/>
    <w:rsid w:val="7F0A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标准"/>
    <w:basedOn w:val="1"/>
    <w:qFormat/>
    <w:uiPriority w:val="0"/>
    <w:pPr>
      <w:autoSpaceDE w:val="0"/>
      <w:autoSpaceDN w:val="0"/>
      <w:adjustRightInd w:val="0"/>
      <w:ind w:firstLine="200" w:firstLineChars="200"/>
    </w:pPr>
    <w:rPr>
      <w:rFonts w:eastAsia="宋体"/>
      <w:kern w:val="0"/>
      <w:szCs w:val="21"/>
    </w:rPr>
  </w:style>
  <w:style w:type="paragraph" w:customStyle="1" w:styleId="11">
    <w:name w:val="正式文本"/>
    <w:basedOn w:val="1"/>
    <w:qFormat/>
    <w:uiPriority w:val="0"/>
    <w:pPr>
      <w:spacing w:line="500" w:lineRule="exact"/>
      <w:ind w:firstLine="200" w:firstLineChars="200"/>
    </w:pPr>
    <w:rPr>
      <w:rFonts w:ascii="Arial Narrow" w:hAnsi="Arial Narrow" w:eastAsia="汉鼎简书宋"/>
      <w:sz w:val="24"/>
    </w:rPr>
  </w:style>
  <w:style w:type="paragraph" w:customStyle="1" w:styleId="12">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13">
    <w:name w:val="YS3-条"/>
    <w:basedOn w:val="1"/>
    <w:qFormat/>
    <w:uiPriority w:val="0"/>
    <w:pPr>
      <w:numPr>
        <w:ilvl w:val="2"/>
        <w:numId w:val="1"/>
      </w:numPr>
      <w:spacing w:line="520" w:lineRule="exact"/>
      <w:jc w:val="left"/>
    </w:pPr>
    <w:rPr>
      <w:rFonts w:ascii="Arial" w:hAnsi="Arial" w:eastAsia="仿宋_GB2312"/>
      <w:sz w:val="28"/>
    </w:rPr>
  </w:style>
  <w:style w:type="paragraph" w:styleId="14">
    <w:name w:val="List Paragraph"/>
    <w:basedOn w:val="1"/>
    <w:qFormat/>
    <w:uiPriority w:val="1"/>
    <w:pPr>
      <w:ind w:left="108" w:hanging="241"/>
    </w:pPr>
    <w:rPr>
      <w:rFonts w:ascii="宋体" w:hAnsi="宋体" w:eastAsia="宋体" w:cs="宋体"/>
      <w:lang w:val="zh-CN" w:eastAsia="zh-CN" w:bidi="zh-CN"/>
    </w:rPr>
  </w:style>
  <w:style w:type="character" w:customStyle="1" w:styleId="15">
    <w:name w:val="font31"/>
    <w:basedOn w:val="9"/>
    <w:qFormat/>
    <w:uiPriority w:val="0"/>
    <w:rPr>
      <w:rFonts w:hint="default" w:ascii="Times New Roman" w:hAnsi="Times New Roman" w:cs="Times New Roman"/>
      <w:b/>
      <w:bCs/>
      <w:color w:val="000000"/>
      <w:sz w:val="36"/>
      <w:szCs w:val="36"/>
      <w:u w:val="none"/>
    </w:rPr>
  </w:style>
  <w:style w:type="character" w:customStyle="1" w:styleId="16">
    <w:name w:val="font51"/>
    <w:basedOn w:val="9"/>
    <w:qFormat/>
    <w:uiPriority w:val="0"/>
    <w:rPr>
      <w:rFonts w:hint="eastAsia" w:ascii="宋体" w:hAnsi="宋体" w:eastAsia="宋体" w:cs="宋体"/>
      <w:b/>
      <w:bCs/>
      <w:color w:val="000000"/>
      <w:sz w:val="36"/>
      <w:szCs w:val="36"/>
      <w:u w:val="none"/>
    </w:rPr>
  </w:style>
  <w:style w:type="character" w:customStyle="1" w:styleId="17">
    <w:name w:val="font61"/>
    <w:basedOn w:val="9"/>
    <w:qFormat/>
    <w:uiPriority w:val="0"/>
    <w:rPr>
      <w:rFonts w:hint="eastAsia" w:ascii="宋体" w:hAnsi="宋体" w:eastAsia="宋体" w:cs="宋体"/>
      <w:b/>
      <w:bCs/>
      <w:color w:val="000000"/>
      <w:sz w:val="22"/>
      <w:szCs w:val="22"/>
      <w:u w:val="none"/>
    </w:rPr>
  </w:style>
  <w:style w:type="character" w:customStyle="1" w:styleId="18">
    <w:name w:val="font01"/>
    <w:basedOn w:val="9"/>
    <w:qFormat/>
    <w:uiPriority w:val="0"/>
    <w:rPr>
      <w:rFonts w:hint="default" w:ascii="Times New Roman" w:hAnsi="Times New Roman" w:cs="Times New Roman"/>
      <w:color w:val="000000"/>
      <w:sz w:val="20"/>
      <w:szCs w:val="20"/>
      <w:u w:val="none"/>
    </w:rPr>
  </w:style>
  <w:style w:type="character" w:customStyle="1" w:styleId="19">
    <w:name w:val="font8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2177</Words>
  <Characters>2292</Characters>
  <Lines>0</Lines>
  <Paragraphs>0</Paragraphs>
  <TotalTime>2</TotalTime>
  <ScaleCrop>false</ScaleCrop>
  <LinksUpToDate>false</LinksUpToDate>
  <CharactersWithSpaces>2419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2022-11-04T11:50:00Z</dcterms:created>
  <dc:creator>未遂，</dc:creator>
  <cp:lastModifiedBy>、</cp:lastModifiedBy>
  <cp:lastPrinted>2023-06-08T06:47:00Z</cp:lastPrinted>
  <dcterms:modified xsi:type="dcterms:W3CDTF">2023-06-08T10:39:25Z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A149E94D9A4545AD90C3260B8F668C11_13</vt:lpwstr>
  </property>
</Properties>
</file>