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集团公司2021年9月份安全工作例会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纪要</w:t>
      </w:r>
    </w:p>
    <w:bookmarkEnd w:id="0"/>
    <w:p>
      <w:pPr>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9月1日下午，集团公司在机关附三楼会议室召开了9月份安全工作例会，集团公司党委委员、副总经理吴玉华、公司机关安全生产部室、各单位安全负责人、安全监察部门负责人参加了会议，集团公司副总工程师林青主持会议，现纪要如下：</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一、会议集中组织观看8月份三个典型反“三违”视频案例。</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二、会议总结分析了8月份安全工作情况，通报了八月份安全工作例会工作任务落实情况。</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会议认为，8月份经过各单位共同努力，集团公司安全形势保持总体稳定，发生轻伤事故3起，分别是任楼煤矿1起、祁东煤矿1起、恒昇煤业1起。8月份重点推进完成了新《安全生产法》学习贯彻、加大了视频反“三违”工作力度，落实应对高温和极端天气的应急准备，完善突敏信息管控机制，强化视频举牌确认制度，完成注册安全工程师报名等工作，安全形势及安全工作任务推进有力。</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二、会议听取了各单位8月份安全工作存在的突出问题及9月份重点工作举措</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仿宋" w:eastAsia="仿宋_GB2312" w:cs="Times New Roman"/>
          <w:sz w:val="32"/>
          <w:szCs w:val="32"/>
        </w:rPr>
        <w:t>各单位分管安全工作负责人汇报了本单位8月份</w:t>
      </w:r>
      <w:r>
        <w:rPr>
          <w:rFonts w:hint="eastAsia" w:ascii="仿宋_GB2312" w:hAnsi="仿宋" w:eastAsia="仿宋_GB2312"/>
          <w:sz w:val="32"/>
          <w:szCs w:val="32"/>
        </w:rPr>
        <w:t>安全生产管理过程中存在的突出问题和下一步计划采取的工作举措，汇报了9月份安全工作重点。</w:t>
      </w:r>
      <w:r>
        <w:rPr>
          <w:rFonts w:hint="eastAsia" w:ascii="仿宋_GB2312" w:hAnsi="黑体" w:eastAsia="仿宋_GB2312" w:cs="Times New Roman"/>
          <w:sz w:val="32"/>
          <w:szCs w:val="32"/>
        </w:rPr>
        <w:t>8月份发生2次瓦斯越警，出现风筒管理不到位造成瓦斯异常变化，发生了朱集西煤矿13501歪架等情况，通过视频检查发现，现场违章作业、不安全行为时有发生，各单位要高度重视，引以为戒。</w:t>
      </w:r>
      <w:r>
        <w:rPr>
          <w:rFonts w:hint="eastAsia" w:ascii="仿宋_GB2312" w:hAnsi="仿宋" w:eastAsia="仿宋_GB2312" w:cs="Times New Roman"/>
          <w:sz w:val="32"/>
          <w:szCs w:val="32"/>
        </w:rPr>
        <w:t>机关安全生产部室对各单位安全生产问题、重点进行点评并提出要求：</w:t>
      </w:r>
      <w:r>
        <w:rPr>
          <w:rFonts w:hint="eastAsia" w:ascii="仿宋_GB2312" w:hAnsi="仿宋" w:eastAsia="仿宋_GB2312" w:cs="Times New Roman"/>
          <w:b/>
          <w:sz w:val="32"/>
          <w:szCs w:val="32"/>
        </w:rPr>
        <w:t>一是强化重大灾害治理。</w:t>
      </w:r>
      <w:r>
        <w:rPr>
          <w:rFonts w:hint="eastAsia" w:ascii="仿宋_GB2312" w:hAnsi="仿宋" w:eastAsia="仿宋_GB2312" w:cs="Times New Roman"/>
          <w:sz w:val="32"/>
          <w:szCs w:val="32"/>
        </w:rPr>
        <w:t>严格落实任楼煤矿8255风巷揭82煤等4处揭煤措施的落实，强化祁东煤矿8237工作面过断层的超前治理，严格921机风巷防突措施的落实，加强II7324工作面过断层、朱集西煤矿13501工作面歪架防灭火措施的落实。</w:t>
      </w:r>
      <w:r>
        <w:rPr>
          <w:rFonts w:hint="eastAsia" w:ascii="仿宋_GB2312" w:hAnsi="仿宋" w:eastAsia="仿宋_GB2312" w:cs="Times New Roman"/>
          <w:b/>
          <w:sz w:val="32"/>
          <w:szCs w:val="32"/>
        </w:rPr>
        <w:t>二是紧盯安全生产重点。</w:t>
      </w:r>
      <w:r>
        <w:rPr>
          <w:rFonts w:hint="eastAsia" w:ascii="仿宋_GB2312" w:hAnsi="仿宋" w:eastAsia="仿宋_GB2312" w:cs="Times New Roman"/>
          <w:sz w:val="32"/>
          <w:szCs w:val="32"/>
        </w:rPr>
        <w:t>超前谋划钱营孜煤矿、祁东煤矿、恒晋煤业停产检修，严格外委施工安全管理。加大五沟煤矿1026大倾角抽架现场管理，落实恒昇煤业新风井运行通风系统调整。严格落实宁夏润夏停产大修有限空间管理及工作票制度的执行。</w:t>
      </w:r>
      <w:r>
        <w:rPr>
          <w:rFonts w:hint="eastAsia" w:ascii="仿宋_GB2312" w:hAnsi="仿宋" w:eastAsia="仿宋_GB2312" w:cs="Times New Roman"/>
          <w:b/>
          <w:sz w:val="32"/>
          <w:szCs w:val="32"/>
        </w:rPr>
        <w:t>三是严格安全技术措施的编制和执行。</w:t>
      </w:r>
      <w:r>
        <w:rPr>
          <w:rFonts w:hint="eastAsia" w:ascii="仿宋_GB2312" w:hAnsi="仿宋" w:eastAsia="仿宋_GB2312" w:cs="Times New Roman"/>
          <w:sz w:val="32"/>
          <w:szCs w:val="32"/>
        </w:rPr>
        <w:t>严格按照“一工程一措施”的原则，围绕现场实际情况编写措施，强化安全技术措施的审批和落实，严禁措施和现场“两张皮”情况出现。细化综掘机等设备验收资料管理，杜绝出现重大事故隐患。</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三、会议对9月份安全重点工作进行安排部署</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一是要提高安全工作政治站位。认真贯彻落实8月25日全国矿山安全工作视频会精神，集团公司党代会期间，各级安全管理人员要下沉基层和现场，严格管理，全力以赴确保集团公司党代会及后四个月安全生产形势的稳定。</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二是要强化重大风险管控。结合突敏信息管理，做实重大风险管控措施落实的监督检查，突出做好朱集西煤矿13501歪架及防灭火管理，五沟煤矿1026工作面大倾角抽架现场安全，祁东煤矿8237工作面、921机风巷瓦斯管理，招贤矿业1305顶板离层水及麻地梁507工作面过风氧化带顶板管理等重点工作。</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三是强化事故警示教育。继续做好班前案例警示教育，发挥视频反“三违”警示教育作用，用身边事教育身边人。对吸取事故教训不深刻，发生的同类型事故按典型性事故进行处理，严防“黑天鹅”事件发生。</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四是要加强作风建设，区队领导干部要参加班前会，安排部署相关工作，强化班组建设，严格班队长现场管理安全责任落实，各单位要纳入干部作风督查内容。各单位分管安全负责人要加强重点头面、重点区域、重点人员的监督检查，对未履行安全职责的严肃处理。</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五是组织开展下半年安全生产大排查工作。各单位认真贯彻落实《皖北煤电集团公司转发国家矿山安监局综合司关于煤矿安全专项整治三年行动及安全生产大排查工作进展情况通报的通知》认真做好自查自改工作，重点围绕上半年4个100%整改落实、对照现状进行全系统、全要素、全覆盖的自查自改，形成自查自改报告，形成高质量的“两个清单”，杜绝同类问题重复发生。</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六是新修订《安全生产法》9月1日正式实施，各单位认真贯彻落实，及时完成安全生产责任制的修订。</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七是推进安全攻坚行动的监督检查。要继续提高瓦斯抽采提效攻坚的安全监管，安全监察局、通防部、各单位安全监察处要加大检查力度。继续按照“五个可视化、五个全覆盖”的要求安装、管理、使用视频监控，省外煤矿要加快视频安装的推进速度，实现省外煤矿与集团公司视频通道联网，提高视频反“三违”精度。化工单位对重点作业地点、重大危险源地点要安装视频监控。</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八是要组织开展专项检查。组织开展综采工作面水处理、单轨吊管理、综采支架支撑力、掘进锚固力、仪器仪表可靠性、外委施工管理专项检查。安全监察局对各单位外委施工检查情况进行核查。</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九是要督促落实国家矿山安全监察局《关于加强煤矿采掘接续监管监察的通知》（矿安〔2021〕115号）要求，开展煤矿采掘接续自查整改，于2021年9月15日报送至属地煤矿安全监管部门和驻地煤矿安全监察机构。安全监管部门要学习借鉴煤监系统现场拉尺监察的经验做法，安全检查用数据、参数进行检查。</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十是各单位要做好注册安全工程师考前准备工作，提高注册安全工程师通过率。</w:t>
      </w:r>
    </w:p>
    <w:p>
      <w:pPr>
        <w:spacing w:line="560" w:lineRule="exact"/>
        <w:ind w:firstLine="3840" w:firstLineChars="1200"/>
        <w:rPr>
          <w:rFonts w:ascii="仿宋_GB2312" w:eastAsia="仿宋_GB2312"/>
          <w:sz w:val="32"/>
          <w:szCs w:val="32"/>
        </w:rPr>
      </w:pPr>
    </w:p>
    <w:p>
      <w:pPr>
        <w:spacing w:line="560" w:lineRule="exact"/>
        <w:ind w:firstLine="3855" w:firstLineChars="1200"/>
        <w:rPr>
          <w:rFonts w:ascii="黑体" w:hAnsi="黑体" w:eastAsia="黑体"/>
          <w:b/>
          <w:sz w:val="32"/>
          <w:szCs w:val="32"/>
        </w:rPr>
      </w:pPr>
      <w:r>
        <w:rPr>
          <w:rFonts w:hint="eastAsia" w:ascii="黑体" w:hAnsi="黑体" w:eastAsia="黑体"/>
          <w:b/>
          <w:sz w:val="32"/>
          <w:szCs w:val="32"/>
        </w:rPr>
        <w:t>参加人员</w:t>
      </w:r>
    </w:p>
    <w:p>
      <w:pPr>
        <w:spacing w:line="560" w:lineRule="exact"/>
        <w:ind w:firstLine="640" w:firstLineChars="200"/>
        <w:rPr>
          <w:rFonts w:ascii="仿宋_GB2312" w:eastAsia="仿宋_GB2312"/>
          <w:sz w:val="32"/>
          <w:szCs w:val="32"/>
        </w:rPr>
      </w:pPr>
      <w:r>
        <w:rPr>
          <w:rFonts w:ascii="仿宋_GB2312" w:eastAsia="仿宋_GB2312"/>
          <w:sz w:val="32"/>
          <w:szCs w:val="32"/>
        </w:rPr>
        <w:t>公司领导</w:t>
      </w:r>
      <w:r>
        <w:rPr>
          <w:rFonts w:hint="eastAsia" w:ascii="仿宋_GB2312" w:eastAsia="仿宋_GB2312"/>
          <w:sz w:val="32"/>
          <w:szCs w:val="32"/>
        </w:rPr>
        <w:t>：吴玉华、林青</w:t>
      </w:r>
    </w:p>
    <w:p>
      <w:pPr>
        <w:spacing w:line="560" w:lineRule="exact"/>
        <w:ind w:firstLine="640" w:firstLineChars="200"/>
        <w:rPr>
          <w:rFonts w:ascii="仿宋_GB2312" w:eastAsia="仿宋_GB2312"/>
          <w:sz w:val="32"/>
          <w:szCs w:val="32"/>
        </w:rPr>
      </w:pPr>
      <w:r>
        <w:rPr>
          <w:rFonts w:ascii="仿宋_GB2312" w:eastAsia="仿宋_GB2312"/>
          <w:sz w:val="32"/>
          <w:szCs w:val="32"/>
        </w:rPr>
        <w:t>单位部门人员</w:t>
      </w:r>
      <w:r>
        <w:rPr>
          <w:rFonts w:hint="eastAsia" w:ascii="仿宋_GB2312" w:eastAsia="仿宋_GB2312"/>
          <w:sz w:val="32"/>
          <w:szCs w:val="32"/>
        </w:rPr>
        <w:t>：</w:t>
      </w:r>
      <w:r>
        <w:rPr>
          <w:rFonts w:ascii="仿宋_GB2312" w:eastAsia="仿宋_GB2312"/>
          <w:sz w:val="32"/>
          <w:szCs w:val="32"/>
        </w:rPr>
        <w:t>许建华</w:t>
      </w:r>
      <w:r>
        <w:rPr>
          <w:rFonts w:hint="eastAsia" w:ascii="仿宋_GB2312" w:eastAsia="仿宋_GB2312"/>
          <w:sz w:val="32"/>
          <w:szCs w:val="32"/>
        </w:rPr>
        <w:t>、</w:t>
      </w:r>
      <w:r>
        <w:rPr>
          <w:rFonts w:ascii="仿宋_GB2312" w:eastAsia="仿宋_GB2312"/>
          <w:sz w:val="32"/>
          <w:szCs w:val="32"/>
        </w:rPr>
        <w:t>刘迎春</w:t>
      </w:r>
      <w:r>
        <w:rPr>
          <w:rFonts w:hint="eastAsia" w:ascii="仿宋_GB2312" w:eastAsia="仿宋_GB2312"/>
          <w:sz w:val="32"/>
          <w:szCs w:val="32"/>
        </w:rPr>
        <w:t>、</w:t>
      </w:r>
      <w:r>
        <w:rPr>
          <w:rFonts w:ascii="仿宋_GB2312" w:eastAsia="仿宋_GB2312"/>
          <w:sz w:val="32"/>
          <w:szCs w:val="32"/>
        </w:rPr>
        <w:t>顾晓闯</w:t>
      </w:r>
      <w:r>
        <w:rPr>
          <w:rFonts w:hint="eastAsia" w:ascii="仿宋_GB2312" w:eastAsia="仿宋_GB2312"/>
          <w:sz w:val="32"/>
          <w:szCs w:val="32"/>
        </w:rPr>
        <w:t>、</w:t>
      </w:r>
      <w:r>
        <w:rPr>
          <w:rFonts w:ascii="仿宋_GB2312" w:eastAsia="仿宋_GB2312"/>
          <w:sz w:val="32"/>
          <w:szCs w:val="32"/>
        </w:rPr>
        <w:t>张号召</w:t>
      </w:r>
      <w:r>
        <w:rPr>
          <w:rFonts w:hint="eastAsia" w:ascii="仿宋_GB2312" w:eastAsia="仿宋_GB2312"/>
          <w:sz w:val="32"/>
          <w:szCs w:val="32"/>
        </w:rPr>
        <w:t>、</w:t>
      </w:r>
      <w:r>
        <w:rPr>
          <w:rFonts w:ascii="仿宋_GB2312" w:eastAsia="仿宋_GB2312"/>
          <w:sz w:val="32"/>
          <w:szCs w:val="32"/>
        </w:rPr>
        <w:t>张运海</w:t>
      </w:r>
      <w:r>
        <w:rPr>
          <w:rFonts w:hint="eastAsia" w:ascii="仿宋_GB2312" w:eastAsia="仿宋_GB2312"/>
          <w:sz w:val="32"/>
          <w:szCs w:val="32"/>
        </w:rPr>
        <w:t>、</w:t>
      </w:r>
      <w:r>
        <w:rPr>
          <w:rFonts w:ascii="仿宋_GB2312" w:eastAsia="仿宋_GB2312"/>
          <w:sz w:val="32"/>
          <w:szCs w:val="32"/>
        </w:rPr>
        <w:t>郭田仁</w:t>
      </w:r>
      <w:r>
        <w:rPr>
          <w:rFonts w:hint="eastAsia" w:ascii="仿宋_GB2312" w:eastAsia="仿宋_GB2312"/>
          <w:sz w:val="32"/>
          <w:szCs w:val="32"/>
        </w:rPr>
        <w:t>、</w:t>
      </w:r>
      <w:r>
        <w:rPr>
          <w:rFonts w:ascii="仿宋_GB2312" w:eastAsia="仿宋_GB2312"/>
          <w:sz w:val="32"/>
          <w:szCs w:val="32"/>
        </w:rPr>
        <w:t>陈华育</w:t>
      </w:r>
      <w:r>
        <w:rPr>
          <w:rFonts w:hint="eastAsia" w:ascii="仿宋_GB2312" w:eastAsia="仿宋_GB2312"/>
          <w:sz w:val="32"/>
          <w:szCs w:val="32"/>
        </w:rPr>
        <w:t>、</w:t>
      </w:r>
      <w:r>
        <w:rPr>
          <w:rFonts w:ascii="仿宋_GB2312" w:eastAsia="仿宋_GB2312"/>
          <w:sz w:val="32"/>
          <w:szCs w:val="32"/>
        </w:rPr>
        <w:t>陈伟</w:t>
      </w:r>
      <w:r>
        <w:rPr>
          <w:rFonts w:hint="eastAsia" w:ascii="仿宋_GB2312" w:eastAsia="仿宋_GB2312"/>
          <w:sz w:val="32"/>
          <w:szCs w:val="32"/>
        </w:rPr>
        <w:t>、刘允建、李玉明、杨杰、张广永、华海洋、肖国刚、李胜、曹荣升、王广建、周增强、昌修林、</w:t>
      </w:r>
      <w:r>
        <w:rPr>
          <w:rFonts w:ascii="仿宋_GB2312" w:eastAsia="仿宋_GB2312"/>
          <w:sz w:val="32"/>
          <w:szCs w:val="32"/>
        </w:rPr>
        <w:t>胡云强</w:t>
      </w:r>
      <w:r>
        <w:rPr>
          <w:rFonts w:hint="eastAsia" w:ascii="仿宋_GB2312" w:eastAsia="仿宋_GB2312"/>
          <w:sz w:val="32"/>
          <w:szCs w:val="32"/>
        </w:rPr>
        <w:t>、</w:t>
      </w:r>
      <w:r>
        <w:rPr>
          <w:rFonts w:ascii="仿宋_GB2312" w:eastAsia="仿宋_GB2312"/>
          <w:sz w:val="32"/>
          <w:szCs w:val="32"/>
        </w:rPr>
        <w:t>汪玉泉</w:t>
      </w:r>
      <w:r>
        <w:rPr>
          <w:rFonts w:hint="eastAsia" w:ascii="仿宋_GB2312" w:eastAsia="仿宋_GB2312"/>
          <w:sz w:val="32"/>
          <w:szCs w:val="32"/>
        </w:rPr>
        <w:t>、李晓晖、张健堂</w:t>
      </w:r>
    </w:p>
    <w:p>
      <w:pPr>
        <w:spacing w:line="560" w:lineRule="exact"/>
        <w:ind w:firstLine="640" w:firstLineChars="200"/>
        <w:textAlignment w:val="baseline"/>
        <w:rPr>
          <w:rFonts w:ascii="仿宋_GB2312" w:hAnsi="黑体"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63"/>
    <w:rsid w:val="000F56AC"/>
    <w:rsid w:val="00120EAF"/>
    <w:rsid w:val="002E5163"/>
    <w:rsid w:val="00371AB6"/>
    <w:rsid w:val="003B3F11"/>
    <w:rsid w:val="003D0A04"/>
    <w:rsid w:val="004C2F0B"/>
    <w:rsid w:val="00560386"/>
    <w:rsid w:val="0062452C"/>
    <w:rsid w:val="00630427"/>
    <w:rsid w:val="00686C40"/>
    <w:rsid w:val="006E75A0"/>
    <w:rsid w:val="0071274F"/>
    <w:rsid w:val="007D17F0"/>
    <w:rsid w:val="009615D6"/>
    <w:rsid w:val="00B001B0"/>
    <w:rsid w:val="00B75867"/>
    <w:rsid w:val="00BD2390"/>
    <w:rsid w:val="00BE53C2"/>
    <w:rsid w:val="00BF7757"/>
    <w:rsid w:val="00C955DA"/>
    <w:rsid w:val="00CC40C5"/>
    <w:rsid w:val="00E0694D"/>
    <w:rsid w:val="00F42DCA"/>
    <w:rsid w:val="5514120F"/>
    <w:rsid w:val="60CB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4</Pages>
  <Words>324</Words>
  <Characters>1848</Characters>
  <Lines>15</Lines>
  <Paragraphs>4</Paragraphs>
  <TotalTime>183</TotalTime>
  <ScaleCrop>false</ScaleCrop>
  <LinksUpToDate>false</LinksUpToDate>
  <CharactersWithSpaces>2168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2021-09-01T09:17:00Z</dcterms:created>
  <dc:creator>赵宏飞</dc:creator>
  <cp:lastModifiedBy>煤夫子</cp:lastModifiedBy>
  <cp:lastPrinted>2021-09-03T07:18:00Z</cp:lastPrinted>
  <dcterms:modified xsi:type="dcterms:W3CDTF">2021-09-13T01:15:55Z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D994009BFCC64318956ABB255C25E70E</vt:lpwstr>
  </property>
</Properties>
</file>