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bCs/>
          <w:sz w:val="40"/>
          <w:szCs w:val="40"/>
        </w:rPr>
      </w:pPr>
      <w:r>
        <w:rPr>
          <w:rFonts w:hint="eastAsia" w:ascii="Calibri" w:hAnsi="Calibri" w:eastAsia="宋体" w:cs="Times New Roman"/>
          <w:b/>
          <w:bCs/>
          <w:sz w:val="40"/>
          <w:szCs w:val="40"/>
        </w:rPr>
        <w:t>招贤矿业有限公司事故案例警示教育检查情况</w:t>
      </w:r>
    </w:p>
    <w:p>
      <w:pPr>
        <w:jc w:val="left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时间：202</w:t>
      </w:r>
      <w:r>
        <w:rPr>
          <w:rFonts w:hint="eastAsia" w:ascii="Calibri" w:hAnsi="Calibri" w:eastAsia="宋体" w:cs="Times New Roman"/>
          <w:b/>
          <w:bCs/>
          <w:sz w:val="32"/>
          <w:szCs w:val="32"/>
          <w:lang w:val="en-US" w:eastAsia="zh-CN"/>
        </w:rPr>
        <w:t>1年7月31</w:t>
      </w: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日  </w:t>
      </w:r>
    </w:p>
    <w:tbl>
      <w:tblPr>
        <w:tblStyle w:val="6"/>
        <w:tblpPr w:leftFromText="180" w:rightFromText="180" w:vertAnchor="text" w:horzAnchor="page" w:tblpX="1954" w:tblpY="1526"/>
        <w:tblOverlap w:val="never"/>
        <w:tblW w:w="14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372"/>
        <w:gridCol w:w="1253"/>
        <w:gridCol w:w="7531"/>
        <w:gridCol w:w="1573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单 位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主持人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学习案例内容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  <w:t>参加人数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ind w:firstLine="472" w:firstLineChars="147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采煤部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李  晨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1、顶板事故案例分析—顶板掉矸子砸人事故；2、陕西省安委会办公室关于榆林市郝家梁煤矿透水溃沙事故的通报。3、《新安全生产法》十大亮点解读。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ind w:firstLine="472" w:firstLineChars="147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掘进部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何  磊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1、顶板掉矸砸人事故；</w:t>
            </w:r>
          </w:p>
          <w:p>
            <w:pPr>
              <w:spacing w:before="120" w:line="480" w:lineRule="auto"/>
              <w:jc w:val="both"/>
              <w:rPr>
                <w:rFonts w:hint="default" w:eastAsiaTheme="minor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2、麟游县关于印发学习安徽宿州、淮南矿井水害、瓦斯防治先进经验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   </w:t>
            </w:r>
          </w:p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3、《新安全生产法》部分内容。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208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 xml:space="preserve"> 3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修护部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梁坤柱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1.机电事故案例分析：处理刮板运输机断链伤人事故</w:t>
            </w:r>
          </w:p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2.北翼辅助运输巷斜巷下口张刚伤手事故追查报告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 xml:space="preserve"> 4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通防部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时  光    张智慧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left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顶板事故案例分析—顶板掉矸子砸人事故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32"/>
                <w:szCs w:val="32"/>
              </w:rPr>
              <w:t xml:space="preserve"> 5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机电部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蒋再山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</w:rPr>
              <w:t>淮北矿业石台煤矿1.18运输事故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jc w:val="center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运输部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spacing w:before="120" w:line="48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张焕杰</w:t>
            </w:r>
          </w:p>
          <w:p>
            <w:pPr>
              <w:spacing w:before="120" w:line="480" w:lineRule="auto"/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尹成强</w:t>
            </w:r>
          </w:p>
          <w:p>
            <w:pPr>
              <w:spacing w:before="120" w:line="480" w:lineRule="auto"/>
              <w:jc w:val="both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1.顶板掉矸石砸人事故</w:t>
            </w:r>
          </w:p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2.学习新《安全生产法》《刑法》修正案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ind w:firstLine="420" w:firstLineChars="15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ind w:firstLine="399" w:firstLineChars="142"/>
              <w:rPr>
                <w:rFonts w:ascii="Calibri" w:hAnsi="Calibri" w:eastAsia="宋体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ascii="宋体" w:hAnsi="宋体" w:eastAsia="宋体" w:cs="宋体"/>
                <w:color w:val="000000"/>
                <w:sz w:val="32"/>
                <w:szCs w:val="32"/>
              </w:rPr>
              <w:t>综掘部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孟宁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4"/>
                <w:szCs w:val="32"/>
                <w:shd w:val="clear" w:color="auto" w:fill="auto"/>
              </w:rPr>
            </w:pPr>
            <w:r>
              <w:rPr>
                <w:rFonts w:hint="eastAsia"/>
                <w:sz w:val="24"/>
                <w:szCs w:val="32"/>
                <w:shd w:val="clear" w:color="auto" w:fill="auto"/>
              </w:rPr>
              <w:t>1、顶板掉矸砸人事故；</w:t>
            </w:r>
          </w:p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shd w:val="clear" w:color="auto" w:fill="auto"/>
              </w:rPr>
            </w:pPr>
            <w:r>
              <w:rPr>
                <w:rFonts w:hint="eastAsia"/>
                <w:sz w:val="24"/>
                <w:szCs w:val="32"/>
                <w:shd w:val="clear" w:color="auto" w:fill="auto"/>
              </w:rPr>
              <w:t>2、麟游县关于印发学习安徽宿州、淮南矿井水害、瓦斯防治先进经验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ind w:firstLine="280" w:firstLineChars="100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97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exact"/>
        </w:trPr>
        <w:tc>
          <w:tcPr>
            <w:tcW w:w="905" w:type="dxa"/>
            <w:vAlign w:val="center"/>
          </w:tcPr>
          <w:p>
            <w:pPr>
              <w:spacing w:before="120" w:line="480" w:lineRule="auto"/>
              <w:ind w:firstLine="399" w:firstLineChars="142"/>
              <w:jc w:val="center"/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372" w:type="dxa"/>
            <w:vAlign w:val="center"/>
          </w:tcPr>
          <w:p>
            <w:pPr>
              <w:spacing w:before="120" w:line="480" w:lineRule="auto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选煤厂</w:t>
            </w:r>
          </w:p>
        </w:tc>
        <w:tc>
          <w:tcPr>
            <w:tcW w:w="1253" w:type="dxa"/>
            <w:vAlign w:val="center"/>
          </w:tcPr>
          <w:p>
            <w:pPr>
              <w:spacing w:before="120" w:line="480" w:lineRule="auto"/>
              <w:jc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孟量地郝世勇</w:t>
            </w:r>
          </w:p>
        </w:tc>
        <w:tc>
          <w:tcPr>
            <w:tcW w:w="7531" w:type="dxa"/>
            <w:vAlign w:val="center"/>
          </w:tcPr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shd w:val="clear" w:color="auto" w:fill="auto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</w:rPr>
              <w:t>煤矿安全生产警示教育片</w:t>
            </w:r>
          </w:p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shd w:val="clear" w:color="auto" w:fill="auto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</w:rPr>
              <w:t>深刻吸取事故教训</w:t>
            </w:r>
          </w:p>
          <w:p>
            <w:pPr>
              <w:spacing w:before="120" w:line="480" w:lineRule="auto"/>
              <w:jc w:val="both"/>
              <w:rPr>
                <w:rFonts w:hint="eastAsia"/>
                <w:sz w:val="28"/>
                <w:szCs w:val="36"/>
                <w:shd w:val="clear" w:color="auto" w:fill="auto"/>
              </w:rPr>
            </w:pPr>
            <w:r>
              <w:rPr>
                <w:rFonts w:hint="eastAsia"/>
                <w:sz w:val="28"/>
                <w:szCs w:val="36"/>
                <w:shd w:val="clear" w:color="auto" w:fill="auto"/>
              </w:rPr>
              <w:t>保护矿工生命安全</w:t>
            </w:r>
          </w:p>
        </w:tc>
        <w:tc>
          <w:tcPr>
            <w:tcW w:w="1573" w:type="dxa"/>
            <w:vAlign w:val="center"/>
          </w:tcPr>
          <w:p>
            <w:pPr>
              <w:spacing w:before="120" w:line="480" w:lineRule="auto"/>
              <w:ind w:firstLine="280" w:firstLineChars="10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860" w:type="dxa"/>
            <w:vAlign w:val="center"/>
          </w:tcPr>
          <w:p>
            <w:pPr>
              <w:spacing w:before="120" w:line="480" w:lineRule="auto"/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Calibri" w:hAnsi="Calibri" w:eastAsia="宋体" w:cs="Times New Roman"/>
          <w:b/>
          <w:bCs/>
          <w:sz w:val="32"/>
          <w:szCs w:val="32"/>
        </w:rPr>
        <w:sectPr>
          <w:pgSz w:w="16783" w:h="11850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事故案例警示教育检查存在问题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Calibri" w:hAnsi="Calibri" w:eastAsia="宋体" w:cs="Times New Roman"/>
          <w:sz w:val="28"/>
          <w:szCs w:val="28"/>
        </w:rPr>
        <w:t>月份第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五</w:t>
      </w:r>
      <w:r>
        <w:rPr>
          <w:rFonts w:hint="eastAsia" w:ascii="Calibri" w:hAnsi="Calibri" w:eastAsia="宋体" w:cs="Times New Roman"/>
          <w:sz w:val="28"/>
          <w:szCs w:val="28"/>
        </w:rPr>
        <w:t>周各单位能按照招贤矿业事故案例警示教育月度计划进行学习，比上周案例学习质量有所提高，且主动在计划外自行收集案例进行学习。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掘进部有两人对上周事故案例</w:t>
      </w:r>
      <w:r>
        <w:rPr>
          <w:rFonts w:hint="eastAsia" w:ascii="Calibri" w:hAnsi="Calibri" w:eastAsia="宋体" w:cs="Times New Roman"/>
          <w:sz w:val="28"/>
          <w:szCs w:val="28"/>
        </w:rPr>
        <w:t>不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熟悉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运输部有1人对上周事故案例</w:t>
      </w:r>
      <w:r>
        <w:rPr>
          <w:rFonts w:hint="eastAsia" w:ascii="Calibri" w:hAnsi="Calibri" w:eastAsia="宋体" w:cs="Times New Roman"/>
          <w:sz w:val="28"/>
          <w:szCs w:val="28"/>
        </w:rPr>
        <w:t>不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熟悉、有1</w:t>
      </w:r>
      <w:r>
        <w:rPr>
          <w:rFonts w:hint="eastAsia" w:ascii="Calibri" w:hAnsi="Calibri" w:eastAsia="宋体" w:cs="Times New Roman"/>
          <w:sz w:val="28"/>
          <w:szCs w:val="28"/>
        </w:rPr>
        <w:t>人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对员工应知应会</w:t>
      </w:r>
      <w:r>
        <w:rPr>
          <w:rFonts w:hint="eastAsia" w:ascii="Calibri" w:hAnsi="Calibri" w:eastAsia="宋体" w:cs="Times New Roman"/>
          <w:sz w:val="28"/>
          <w:szCs w:val="28"/>
        </w:rPr>
        <w:t>不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熟悉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选煤厂上周事故案例没有贯彻人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采煤部有1</w:t>
      </w:r>
      <w:r>
        <w:rPr>
          <w:rFonts w:hint="eastAsia" w:ascii="Calibri" w:hAnsi="Calibri" w:eastAsia="宋体" w:cs="Times New Roman"/>
          <w:sz w:val="28"/>
          <w:szCs w:val="28"/>
        </w:rPr>
        <w:t>人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对员工应知应会</w:t>
      </w:r>
      <w:r>
        <w:rPr>
          <w:rFonts w:hint="eastAsia" w:ascii="Calibri" w:hAnsi="Calibri" w:eastAsia="宋体" w:cs="Times New Roman"/>
          <w:sz w:val="28"/>
          <w:szCs w:val="28"/>
        </w:rPr>
        <w:t>不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熟悉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综掘部有1</w:t>
      </w:r>
      <w:r>
        <w:rPr>
          <w:rFonts w:hint="eastAsia" w:ascii="Calibri" w:hAnsi="Calibri" w:eastAsia="宋体" w:cs="Times New Roman"/>
          <w:sz w:val="28"/>
          <w:szCs w:val="28"/>
        </w:rPr>
        <w:t>人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对员工应知应会</w:t>
      </w:r>
      <w:r>
        <w:rPr>
          <w:rFonts w:hint="eastAsia" w:ascii="Calibri" w:hAnsi="Calibri" w:eastAsia="宋体" w:cs="Times New Roman"/>
          <w:sz w:val="28"/>
          <w:szCs w:val="28"/>
        </w:rPr>
        <w:t>不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熟悉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numPr>
          <w:ilvl w:val="0"/>
          <w:numId w:val="0"/>
        </w:numPr>
        <w:rPr>
          <w:rFonts w:ascii="Calibri" w:hAnsi="Calibri" w:eastAsia="宋体" w:cs="Times New Roman"/>
          <w:sz w:val="28"/>
          <w:szCs w:val="28"/>
        </w:rPr>
      </w:pPr>
    </w:p>
    <w:p>
      <w:pPr>
        <w:tabs>
          <w:tab w:val="left" w:pos="312"/>
        </w:tabs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</w:p>
    <w:p>
      <w:p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</w:rPr>
        <w:t>要求：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ascii="Calibri" w:hAnsi="Calibri" w:eastAsia="宋体" w:cs="Times New Roman"/>
          <w:sz w:val="28"/>
          <w:szCs w:val="28"/>
        </w:rPr>
        <w:t>各单位加强对本单位事故案例学习，提高个人风险辨识，防范事故发生。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单位贯彻人员及时到班前会抽查，巩固学习内容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安全文化手册</w:t>
      </w:r>
      <w:r>
        <w:rPr>
          <w:rFonts w:hint="eastAsia" w:ascii="Calibri" w:hAnsi="Calibri" w:eastAsia="宋体" w:cs="Times New Roman"/>
          <w:sz w:val="28"/>
          <w:szCs w:val="28"/>
        </w:rPr>
        <w:t>。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各单位加强对事故案列建档归类，并做好点评记录。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5.各单位加强班前会对事故案列的学习。</w:t>
      </w:r>
    </w:p>
    <w:p>
      <w:pPr>
        <w:tabs>
          <w:tab w:val="left" w:pos="312"/>
        </w:tabs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6.各单位要实时传达国家、省、市、县各级监管部门和集团公司通报的事故。</w:t>
      </w:r>
      <w:bookmarkStart w:id="0" w:name="_GoBack"/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26F9BA"/>
    <w:multiLevelType w:val="singleLevel"/>
    <w:tmpl w:val="BE26F9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A686E"/>
    <w:rsid w:val="00003097"/>
    <w:rsid w:val="0000634A"/>
    <w:rsid w:val="000118FA"/>
    <w:rsid w:val="00015416"/>
    <w:rsid w:val="00021FC2"/>
    <w:rsid w:val="00035C95"/>
    <w:rsid w:val="00040554"/>
    <w:rsid w:val="0004590C"/>
    <w:rsid w:val="00046D91"/>
    <w:rsid w:val="000536C3"/>
    <w:rsid w:val="00066F3F"/>
    <w:rsid w:val="000821DD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161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752D5"/>
    <w:rsid w:val="00181D5B"/>
    <w:rsid w:val="001829D3"/>
    <w:rsid w:val="00187B89"/>
    <w:rsid w:val="001909B6"/>
    <w:rsid w:val="001A205E"/>
    <w:rsid w:val="001A581E"/>
    <w:rsid w:val="001A780A"/>
    <w:rsid w:val="001A7BA0"/>
    <w:rsid w:val="001B3113"/>
    <w:rsid w:val="001D18DB"/>
    <w:rsid w:val="001D5A48"/>
    <w:rsid w:val="001E07DB"/>
    <w:rsid w:val="001E23C8"/>
    <w:rsid w:val="001E4E14"/>
    <w:rsid w:val="001F5682"/>
    <w:rsid w:val="00200400"/>
    <w:rsid w:val="00202467"/>
    <w:rsid w:val="00214E9E"/>
    <w:rsid w:val="00233A62"/>
    <w:rsid w:val="00241DCE"/>
    <w:rsid w:val="00246702"/>
    <w:rsid w:val="0024743C"/>
    <w:rsid w:val="0026181C"/>
    <w:rsid w:val="0026211C"/>
    <w:rsid w:val="002634DB"/>
    <w:rsid w:val="00276518"/>
    <w:rsid w:val="002939ED"/>
    <w:rsid w:val="002A7C2B"/>
    <w:rsid w:val="002C2C0D"/>
    <w:rsid w:val="002D5788"/>
    <w:rsid w:val="002F0DEE"/>
    <w:rsid w:val="002F31C3"/>
    <w:rsid w:val="00305883"/>
    <w:rsid w:val="00314026"/>
    <w:rsid w:val="003208A6"/>
    <w:rsid w:val="0033228F"/>
    <w:rsid w:val="003370FC"/>
    <w:rsid w:val="003511A5"/>
    <w:rsid w:val="003517C6"/>
    <w:rsid w:val="003625D8"/>
    <w:rsid w:val="0036375E"/>
    <w:rsid w:val="003702A0"/>
    <w:rsid w:val="00372E1D"/>
    <w:rsid w:val="00393D9A"/>
    <w:rsid w:val="0039663B"/>
    <w:rsid w:val="003A4592"/>
    <w:rsid w:val="003A728A"/>
    <w:rsid w:val="003B157D"/>
    <w:rsid w:val="003B4EFC"/>
    <w:rsid w:val="003B68DE"/>
    <w:rsid w:val="003C2397"/>
    <w:rsid w:val="003C568B"/>
    <w:rsid w:val="003D04CC"/>
    <w:rsid w:val="003D17B3"/>
    <w:rsid w:val="003D2459"/>
    <w:rsid w:val="003D442B"/>
    <w:rsid w:val="003D5AAB"/>
    <w:rsid w:val="003E587C"/>
    <w:rsid w:val="00404E05"/>
    <w:rsid w:val="004159EE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2159"/>
    <w:rsid w:val="004A5F7A"/>
    <w:rsid w:val="004B24F8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21487"/>
    <w:rsid w:val="0053113D"/>
    <w:rsid w:val="005408A1"/>
    <w:rsid w:val="00563014"/>
    <w:rsid w:val="00563340"/>
    <w:rsid w:val="00566D43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A75AC"/>
    <w:rsid w:val="005B3A4E"/>
    <w:rsid w:val="005B499A"/>
    <w:rsid w:val="005C2FBB"/>
    <w:rsid w:val="005C5463"/>
    <w:rsid w:val="005C5C2D"/>
    <w:rsid w:val="005D359F"/>
    <w:rsid w:val="005E12E3"/>
    <w:rsid w:val="005E4D6A"/>
    <w:rsid w:val="00601973"/>
    <w:rsid w:val="0061275D"/>
    <w:rsid w:val="0061626F"/>
    <w:rsid w:val="0062334B"/>
    <w:rsid w:val="00626BEF"/>
    <w:rsid w:val="00627D32"/>
    <w:rsid w:val="00634033"/>
    <w:rsid w:val="0064331B"/>
    <w:rsid w:val="00644961"/>
    <w:rsid w:val="00653BCA"/>
    <w:rsid w:val="00663512"/>
    <w:rsid w:val="0067280D"/>
    <w:rsid w:val="006733DF"/>
    <w:rsid w:val="00677A01"/>
    <w:rsid w:val="006847A5"/>
    <w:rsid w:val="00695851"/>
    <w:rsid w:val="0069654C"/>
    <w:rsid w:val="006B248D"/>
    <w:rsid w:val="006B2F06"/>
    <w:rsid w:val="006B627A"/>
    <w:rsid w:val="006C6FAB"/>
    <w:rsid w:val="006D0A35"/>
    <w:rsid w:val="006D258D"/>
    <w:rsid w:val="006D714E"/>
    <w:rsid w:val="006F4FF5"/>
    <w:rsid w:val="00715908"/>
    <w:rsid w:val="007161C7"/>
    <w:rsid w:val="00725000"/>
    <w:rsid w:val="0072529A"/>
    <w:rsid w:val="007466D2"/>
    <w:rsid w:val="00754449"/>
    <w:rsid w:val="00761646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7E638F"/>
    <w:rsid w:val="007F25F6"/>
    <w:rsid w:val="00804E12"/>
    <w:rsid w:val="00807893"/>
    <w:rsid w:val="0081080E"/>
    <w:rsid w:val="008134CB"/>
    <w:rsid w:val="00813AEF"/>
    <w:rsid w:val="00825F51"/>
    <w:rsid w:val="00846D95"/>
    <w:rsid w:val="00847110"/>
    <w:rsid w:val="00847689"/>
    <w:rsid w:val="008527A0"/>
    <w:rsid w:val="0085392C"/>
    <w:rsid w:val="00876442"/>
    <w:rsid w:val="00882FA0"/>
    <w:rsid w:val="00885862"/>
    <w:rsid w:val="0088599F"/>
    <w:rsid w:val="008866ED"/>
    <w:rsid w:val="00891486"/>
    <w:rsid w:val="00892DEF"/>
    <w:rsid w:val="0089695B"/>
    <w:rsid w:val="008B05B9"/>
    <w:rsid w:val="008D69D3"/>
    <w:rsid w:val="008D7BB7"/>
    <w:rsid w:val="008E4E55"/>
    <w:rsid w:val="009041FD"/>
    <w:rsid w:val="00922B48"/>
    <w:rsid w:val="00923002"/>
    <w:rsid w:val="00926C4F"/>
    <w:rsid w:val="0093118D"/>
    <w:rsid w:val="009425D3"/>
    <w:rsid w:val="00946E96"/>
    <w:rsid w:val="0096585C"/>
    <w:rsid w:val="009663B8"/>
    <w:rsid w:val="00966ABE"/>
    <w:rsid w:val="009753F7"/>
    <w:rsid w:val="00975D42"/>
    <w:rsid w:val="00976365"/>
    <w:rsid w:val="00980316"/>
    <w:rsid w:val="009808FD"/>
    <w:rsid w:val="00981213"/>
    <w:rsid w:val="00992775"/>
    <w:rsid w:val="00992D63"/>
    <w:rsid w:val="00993FC0"/>
    <w:rsid w:val="009A495F"/>
    <w:rsid w:val="009B428A"/>
    <w:rsid w:val="009B6A44"/>
    <w:rsid w:val="009B79B7"/>
    <w:rsid w:val="009C5A24"/>
    <w:rsid w:val="009C7E5C"/>
    <w:rsid w:val="009D4554"/>
    <w:rsid w:val="009D7746"/>
    <w:rsid w:val="009E2B63"/>
    <w:rsid w:val="009E5781"/>
    <w:rsid w:val="00A07620"/>
    <w:rsid w:val="00A14D4C"/>
    <w:rsid w:val="00A166F0"/>
    <w:rsid w:val="00A355D2"/>
    <w:rsid w:val="00A46E24"/>
    <w:rsid w:val="00A50AF9"/>
    <w:rsid w:val="00A53549"/>
    <w:rsid w:val="00A543BA"/>
    <w:rsid w:val="00A56A59"/>
    <w:rsid w:val="00A579D1"/>
    <w:rsid w:val="00A66F7E"/>
    <w:rsid w:val="00A6782D"/>
    <w:rsid w:val="00A771FA"/>
    <w:rsid w:val="00A81627"/>
    <w:rsid w:val="00A9329D"/>
    <w:rsid w:val="00A9332C"/>
    <w:rsid w:val="00A94A51"/>
    <w:rsid w:val="00A95DE7"/>
    <w:rsid w:val="00A9682B"/>
    <w:rsid w:val="00AA35EB"/>
    <w:rsid w:val="00AB12C0"/>
    <w:rsid w:val="00AD5DD7"/>
    <w:rsid w:val="00AD72CC"/>
    <w:rsid w:val="00AE53C7"/>
    <w:rsid w:val="00AF10ED"/>
    <w:rsid w:val="00AF2759"/>
    <w:rsid w:val="00AF4109"/>
    <w:rsid w:val="00AF71DA"/>
    <w:rsid w:val="00B03BF7"/>
    <w:rsid w:val="00B31ADF"/>
    <w:rsid w:val="00B320F0"/>
    <w:rsid w:val="00B429FD"/>
    <w:rsid w:val="00B505BC"/>
    <w:rsid w:val="00B50676"/>
    <w:rsid w:val="00B51B58"/>
    <w:rsid w:val="00B55B87"/>
    <w:rsid w:val="00B65A44"/>
    <w:rsid w:val="00B76904"/>
    <w:rsid w:val="00B8030C"/>
    <w:rsid w:val="00B9071C"/>
    <w:rsid w:val="00B9097B"/>
    <w:rsid w:val="00BA403F"/>
    <w:rsid w:val="00BA67A6"/>
    <w:rsid w:val="00BB15D1"/>
    <w:rsid w:val="00BC21F7"/>
    <w:rsid w:val="00BC46E5"/>
    <w:rsid w:val="00BC77DC"/>
    <w:rsid w:val="00BD2BB1"/>
    <w:rsid w:val="00BD4140"/>
    <w:rsid w:val="00BE4675"/>
    <w:rsid w:val="00BF1DF7"/>
    <w:rsid w:val="00BF26B9"/>
    <w:rsid w:val="00BF5F07"/>
    <w:rsid w:val="00C0735C"/>
    <w:rsid w:val="00C127D4"/>
    <w:rsid w:val="00C17EC1"/>
    <w:rsid w:val="00C216F3"/>
    <w:rsid w:val="00C2533C"/>
    <w:rsid w:val="00C318B2"/>
    <w:rsid w:val="00C32253"/>
    <w:rsid w:val="00C32BA1"/>
    <w:rsid w:val="00C42C29"/>
    <w:rsid w:val="00C52009"/>
    <w:rsid w:val="00C52BC2"/>
    <w:rsid w:val="00C55BD0"/>
    <w:rsid w:val="00C55E5C"/>
    <w:rsid w:val="00C623F9"/>
    <w:rsid w:val="00C632CA"/>
    <w:rsid w:val="00C64D2A"/>
    <w:rsid w:val="00C74BC4"/>
    <w:rsid w:val="00C81C69"/>
    <w:rsid w:val="00C846D8"/>
    <w:rsid w:val="00C86FAB"/>
    <w:rsid w:val="00C87D9F"/>
    <w:rsid w:val="00C97567"/>
    <w:rsid w:val="00CB322A"/>
    <w:rsid w:val="00CC194B"/>
    <w:rsid w:val="00CC1B3C"/>
    <w:rsid w:val="00CC1C37"/>
    <w:rsid w:val="00CD25A3"/>
    <w:rsid w:val="00CE278D"/>
    <w:rsid w:val="00CE50E6"/>
    <w:rsid w:val="00CE7294"/>
    <w:rsid w:val="00CF325D"/>
    <w:rsid w:val="00D0587A"/>
    <w:rsid w:val="00D05CC3"/>
    <w:rsid w:val="00D13403"/>
    <w:rsid w:val="00D15E6E"/>
    <w:rsid w:val="00D22A8D"/>
    <w:rsid w:val="00D27864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5320A"/>
    <w:rsid w:val="00E5783E"/>
    <w:rsid w:val="00E84C28"/>
    <w:rsid w:val="00E87D19"/>
    <w:rsid w:val="00E91CAE"/>
    <w:rsid w:val="00EA7C82"/>
    <w:rsid w:val="00EB1297"/>
    <w:rsid w:val="00EB66AA"/>
    <w:rsid w:val="00EC4944"/>
    <w:rsid w:val="00EC60BD"/>
    <w:rsid w:val="00EC6C29"/>
    <w:rsid w:val="00ED16E5"/>
    <w:rsid w:val="00ED3C64"/>
    <w:rsid w:val="00EE3588"/>
    <w:rsid w:val="00EE6B96"/>
    <w:rsid w:val="00EF1104"/>
    <w:rsid w:val="00EF40A5"/>
    <w:rsid w:val="00EF7D9F"/>
    <w:rsid w:val="00F10C5D"/>
    <w:rsid w:val="00F139B7"/>
    <w:rsid w:val="00F3143F"/>
    <w:rsid w:val="00F511DD"/>
    <w:rsid w:val="00F62543"/>
    <w:rsid w:val="00F75184"/>
    <w:rsid w:val="00F8128A"/>
    <w:rsid w:val="00F836DC"/>
    <w:rsid w:val="00FA6C32"/>
    <w:rsid w:val="00FB359A"/>
    <w:rsid w:val="00FC264C"/>
    <w:rsid w:val="00FC4FA9"/>
    <w:rsid w:val="00FC569D"/>
    <w:rsid w:val="00FE7A3E"/>
    <w:rsid w:val="00FF63F5"/>
    <w:rsid w:val="045F0E3F"/>
    <w:rsid w:val="06964A17"/>
    <w:rsid w:val="078A2612"/>
    <w:rsid w:val="100F16AF"/>
    <w:rsid w:val="105D2B53"/>
    <w:rsid w:val="176849E4"/>
    <w:rsid w:val="19A40501"/>
    <w:rsid w:val="1C77642B"/>
    <w:rsid w:val="210C5F7F"/>
    <w:rsid w:val="29294C45"/>
    <w:rsid w:val="29B15393"/>
    <w:rsid w:val="29F850F4"/>
    <w:rsid w:val="2B5B7753"/>
    <w:rsid w:val="304B3001"/>
    <w:rsid w:val="30E355E3"/>
    <w:rsid w:val="35582293"/>
    <w:rsid w:val="35CC50A6"/>
    <w:rsid w:val="37BB50F1"/>
    <w:rsid w:val="37CE4CD8"/>
    <w:rsid w:val="3826679F"/>
    <w:rsid w:val="3AEF5C6A"/>
    <w:rsid w:val="40AF56B4"/>
    <w:rsid w:val="42AA55E9"/>
    <w:rsid w:val="46F414F1"/>
    <w:rsid w:val="49BA7761"/>
    <w:rsid w:val="49F37EDC"/>
    <w:rsid w:val="4BFA0EC3"/>
    <w:rsid w:val="52570B0E"/>
    <w:rsid w:val="536A686E"/>
    <w:rsid w:val="53AD4D79"/>
    <w:rsid w:val="5A9F00C4"/>
    <w:rsid w:val="5D221689"/>
    <w:rsid w:val="5F52601C"/>
    <w:rsid w:val="5F610C2D"/>
    <w:rsid w:val="62614624"/>
    <w:rsid w:val="627967C2"/>
    <w:rsid w:val="657D2CD9"/>
    <w:rsid w:val="67681DA9"/>
    <w:rsid w:val="68447E14"/>
    <w:rsid w:val="68617177"/>
    <w:rsid w:val="6A512D89"/>
    <w:rsid w:val="6BE97454"/>
    <w:rsid w:val="705F26BC"/>
    <w:rsid w:val="7206146A"/>
    <w:rsid w:val="734E0455"/>
    <w:rsid w:val="76A50B96"/>
    <w:rsid w:val="788F5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135</Words>
  <Characters>770</Characters>
  <Lines>6</Lines>
  <Paragraphs>1</Paragraphs>
  <TotalTime>84</TotalTime>
  <ScaleCrop>false</ScaleCrop>
  <LinksUpToDate>false</LinksUpToDate>
  <CharactersWithSpaces>904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2020-08-15T09:49:00Z</dcterms:created>
  <dc:creator>蓝色冲击波</dc:creator>
  <cp:lastModifiedBy>煤夫子</cp:lastModifiedBy>
  <cp:lastPrinted>2020-11-21T07:27:00Z</cp:lastPrinted>
  <dcterms:modified xsi:type="dcterms:W3CDTF">2021-08-02T00:41:11Z</dcterms:modified>
  <cp:revision>245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98634799741A4D22A84002F407615CC8</vt:lpwstr>
  </property>
</Properties>
</file>