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招贤矿业有限公司事故案例警示教育检查情况</w:t>
      </w:r>
    </w:p>
    <w:p>
      <w:pPr>
        <w:jc w:val="left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时间：202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1年7月3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 xml:space="preserve">日  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76"/>
        <w:gridCol w:w="765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654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843" w:type="dxa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54" w:firstLineChars="147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李晨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54" w:firstLineChars="147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梁坤柱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山西大同煤矿集团有限责任公司姜家湾煤矿4.19重大水害事故警示教育片。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方大生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山西大同煤矿集团有限责任公司姜家湾煤矿4.19重大水害事故警示教育片。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时光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山西大同煤矿集团有限责任公司姜家湾煤矿4.19重大水害事故警示教育片。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李祥明</w:t>
            </w:r>
          </w:p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马 强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山西大同煤矿集团有限责任公司姜家湾煤矿4.19重大水害事故警示教育片。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before="120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李祥明</w:t>
            </w:r>
          </w:p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朱远辉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山西大同煤矿集团有限责任公司姜家湾煤矿4.19重大水害事故警示教育片。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ind w:firstLine="360" w:firstLineChars="1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59" w:type="dxa"/>
            <w:vAlign w:val="center"/>
          </w:tcPr>
          <w:p>
            <w:pPr>
              <w:spacing w:before="120"/>
              <w:ind w:firstLine="342" w:firstLineChars="142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孟  宁   张言飞</w:t>
            </w:r>
          </w:p>
        </w:tc>
        <w:tc>
          <w:tcPr>
            <w:tcW w:w="76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</w:rPr>
              <w:t>山西大同煤矿集团有限责任公司姜家湾煤矿4.19重大水害事故警示教育</w:t>
            </w:r>
            <w:bookmarkStart w:id="0" w:name="_GoBack"/>
            <w:bookmarkEnd w:id="0"/>
            <w:r>
              <w:rPr>
                <w:rFonts w:hint="eastAsia"/>
              </w:rPr>
              <w:t>片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  <w:sectPr>
          <w:pgSz w:w="16783" w:h="1185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月份第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采煤部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通防部各有1</w:t>
      </w:r>
      <w:r>
        <w:rPr>
          <w:rFonts w:hint="eastAsia" w:ascii="Calibri" w:hAnsi="Calibri" w:eastAsia="宋体" w:cs="Times New Roman"/>
          <w:sz w:val="28"/>
          <w:szCs w:val="28"/>
        </w:rPr>
        <w:t>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对员工应知应会</w:t>
      </w:r>
      <w:r>
        <w:rPr>
          <w:rFonts w:hint="eastAsia" w:ascii="Calibri" w:hAnsi="Calibri" w:eastAsia="宋体" w:cs="Times New Roman"/>
          <w:sz w:val="28"/>
          <w:szCs w:val="28"/>
        </w:rPr>
        <w:t>不了解。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运输部有两人对员工应知应会不了解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4.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通防部有1人对上周事故案例不了解、综掘部、掘进部各有2人对上周事故案例不了解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。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单位贯彻人员及时到班前会抽查，巩固学习内容。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5.各单位加强班前会对事故案列的学习。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2F2F2"/>
        </w:rPr>
        <w:t>各单位要实时传达国家、省、市、县各级监管部门和集团公司通报的事故。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7.各单位加强员工安全文化手册学习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及2021年安全生产月活动方案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6964A17"/>
    <w:rsid w:val="105D2B53"/>
    <w:rsid w:val="1C77642B"/>
    <w:rsid w:val="29F850F4"/>
    <w:rsid w:val="2B5B7753"/>
    <w:rsid w:val="30E355E3"/>
    <w:rsid w:val="35582293"/>
    <w:rsid w:val="37CE4CD8"/>
    <w:rsid w:val="3826679F"/>
    <w:rsid w:val="3AEF5C6A"/>
    <w:rsid w:val="40AF56B4"/>
    <w:rsid w:val="49BA7761"/>
    <w:rsid w:val="4BFA0EC3"/>
    <w:rsid w:val="52570B0E"/>
    <w:rsid w:val="536A686E"/>
    <w:rsid w:val="53AD4D79"/>
    <w:rsid w:val="5A9F00C4"/>
    <w:rsid w:val="5D221689"/>
    <w:rsid w:val="5F52601C"/>
    <w:rsid w:val="5F610C2D"/>
    <w:rsid w:val="62614624"/>
    <w:rsid w:val="627967C2"/>
    <w:rsid w:val="657D2CD9"/>
    <w:rsid w:val="68447E14"/>
    <w:rsid w:val="68617177"/>
    <w:rsid w:val="734E0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7</TotalTime>
  <ScaleCrop>false</ScaleCrop>
  <LinksUpToDate>false</LinksUpToDate>
  <CharactersWithSpaces>904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Administrator</cp:lastModifiedBy>
  <cp:lastPrinted>2020-11-21T07:27:00Z</cp:lastPrinted>
  <dcterms:modified xsi:type="dcterms:W3CDTF">2021-07-04T03:16:02Z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98634799741A4D22A84002F407615CC8</vt:lpwstr>
  </property>
</Properties>
</file>