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overflowPunct w:val="0"/>
        <w:adjustRightInd w:val="0"/>
        <w:snapToGrid w:val="0"/>
        <w:spacing w:before="156" w:after="156"/>
        <w:ind w:left="0" w:firstLine="0"/>
        <w:rPr>
          <w:rFonts w:hint="eastAsia" w:eastAsia="黑体"/>
          <w:sz w:val="28"/>
          <w:lang w:eastAsia="zh-CN"/>
        </w:rPr>
      </w:pPr>
      <w:r>
        <w:rPr>
          <w:sz w:val="28"/>
        </w:rPr>
        <w:t>表8.2-5  煤矿防治冲击地压标准化评分表</w:t>
      </w:r>
      <w:r>
        <w:rPr>
          <w:rFonts w:hint="eastAsia"/>
          <w:sz w:val="28"/>
          <w:lang w:eastAsia="zh-CN"/>
        </w:rPr>
        <w:t>（</w:t>
      </w:r>
      <w:r>
        <w:rPr>
          <w:rFonts w:hint="eastAsia"/>
          <w:sz w:val="28"/>
          <w:lang w:val="en-US" w:eastAsia="zh-CN"/>
        </w:rPr>
        <w:t>2021年5月</w:t>
      </w:r>
      <w:r>
        <w:rPr>
          <w:rFonts w:hint="eastAsia"/>
          <w:sz w:val="28"/>
          <w:lang w:eastAsia="zh-CN"/>
        </w:rPr>
        <w:t>）</w:t>
      </w:r>
    </w:p>
    <w:tbl>
      <w:tblPr>
        <w:tblStyle w:val="2"/>
        <w:tblW w:w="9529"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63"/>
        <w:gridCol w:w="658"/>
        <w:gridCol w:w="3069"/>
        <w:gridCol w:w="1205"/>
        <w:gridCol w:w="2078"/>
        <w:gridCol w:w="185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663"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ascii="黑体" w:eastAsia="黑体"/>
                <w:kern w:val="0"/>
              </w:rPr>
            </w:pPr>
            <w:r>
              <w:rPr>
                <w:rFonts w:ascii="黑体" w:hAnsi="宋体" w:eastAsia="黑体"/>
                <w:kern w:val="0"/>
              </w:rPr>
              <w:t>项目</w:t>
            </w:r>
          </w:p>
        </w:tc>
        <w:tc>
          <w:tcPr>
            <w:tcW w:w="65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ascii="黑体" w:eastAsia="黑体"/>
                <w:kern w:val="0"/>
              </w:rPr>
            </w:pPr>
            <w:r>
              <w:rPr>
                <w:rFonts w:ascii="黑体" w:eastAsia="黑体"/>
                <w:kern w:val="0"/>
              </w:rPr>
              <w:t>项目</w:t>
            </w:r>
          </w:p>
          <w:p>
            <w:pPr>
              <w:widowControl/>
              <w:overflowPunct w:val="0"/>
              <w:adjustRightInd w:val="0"/>
              <w:snapToGrid w:val="0"/>
              <w:jc w:val="center"/>
              <w:rPr>
                <w:rFonts w:hint="default" w:ascii="黑体" w:eastAsia="黑体"/>
                <w:kern w:val="0"/>
              </w:rPr>
            </w:pPr>
            <w:r>
              <w:rPr>
                <w:rFonts w:ascii="黑体" w:eastAsia="黑体"/>
                <w:kern w:val="0"/>
              </w:rPr>
              <w:t>内容</w:t>
            </w:r>
          </w:p>
        </w:tc>
        <w:tc>
          <w:tcPr>
            <w:tcW w:w="3069"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ascii="黑体" w:eastAsia="黑体"/>
                <w:kern w:val="0"/>
              </w:rPr>
            </w:pPr>
            <w:r>
              <w:rPr>
                <w:rFonts w:ascii="黑体" w:hAnsi="宋体" w:eastAsia="黑体"/>
                <w:kern w:val="0"/>
              </w:rPr>
              <w:t>基本要求</w:t>
            </w:r>
          </w:p>
        </w:tc>
        <w:tc>
          <w:tcPr>
            <w:tcW w:w="1205"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ascii="黑体" w:eastAsia="黑体"/>
                <w:kern w:val="0"/>
              </w:rPr>
            </w:pPr>
            <w:r>
              <w:rPr>
                <w:rFonts w:ascii="黑体" w:hAnsi="宋体" w:eastAsia="黑体"/>
                <w:kern w:val="0"/>
              </w:rPr>
              <w:t>标准分值</w:t>
            </w:r>
          </w:p>
        </w:tc>
        <w:tc>
          <w:tcPr>
            <w:tcW w:w="207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ascii="黑体" w:eastAsia="黑体"/>
                <w:kern w:val="0"/>
              </w:rPr>
            </w:pPr>
            <w:r>
              <w:rPr>
                <w:rFonts w:ascii="黑体" w:hAnsi="宋体" w:eastAsia="黑体"/>
                <w:kern w:val="0"/>
              </w:rPr>
              <w:t>评分方法</w:t>
            </w:r>
          </w:p>
        </w:tc>
        <w:tc>
          <w:tcPr>
            <w:tcW w:w="1856"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ascii="黑体" w:hAnsi="宋体" w:eastAsia="黑体"/>
                <w:kern w:val="0"/>
              </w:rPr>
            </w:pPr>
            <w:r>
              <w:rPr>
                <w:rFonts w:ascii="黑体" w:hAnsi="宋体" w:eastAsia="黑体"/>
                <w:kern w:val="0"/>
              </w:rPr>
              <w:t>得分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545" w:hRule="atLeast"/>
          <w:jc w:val="center"/>
        </w:trPr>
        <w:tc>
          <w:tcPr>
            <w:tcW w:w="663" w:type="dxa"/>
            <w:tcBorders>
              <w:top w:val="single" w:color="auto" w:sz="4" w:space="0"/>
              <w:left w:val="single" w:color="auto" w:sz="4" w:space="0"/>
              <w:bottom w:val="single" w:color="auto" w:sz="4" w:space="0"/>
              <w:right w:val="single" w:color="auto" w:sz="4" w:space="0"/>
              <w:tl2br w:val="nil"/>
              <w:tr2bl w:val="nil"/>
            </w:tcBorders>
            <w:noWrap/>
            <w:textDirection w:val="tbRlV"/>
            <w:vAlign w:val="center"/>
          </w:tcPr>
          <w:p>
            <w:pPr>
              <w:keepNext/>
              <w:overflowPunct w:val="0"/>
              <w:adjustRightInd w:val="0"/>
              <w:snapToGrid w:val="0"/>
              <w:ind w:left="0" w:right="0"/>
              <w:jc w:val="center"/>
              <w:rPr>
                <w:rFonts w:hint="default"/>
                <w:kern w:val="0"/>
              </w:rPr>
            </w:pPr>
            <w:r>
              <w:rPr>
                <w:rFonts w:ascii="宋体" w:hAnsi="宋体"/>
                <w:spacing w:val="40"/>
                <w:kern w:val="0"/>
              </w:rPr>
              <w:t>一、基础管理（10分）</w:t>
            </w:r>
          </w:p>
        </w:tc>
        <w:tc>
          <w:tcPr>
            <w:tcW w:w="65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制度保障</w:t>
            </w:r>
          </w:p>
        </w:tc>
        <w:tc>
          <w:tcPr>
            <w:tcW w:w="3069"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rPr>
                <w:rFonts w:hint="default"/>
                <w:kern w:val="0"/>
              </w:rPr>
            </w:pPr>
            <w:r>
              <w:rPr>
                <w:rFonts w:ascii="宋体" w:hAnsi="宋体"/>
                <w:kern w:val="0"/>
              </w:rPr>
              <w:t>1.建立冲击地压防治安全技术管理制度、冲击地压防治培训制度、冲击地压事故报告制度，建立实时预警、处置调度和处理结果反馈制度；</w:t>
            </w:r>
          </w:p>
          <w:p>
            <w:pPr>
              <w:widowControl/>
              <w:overflowPunct w:val="0"/>
              <w:adjustRightInd w:val="0"/>
              <w:snapToGrid w:val="0"/>
              <w:jc w:val="left"/>
              <w:rPr>
                <w:rFonts w:hint="default"/>
                <w:w w:val="90"/>
              </w:rPr>
            </w:pPr>
            <w:r>
              <w:rPr>
                <w:rFonts w:ascii="宋体" w:hAnsi="宋体"/>
                <w:kern w:val="0"/>
              </w:rPr>
              <w:t>2.冲击地压矿井每周召开1次防冲分析会，防冲技术人员每天对防冲工作分析1次</w:t>
            </w:r>
          </w:p>
        </w:tc>
        <w:tc>
          <w:tcPr>
            <w:tcW w:w="1205"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10</w:t>
            </w:r>
          </w:p>
        </w:tc>
        <w:tc>
          <w:tcPr>
            <w:tcW w:w="207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查现场和资料。制度不全缺1项扣2分；其他不符合要求1处扣1分</w:t>
            </w:r>
          </w:p>
        </w:tc>
        <w:tc>
          <w:tcPr>
            <w:tcW w:w="1856"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ascii="宋体" w:hAnsi="宋体" w:cs="Times New Roman"/>
                <w:kern w:val="0"/>
                <w:szCs w:val="22"/>
                <w:lang w:val="en-US" w:eastAsia="zh-CN"/>
              </w:rPr>
            </w:pPr>
            <w:r>
              <w:rPr>
                <w:rFonts w:hint="eastAsia" w:ascii="宋体" w:hAnsi="宋体" w:cs="Times New Roman"/>
                <w:kern w:val="0"/>
                <w:szCs w:val="22"/>
                <w:lang w:val="en-US" w:eastAsia="zh-CN"/>
              </w:rPr>
              <w:t>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7" w:hRule="atLeast"/>
          <w:jc w:val="center"/>
        </w:trPr>
        <w:tc>
          <w:tcPr>
            <w:tcW w:w="663" w:type="dxa"/>
            <w:vMerge w:val="restart"/>
            <w:tcBorders>
              <w:top w:val="single" w:color="auto" w:sz="4" w:space="0"/>
              <w:left w:val="single" w:color="auto" w:sz="4" w:space="0"/>
              <w:bottom w:val="single" w:color="auto" w:sz="4" w:space="0"/>
              <w:right w:val="single" w:color="auto" w:sz="4" w:space="0"/>
              <w:tl2br w:val="nil"/>
              <w:tr2bl w:val="nil"/>
            </w:tcBorders>
            <w:noWrap/>
            <w:textDirection w:val="tbRlV"/>
            <w:vAlign w:val="center"/>
          </w:tcPr>
          <w:p>
            <w:pPr>
              <w:keepNext/>
              <w:overflowPunct w:val="0"/>
              <w:adjustRightInd w:val="0"/>
              <w:snapToGrid w:val="0"/>
              <w:ind w:left="113" w:right="113"/>
              <w:jc w:val="center"/>
              <w:rPr>
                <w:rFonts w:hint="default"/>
                <w:kern w:val="0"/>
              </w:rPr>
            </w:pPr>
            <w:r>
              <w:rPr>
                <w:rFonts w:ascii="宋体" w:hAnsi="宋体"/>
                <w:spacing w:val="40"/>
                <w:kern w:val="0"/>
              </w:rPr>
              <w:t>二、防冲技术（40分）</w:t>
            </w:r>
          </w:p>
        </w:tc>
        <w:tc>
          <w:tcPr>
            <w:tcW w:w="65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技术支撑</w:t>
            </w:r>
          </w:p>
        </w:tc>
        <w:tc>
          <w:tcPr>
            <w:tcW w:w="3069"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1.按规定进行煤岩层冲击倾向性鉴定，开采具有冲击倾向性的煤层，应进行冲击危险性评价；</w:t>
            </w:r>
          </w:p>
          <w:p>
            <w:pPr>
              <w:widowControl/>
              <w:overflowPunct w:val="0"/>
              <w:adjustRightInd w:val="0"/>
              <w:snapToGrid w:val="0"/>
              <w:jc w:val="left"/>
              <w:rPr>
                <w:rFonts w:hint="default"/>
                <w:kern w:val="0"/>
              </w:rPr>
            </w:pPr>
            <w:r>
              <w:rPr>
                <w:rFonts w:ascii="宋体" w:hAnsi="宋体"/>
                <w:kern w:val="0"/>
              </w:rPr>
              <w:t>2.冲击地压矿井应编制中长期防冲规划与年度防冲计划；</w:t>
            </w:r>
          </w:p>
          <w:p>
            <w:pPr>
              <w:widowControl/>
              <w:overflowPunct w:val="0"/>
              <w:adjustRightInd w:val="0"/>
              <w:snapToGrid w:val="0"/>
              <w:jc w:val="left"/>
              <w:rPr>
                <w:rFonts w:hint="default"/>
                <w:kern w:val="0"/>
              </w:rPr>
            </w:pPr>
            <w:r>
              <w:rPr>
                <w:rFonts w:ascii="宋体" w:hAnsi="宋体"/>
                <w:kern w:val="0"/>
              </w:rPr>
              <w:t>3.按规定编制防冲专项设计,按程序进行审批；</w:t>
            </w:r>
          </w:p>
          <w:p>
            <w:pPr>
              <w:widowControl/>
              <w:overflowPunct w:val="0"/>
              <w:adjustRightInd w:val="0"/>
              <w:snapToGrid w:val="0"/>
              <w:jc w:val="left"/>
              <w:rPr>
                <w:rFonts w:hint="default"/>
                <w:kern w:val="0"/>
              </w:rPr>
            </w:pPr>
            <w:r>
              <w:rPr>
                <w:rFonts w:ascii="宋体" w:hAnsi="宋体"/>
                <w:kern w:val="0"/>
              </w:rPr>
              <w:t>4.冲击危险性预警指标按规定审批；</w:t>
            </w:r>
          </w:p>
          <w:p>
            <w:pPr>
              <w:widowControl/>
              <w:overflowPunct w:val="0"/>
              <w:adjustRightInd w:val="0"/>
              <w:snapToGrid w:val="0"/>
              <w:jc w:val="left"/>
              <w:rPr>
                <w:rFonts w:hint="default"/>
                <w:kern w:val="0"/>
              </w:rPr>
            </w:pPr>
            <w:r>
              <w:rPr>
                <w:rFonts w:ascii="宋体" w:hAnsi="宋体"/>
                <w:kern w:val="0"/>
              </w:rPr>
              <w:t>5.有冲击地压危险的采掘工作面有防冲安全技术措施并按规定及时审批</w:t>
            </w:r>
          </w:p>
        </w:tc>
        <w:tc>
          <w:tcPr>
            <w:tcW w:w="1205"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2</w:t>
            </w:r>
            <w:bookmarkStart w:id="0" w:name="_GoBack"/>
            <w:bookmarkEnd w:id="0"/>
            <w:r>
              <w:rPr>
                <w:rFonts w:ascii="宋体" w:hAnsi="宋体"/>
                <w:kern w:val="0"/>
              </w:rPr>
              <w:t>0</w:t>
            </w:r>
          </w:p>
        </w:tc>
        <w:tc>
          <w:tcPr>
            <w:tcW w:w="207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查资料。未鉴定或评价、未编制规划与计划、无专项设计或未确定预警指标不得分；防冲设计不符合规定1项扣5分，措施内容不全或不正确1处扣2分；无采掘安全技术措施1次扣5分；未按规定审批1次扣3分</w:t>
            </w:r>
          </w:p>
        </w:tc>
        <w:tc>
          <w:tcPr>
            <w:tcW w:w="1856"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eastAsia="宋体"/>
                <w:w w:val="90"/>
                <w:kern w:val="0"/>
                <w:lang w:val="en-US" w:eastAsia="zh-CN"/>
              </w:rPr>
            </w:pPr>
            <w:r>
              <w:rPr>
                <w:rFonts w:hint="eastAsia" w:ascii="宋体" w:hAnsi="宋体"/>
                <w:kern w:val="0"/>
                <w:lang w:val="en-US" w:eastAsia="zh-CN"/>
              </w:rPr>
              <w:t>20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21" w:hRule="atLeast"/>
          <w:jc w:val="center"/>
        </w:trPr>
        <w:tc>
          <w:tcPr>
            <w:tcW w:w="663"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p>
        </w:tc>
        <w:tc>
          <w:tcPr>
            <w:tcW w:w="65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监测预警</w:t>
            </w:r>
          </w:p>
        </w:tc>
        <w:tc>
          <w:tcPr>
            <w:tcW w:w="3069"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1.建立冲击地压区域监测和局部监测系统，实时监测冲击危险性；</w:t>
            </w:r>
          </w:p>
          <w:p>
            <w:pPr>
              <w:widowControl/>
              <w:overflowPunct w:val="0"/>
              <w:adjustRightInd w:val="0"/>
              <w:snapToGrid w:val="0"/>
              <w:jc w:val="left"/>
              <w:rPr>
                <w:rFonts w:hint="default"/>
                <w:kern w:val="0"/>
              </w:rPr>
            </w:pPr>
            <w:r>
              <w:rPr>
                <w:rFonts w:ascii="宋体" w:hAnsi="宋体"/>
                <w:kern w:val="0"/>
              </w:rPr>
              <w:t>2.区域监测系统应覆盖矿井所有采掘区域，局部监测应覆盖冲击地压危险区域的采掘地点和煤（半煤岩）巷道、硐室等地点，经评价有冲击危险的采掘工作面应安装应力在线监测系统；</w:t>
            </w:r>
          </w:p>
          <w:p>
            <w:pPr>
              <w:widowControl/>
              <w:overflowPunct w:val="0"/>
              <w:adjustRightInd w:val="0"/>
              <w:snapToGrid w:val="0"/>
              <w:jc w:val="left"/>
              <w:rPr>
                <w:rFonts w:hint="default"/>
                <w:kern w:val="0"/>
              </w:rPr>
            </w:pPr>
            <w:r>
              <w:rPr>
                <w:rFonts w:ascii="宋体" w:hAnsi="宋体"/>
                <w:kern w:val="0"/>
              </w:rPr>
              <w:t>3.监测系统运行正常，出现故障时及时处理；</w:t>
            </w:r>
          </w:p>
          <w:p>
            <w:pPr>
              <w:widowControl/>
              <w:overflowPunct w:val="0"/>
              <w:adjustRightInd w:val="0"/>
              <w:snapToGrid w:val="0"/>
              <w:jc w:val="left"/>
              <w:rPr>
                <w:rFonts w:hint="default"/>
                <w:kern w:val="0"/>
              </w:rPr>
            </w:pPr>
            <w:r>
              <w:rPr>
                <w:rFonts w:ascii="宋体" w:hAnsi="宋体"/>
                <w:kern w:val="0"/>
              </w:rPr>
              <w:t>4.按规定确定冲击危险性预警临界指标，监测指标发现异常时，应采用钻屑法及时进行现场验证</w:t>
            </w:r>
          </w:p>
        </w:tc>
        <w:tc>
          <w:tcPr>
            <w:tcW w:w="1205"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20</w:t>
            </w:r>
          </w:p>
        </w:tc>
        <w:tc>
          <w:tcPr>
            <w:tcW w:w="207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查现场和资料。未建立系统不得分；监测系统故障处理不及时1次扣2分；区域监测系统布置不合理1处扣1分；未确定冲击危险性临界指标扣10分，临界指标不符合矿井实际1次扣5分，发现异常未及时验证1次扣3分；其他不符合要求1处扣1分</w:t>
            </w:r>
          </w:p>
        </w:tc>
        <w:tc>
          <w:tcPr>
            <w:tcW w:w="1856"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ascii="宋体" w:hAnsi="宋体"/>
                <w:kern w:val="0"/>
                <w:lang w:val="en-US" w:eastAsia="zh-CN"/>
              </w:rPr>
            </w:pPr>
            <w:r>
              <w:rPr>
                <w:rFonts w:hint="eastAsia" w:ascii="宋体" w:hAnsi="宋体"/>
                <w:kern w:val="0"/>
                <w:lang w:val="en-US" w:eastAsia="zh-CN"/>
              </w:rPr>
              <w:t>18</w:t>
            </w:r>
          </w:p>
          <w:p>
            <w:pPr>
              <w:widowControl/>
              <w:overflowPunct w:val="0"/>
              <w:adjustRightInd w:val="0"/>
              <w:snapToGrid w:val="0"/>
              <w:jc w:val="center"/>
              <w:rPr>
                <w:rFonts w:hint="default"/>
                <w:kern w:val="0"/>
                <w:lang w:val="en-US" w:eastAsia="zh-CN"/>
              </w:rPr>
            </w:pPr>
            <w:r>
              <w:rPr>
                <w:rFonts w:hint="eastAsia"/>
                <w:kern w:val="0"/>
                <w:lang w:val="en-US" w:eastAsia="zh-CN"/>
              </w:rPr>
              <w:t>微震监测系统无网络不能自动将数据上传至处理软件。-2</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89" w:hRule="atLeast"/>
          <w:jc w:val="center"/>
        </w:trPr>
        <w:tc>
          <w:tcPr>
            <w:tcW w:w="663" w:type="dxa"/>
            <w:vMerge w:val="restart"/>
            <w:tcBorders>
              <w:top w:val="single" w:color="auto" w:sz="4" w:space="0"/>
              <w:left w:val="single" w:color="auto" w:sz="4" w:space="0"/>
              <w:bottom w:val="single" w:color="auto" w:sz="4" w:space="0"/>
              <w:right w:val="single" w:color="auto" w:sz="4" w:space="0"/>
              <w:tl2br w:val="nil"/>
              <w:tr2bl w:val="nil"/>
            </w:tcBorders>
            <w:noWrap/>
            <w:textDirection w:val="tbRlV"/>
            <w:vAlign w:val="center"/>
          </w:tcPr>
          <w:p>
            <w:pPr>
              <w:keepNext/>
              <w:overflowPunct w:val="0"/>
              <w:adjustRightInd w:val="0"/>
              <w:snapToGrid w:val="0"/>
              <w:ind w:left="113" w:right="113"/>
              <w:jc w:val="center"/>
              <w:rPr>
                <w:rFonts w:hint="default"/>
                <w:kern w:val="0"/>
              </w:rPr>
            </w:pPr>
            <w:r>
              <w:rPr>
                <w:rFonts w:ascii="宋体" w:hAnsi="宋体"/>
                <w:spacing w:val="40"/>
                <w:kern w:val="0"/>
              </w:rPr>
              <w:t>三、防冲措施（30分）</w:t>
            </w:r>
          </w:p>
        </w:tc>
        <w:tc>
          <w:tcPr>
            <w:tcW w:w="65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区域防冲措施</w:t>
            </w:r>
          </w:p>
        </w:tc>
        <w:tc>
          <w:tcPr>
            <w:tcW w:w="3069"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冲击地压矿井开拓方式、采掘部署、开采顺序、煤柱留设、巷道布置、采煤工艺及开采保护层等符合规定；保护层采空区原则不留煤柱，留设煤柱时，按规定审批，并及时上图</w:t>
            </w:r>
          </w:p>
        </w:tc>
        <w:tc>
          <w:tcPr>
            <w:tcW w:w="1205"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10</w:t>
            </w:r>
          </w:p>
        </w:tc>
        <w:tc>
          <w:tcPr>
            <w:tcW w:w="207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查现场和资料。不符合要求1处扣5分</w:t>
            </w:r>
          </w:p>
        </w:tc>
        <w:tc>
          <w:tcPr>
            <w:tcW w:w="1856"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eastAsia="宋体"/>
                <w:kern w:val="0"/>
                <w:lang w:val="en-US" w:eastAsia="zh-CN"/>
              </w:rPr>
            </w:pPr>
            <w:r>
              <w:rPr>
                <w:rFonts w:hint="eastAsia" w:ascii="宋体" w:hAnsi="宋体" w:eastAsia="宋体" w:cs="Times New Roman"/>
                <w:kern w:val="0"/>
                <w:szCs w:val="22"/>
                <w:lang w:val="en-US" w:eastAsia="zh-CN"/>
              </w:rPr>
              <w:t>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70" w:hRule="atLeast"/>
          <w:jc w:val="center"/>
        </w:trPr>
        <w:tc>
          <w:tcPr>
            <w:tcW w:w="663"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p>
        </w:tc>
        <w:tc>
          <w:tcPr>
            <w:tcW w:w="65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局部防冲</w:t>
            </w:r>
          </w:p>
          <w:p>
            <w:pPr>
              <w:widowControl/>
              <w:overflowPunct w:val="0"/>
              <w:adjustRightInd w:val="0"/>
              <w:snapToGrid w:val="0"/>
              <w:jc w:val="center"/>
              <w:rPr>
                <w:rFonts w:hint="default"/>
                <w:kern w:val="0"/>
              </w:rPr>
            </w:pPr>
            <w:r>
              <w:rPr>
                <w:rFonts w:ascii="宋体" w:hAnsi="宋体"/>
                <w:kern w:val="0"/>
              </w:rPr>
              <w:t>措施</w:t>
            </w:r>
          </w:p>
        </w:tc>
        <w:tc>
          <w:tcPr>
            <w:tcW w:w="3069"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1.钻机等各类装备满足矿井防冲工作需要；</w:t>
            </w:r>
          </w:p>
          <w:p>
            <w:pPr>
              <w:widowControl/>
              <w:overflowPunct w:val="0"/>
              <w:adjustRightInd w:val="0"/>
              <w:snapToGrid w:val="0"/>
              <w:jc w:val="left"/>
              <w:rPr>
                <w:rFonts w:hint="default"/>
                <w:kern w:val="0"/>
              </w:rPr>
            </w:pPr>
            <w:r>
              <w:rPr>
                <w:rFonts w:ascii="宋体" w:hAnsi="宋体"/>
                <w:kern w:val="0"/>
              </w:rPr>
              <w:t>2.实施钻孔卸压时，钻孔孔深、孔径、孔距等参数应在设计中明确规定，并制定</w:t>
            </w:r>
            <w:r>
              <w:rPr>
                <w:rFonts w:ascii="宋体" w:hAnsi="宋体"/>
                <w:color w:val="333333"/>
                <w:kern w:val="0"/>
              </w:rPr>
              <w:t>防止打钻诱发冲击伤人的</w:t>
            </w:r>
            <w:r>
              <w:rPr>
                <w:rFonts w:ascii="宋体" w:hAnsi="宋体"/>
                <w:kern w:val="0"/>
              </w:rPr>
              <w:t>安全防护措施；</w:t>
            </w:r>
          </w:p>
          <w:p>
            <w:pPr>
              <w:widowControl/>
              <w:overflowPunct w:val="0"/>
              <w:adjustRightInd w:val="0"/>
              <w:snapToGrid w:val="0"/>
              <w:rPr>
                <w:rFonts w:hint="default"/>
                <w:kern w:val="0"/>
              </w:rPr>
            </w:pPr>
            <w:r>
              <w:rPr>
                <w:rFonts w:ascii="宋体" w:hAnsi="宋体"/>
                <w:kern w:val="0"/>
              </w:rPr>
              <w:t>3.实施爆破卸压时，装药方式、装药长度、装药量、封孔长度以及连线方式、起爆方式等参数应在设计中明确规定，并制定安全防护措施；</w:t>
            </w:r>
          </w:p>
          <w:p>
            <w:pPr>
              <w:widowControl/>
              <w:overflowPunct w:val="0"/>
              <w:adjustRightInd w:val="0"/>
              <w:snapToGrid w:val="0"/>
              <w:rPr>
                <w:rFonts w:hint="default"/>
                <w:kern w:val="0"/>
              </w:rPr>
            </w:pPr>
            <w:r>
              <w:rPr>
                <w:rFonts w:ascii="宋体" w:hAnsi="宋体"/>
                <w:kern w:val="0"/>
              </w:rPr>
              <w:t>4.实施煤层预注水时，注水方式、注水压力、注水时间等应在设计中明确规定；</w:t>
            </w:r>
          </w:p>
          <w:p>
            <w:pPr>
              <w:widowControl/>
              <w:overflowPunct w:val="0"/>
              <w:adjustRightInd w:val="0"/>
              <w:snapToGrid w:val="0"/>
              <w:rPr>
                <w:rFonts w:hint="default"/>
                <w:kern w:val="0"/>
              </w:rPr>
            </w:pPr>
            <w:r>
              <w:rPr>
                <w:rFonts w:ascii="宋体" w:hAnsi="宋体"/>
                <w:kern w:val="0"/>
              </w:rPr>
              <w:t>5.有冲击地压危险的采掘工作面推进速度应在作业规程中明确规定并执行；</w:t>
            </w:r>
          </w:p>
          <w:p>
            <w:pPr>
              <w:widowControl/>
              <w:overflowPunct w:val="0"/>
              <w:adjustRightInd w:val="0"/>
              <w:snapToGrid w:val="0"/>
              <w:rPr>
                <w:rFonts w:hint="default"/>
                <w:kern w:val="0"/>
              </w:rPr>
            </w:pPr>
            <w:r>
              <w:rPr>
                <w:rFonts w:ascii="宋体" w:hAnsi="宋体"/>
                <w:kern w:val="0"/>
              </w:rPr>
              <w:t>6.冲击地压危险工作面实施解危措施后，应进行效果检验</w:t>
            </w:r>
          </w:p>
        </w:tc>
        <w:tc>
          <w:tcPr>
            <w:tcW w:w="1205"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20</w:t>
            </w:r>
          </w:p>
        </w:tc>
        <w:tc>
          <w:tcPr>
            <w:tcW w:w="207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查现场和资料。未制定或不落实防冲措施不得分；措施不完善或落实不到位1处扣5分；其他不符合要求1处扣2分</w:t>
            </w:r>
          </w:p>
        </w:tc>
        <w:tc>
          <w:tcPr>
            <w:tcW w:w="1856"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eastAsia" w:ascii="宋体" w:hAnsi="宋体" w:eastAsia="宋体" w:cs="Times New Roman"/>
                <w:kern w:val="0"/>
                <w:szCs w:val="22"/>
                <w:lang w:val="en-US" w:eastAsia="zh-CN"/>
              </w:rPr>
            </w:pPr>
            <w:r>
              <w:rPr>
                <w:rFonts w:hint="eastAsia" w:ascii="宋体" w:hAnsi="宋体" w:eastAsia="宋体" w:cs="Times New Roman"/>
                <w:kern w:val="0"/>
                <w:szCs w:val="22"/>
                <w:lang w:val="en-US" w:eastAsia="zh-CN"/>
              </w:rPr>
              <w:t>15</w:t>
            </w:r>
          </w:p>
          <w:p>
            <w:pPr>
              <w:widowControl/>
              <w:overflowPunct w:val="0"/>
              <w:adjustRightInd w:val="0"/>
              <w:snapToGrid w:val="0"/>
              <w:jc w:val="center"/>
              <w:rPr>
                <w:rFonts w:hint="default" w:ascii="宋体" w:hAnsi="宋体" w:eastAsia="宋体" w:cs="Times New Roman"/>
                <w:kern w:val="0"/>
                <w:szCs w:val="22"/>
                <w:lang w:val="en-US" w:eastAsia="zh-CN"/>
              </w:rPr>
            </w:pPr>
            <w:r>
              <w:rPr>
                <w:rFonts w:hint="eastAsia" w:ascii="宋体" w:hAnsi="宋体" w:cs="Times New Roman"/>
                <w:kern w:val="0"/>
                <w:szCs w:val="22"/>
                <w:lang w:val="en-US" w:eastAsia="zh-CN"/>
              </w:rPr>
              <w:t>1305风巷顶板预裂爆破钻孔F36-2装药量不符合要求；-5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321" w:hRule="atLeast"/>
          <w:jc w:val="center"/>
        </w:trPr>
        <w:tc>
          <w:tcPr>
            <w:tcW w:w="663" w:type="dxa"/>
            <w:tcBorders>
              <w:top w:val="single" w:color="auto" w:sz="4" w:space="0"/>
              <w:left w:val="single" w:color="auto" w:sz="4" w:space="0"/>
              <w:bottom w:val="single" w:color="auto" w:sz="4" w:space="0"/>
              <w:right w:val="single" w:color="auto" w:sz="4" w:space="0"/>
              <w:tl2br w:val="nil"/>
              <w:tr2bl w:val="nil"/>
            </w:tcBorders>
            <w:noWrap/>
            <w:textDirection w:val="tbRlV"/>
            <w:vAlign w:val="center"/>
          </w:tcPr>
          <w:p>
            <w:pPr>
              <w:keepNext/>
              <w:overflowPunct w:val="0"/>
              <w:adjustRightInd w:val="0"/>
              <w:snapToGrid w:val="0"/>
              <w:ind w:left="113" w:right="113"/>
              <w:jc w:val="center"/>
              <w:rPr>
                <w:rFonts w:hint="default"/>
                <w:kern w:val="0"/>
              </w:rPr>
            </w:pPr>
            <w:r>
              <w:rPr>
                <w:rFonts w:ascii="宋体" w:hAnsi="宋体"/>
                <w:kern w:val="0"/>
              </w:rPr>
              <w:t>四、</w:t>
            </w:r>
            <w:r>
              <w:rPr>
                <w:rFonts w:ascii="宋体" w:hAnsi="宋体"/>
                <w:spacing w:val="40"/>
                <w:kern w:val="0"/>
              </w:rPr>
              <w:t>防护措施（10分）</w:t>
            </w:r>
          </w:p>
        </w:tc>
        <w:tc>
          <w:tcPr>
            <w:tcW w:w="65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安全防护</w:t>
            </w:r>
          </w:p>
        </w:tc>
        <w:tc>
          <w:tcPr>
            <w:tcW w:w="3069"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1.爆破卸压作业的躲炮直线距离不小于300m，躲炮时间不小于30min；</w:t>
            </w:r>
          </w:p>
          <w:p>
            <w:pPr>
              <w:widowControl/>
              <w:overflowPunct w:val="0"/>
              <w:adjustRightInd w:val="0"/>
              <w:snapToGrid w:val="0"/>
              <w:jc w:val="left"/>
              <w:rPr>
                <w:rFonts w:hint="default"/>
                <w:kern w:val="0"/>
              </w:rPr>
            </w:pPr>
            <w:r>
              <w:rPr>
                <w:rFonts w:ascii="宋体" w:hAnsi="宋体"/>
                <w:kern w:val="0"/>
              </w:rPr>
              <w:t>2.冲击危险区采取限员、限时措施，设置压风自救系统，设立醒目的防冲警示牌、防冲避灾路线图；</w:t>
            </w:r>
          </w:p>
          <w:p>
            <w:pPr>
              <w:widowControl/>
              <w:overflowPunct w:val="0"/>
              <w:adjustRightInd w:val="0"/>
              <w:snapToGrid w:val="0"/>
              <w:jc w:val="left"/>
              <w:rPr>
                <w:rFonts w:hint="default"/>
                <w:kern w:val="0"/>
              </w:rPr>
            </w:pPr>
            <w:r>
              <w:rPr>
                <w:rFonts w:ascii="宋体" w:hAnsi="宋体"/>
                <w:kern w:val="0"/>
              </w:rPr>
              <w:t>3.评价为强冲击地压危险的区域不得存放备用材料和设备；巷道内杂物应清理干净，保持行走路线畅通；冲击地压危险区存放的设备、材料应采取固定措施，码放高度不应超过0.8m；大型设备、备用材料应存放在采掘应力集中区以外；</w:t>
            </w:r>
          </w:p>
          <w:p>
            <w:pPr>
              <w:widowControl/>
              <w:overflowPunct w:val="0"/>
              <w:adjustRightInd w:val="0"/>
              <w:snapToGrid w:val="0"/>
              <w:jc w:val="left"/>
              <w:rPr>
                <w:rFonts w:hint="default"/>
                <w:kern w:val="0"/>
              </w:rPr>
            </w:pPr>
            <w:r>
              <w:rPr>
                <w:rFonts w:ascii="宋体" w:hAnsi="宋体"/>
                <w:kern w:val="0"/>
              </w:rPr>
              <w:t>4.冲击危险区各类管路应吊挂在巷道腰线以下，吊挂高度高于1.2m的必须采取固定措施,电缆吊挂应留有垂度；</w:t>
            </w:r>
          </w:p>
          <w:p>
            <w:pPr>
              <w:widowControl/>
              <w:overflowPunct w:val="0"/>
              <w:adjustRightInd w:val="0"/>
              <w:snapToGrid w:val="0"/>
              <w:jc w:val="left"/>
              <w:rPr>
                <w:rFonts w:hint="default"/>
                <w:kern w:val="0"/>
              </w:rPr>
            </w:pPr>
            <w:r>
              <w:rPr>
                <w:rFonts w:ascii="宋体" w:hAnsi="宋体"/>
                <w:kern w:val="0"/>
              </w:rPr>
              <w:t>5.U型钢支架卡缆、螺栓等按规定采取防崩措施；</w:t>
            </w:r>
          </w:p>
          <w:p>
            <w:pPr>
              <w:widowControl/>
              <w:overflowPunct w:val="0"/>
              <w:adjustRightInd w:val="0"/>
              <w:snapToGrid w:val="0"/>
              <w:jc w:val="left"/>
              <w:rPr>
                <w:rFonts w:hint="default"/>
                <w:kern w:val="0"/>
              </w:rPr>
            </w:pPr>
            <w:r>
              <w:rPr>
                <w:rFonts w:ascii="宋体" w:hAnsi="宋体"/>
                <w:kern w:val="0"/>
              </w:rPr>
              <w:t>6.加强冲击地压危险区巷道支护，采煤工作面两巷超前支护范围和支护强度符合作业规程规定；</w:t>
            </w:r>
          </w:p>
          <w:p>
            <w:pPr>
              <w:widowControl/>
              <w:overflowPunct w:val="0"/>
              <w:adjustRightInd w:val="0"/>
              <w:snapToGrid w:val="0"/>
              <w:jc w:val="left"/>
              <w:rPr>
                <w:rFonts w:hint="default"/>
                <w:kern w:val="0"/>
              </w:rPr>
            </w:pPr>
            <w:r>
              <w:rPr>
                <w:rFonts w:ascii="宋体" w:hAnsi="宋体"/>
                <w:kern w:val="0"/>
              </w:rPr>
              <w:t>7.严重冲击地压危险区域采掘工作面作业人员佩戴个人防护装备</w:t>
            </w:r>
          </w:p>
        </w:tc>
        <w:tc>
          <w:tcPr>
            <w:tcW w:w="1205"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10</w:t>
            </w:r>
          </w:p>
        </w:tc>
        <w:tc>
          <w:tcPr>
            <w:tcW w:w="207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查现场和资料。未限员、限时或未设置压风自救系统1处扣5分；支护不符合要求1处扣5分；其他不符合要求1处扣2分</w:t>
            </w:r>
          </w:p>
        </w:tc>
        <w:tc>
          <w:tcPr>
            <w:tcW w:w="1856"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ascii="宋体" w:hAnsi="宋体" w:eastAsia="宋体" w:cs="Times New Roman"/>
                <w:kern w:val="0"/>
                <w:szCs w:val="22"/>
                <w:lang w:val="en-US" w:eastAsia="zh-CN"/>
              </w:rPr>
            </w:pPr>
            <w:r>
              <w:rPr>
                <w:rFonts w:hint="eastAsia" w:ascii="宋体" w:hAnsi="宋体" w:cs="Times New Roman"/>
                <w:kern w:val="0"/>
                <w:szCs w:val="22"/>
                <w:lang w:val="en-US" w:eastAsia="zh-CN"/>
              </w:rPr>
              <w:t>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64" w:hRule="atLeast"/>
          <w:jc w:val="center"/>
        </w:trPr>
        <w:tc>
          <w:tcPr>
            <w:tcW w:w="663" w:type="dxa"/>
            <w:tcBorders>
              <w:top w:val="single" w:color="auto" w:sz="4" w:space="0"/>
              <w:left w:val="single" w:color="auto" w:sz="4" w:space="0"/>
              <w:bottom w:val="single" w:color="auto" w:sz="4" w:space="0"/>
              <w:right w:val="single" w:color="auto" w:sz="4" w:space="0"/>
              <w:tl2br w:val="nil"/>
              <w:tr2bl w:val="nil"/>
            </w:tcBorders>
            <w:noWrap/>
            <w:textDirection w:val="tbRlV"/>
            <w:vAlign w:val="center"/>
          </w:tcPr>
          <w:p>
            <w:pPr>
              <w:keepNext/>
              <w:overflowPunct w:val="0"/>
              <w:adjustRightInd w:val="0"/>
              <w:snapToGrid w:val="0"/>
              <w:ind w:left="113" w:right="113"/>
              <w:jc w:val="center"/>
              <w:rPr>
                <w:rFonts w:hint="default"/>
                <w:kern w:val="0"/>
              </w:rPr>
            </w:pPr>
            <w:r>
              <w:rPr>
                <w:rFonts w:ascii="宋体" w:hAnsi="宋体"/>
                <w:spacing w:val="40"/>
                <w:kern w:val="0"/>
              </w:rPr>
              <w:t>五、基础资料（10分）</w:t>
            </w:r>
          </w:p>
        </w:tc>
        <w:tc>
          <w:tcPr>
            <w:tcW w:w="65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台账资料</w:t>
            </w:r>
          </w:p>
        </w:tc>
        <w:tc>
          <w:tcPr>
            <w:tcW w:w="3069"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kern w:val="0"/>
              </w:rPr>
            </w:pPr>
            <w:r>
              <w:rPr>
                <w:rFonts w:ascii="宋体" w:hAnsi="宋体"/>
                <w:kern w:val="0"/>
              </w:rPr>
              <w:t>1.作业规程中防冲措施编制内容齐全、规范，图文清楚、保存完好，执行、考核记录齐全；</w:t>
            </w:r>
          </w:p>
          <w:p>
            <w:pPr>
              <w:widowControl/>
              <w:overflowPunct w:val="0"/>
              <w:adjustRightInd w:val="0"/>
              <w:snapToGrid w:val="0"/>
              <w:jc w:val="left"/>
              <w:rPr>
                <w:rFonts w:hint="default"/>
                <w:kern w:val="0"/>
              </w:rPr>
            </w:pPr>
            <w:r>
              <w:rPr>
                <w:rFonts w:ascii="宋体" w:hAnsi="宋体"/>
                <w:kern w:val="0"/>
              </w:rPr>
              <w:t>2.建立钻孔、爆破、注水等施工参数台账，上图管理；</w:t>
            </w:r>
          </w:p>
          <w:p>
            <w:pPr>
              <w:overflowPunct w:val="0"/>
              <w:adjustRightInd w:val="0"/>
              <w:snapToGrid w:val="0"/>
              <w:jc w:val="left"/>
              <w:rPr>
                <w:rFonts w:hint="default"/>
                <w:kern w:val="0"/>
              </w:rPr>
            </w:pPr>
            <w:r>
              <w:rPr>
                <w:rFonts w:ascii="宋体" w:hAnsi="宋体"/>
                <w:kern w:val="0"/>
              </w:rPr>
              <w:t>3.现场作业记录齐全、真实、有据可查，报表、阶段性工作总结齐全、规范；</w:t>
            </w:r>
          </w:p>
          <w:p>
            <w:pPr>
              <w:widowControl/>
              <w:overflowPunct w:val="0"/>
              <w:adjustRightInd w:val="0"/>
              <w:snapToGrid w:val="0"/>
              <w:rPr>
                <w:rFonts w:hint="default"/>
                <w:kern w:val="0"/>
              </w:rPr>
            </w:pPr>
            <w:r>
              <w:rPr>
                <w:rFonts w:ascii="宋体" w:hAnsi="宋体"/>
                <w:kern w:val="0"/>
              </w:rPr>
              <w:t>4.建立冲击地压记录卡和统计表；</w:t>
            </w:r>
          </w:p>
          <w:p>
            <w:pPr>
              <w:overflowPunct w:val="0"/>
              <w:adjustRightInd w:val="0"/>
              <w:snapToGrid w:val="0"/>
              <w:jc w:val="left"/>
              <w:rPr>
                <w:rFonts w:hint="default"/>
                <w:kern w:val="0"/>
              </w:rPr>
            </w:pPr>
            <w:r>
              <w:rPr>
                <w:rFonts w:ascii="宋体" w:hAnsi="宋体"/>
                <w:kern w:val="0"/>
              </w:rPr>
              <w:t>5.冲击地压危险区域必须进行日常实时监测，并编制监测日报</w:t>
            </w:r>
          </w:p>
        </w:tc>
        <w:tc>
          <w:tcPr>
            <w:tcW w:w="1205"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r>
              <w:rPr>
                <w:rFonts w:ascii="宋体" w:hAnsi="宋体"/>
                <w:kern w:val="0"/>
              </w:rPr>
              <w:t>10</w:t>
            </w:r>
          </w:p>
        </w:tc>
        <w:tc>
          <w:tcPr>
            <w:tcW w:w="2078"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rPr>
                <w:rFonts w:hint="default"/>
                <w:kern w:val="0"/>
              </w:rPr>
            </w:pPr>
            <w:r>
              <w:rPr>
                <w:rFonts w:ascii="宋体" w:hAnsi="宋体"/>
                <w:kern w:val="0"/>
              </w:rPr>
              <w:t>查资料。防冲措施内容不齐全1处扣2分，内容不规范1处扣1分；未建立台账或未上图管理扣5分，台账和图纸不全缺1项扣1分；现场作业记录、报表、阶段性工作总结不齐全1项扣2分；发生冲击地压不及时上报、无记录或瞒报不得分；未建立冲击地压记录卡和统计表1项扣2分；未建立监测日报1处扣2分，内容不全1处扣0.5分</w:t>
            </w:r>
          </w:p>
        </w:tc>
        <w:tc>
          <w:tcPr>
            <w:tcW w:w="1856" w:type="dxa"/>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center"/>
              <w:rPr>
                <w:rFonts w:hint="default"/>
                <w:kern w:val="0"/>
              </w:rPr>
            </w:pPr>
          </w:p>
          <w:p>
            <w:pPr>
              <w:widowControl/>
              <w:overflowPunct w:val="0"/>
              <w:adjustRightInd w:val="0"/>
              <w:snapToGrid w:val="0"/>
              <w:jc w:val="center"/>
              <w:rPr>
                <w:rFonts w:hint="default"/>
                <w:kern w:val="0"/>
              </w:rPr>
            </w:pPr>
          </w:p>
          <w:p>
            <w:pPr>
              <w:widowControl/>
              <w:overflowPunct w:val="0"/>
              <w:adjustRightInd w:val="0"/>
              <w:snapToGrid w:val="0"/>
              <w:jc w:val="center"/>
              <w:rPr>
                <w:rFonts w:hint="default"/>
                <w:kern w:val="0"/>
              </w:rPr>
            </w:pPr>
          </w:p>
          <w:p>
            <w:pPr>
              <w:widowControl/>
              <w:overflowPunct w:val="0"/>
              <w:adjustRightInd w:val="0"/>
              <w:snapToGrid w:val="0"/>
              <w:jc w:val="center"/>
              <w:rPr>
                <w:rFonts w:hint="default"/>
                <w:kern w:val="0"/>
              </w:rPr>
            </w:pPr>
          </w:p>
          <w:p>
            <w:pPr>
              <w:widowControl/>
              <w:overflowPunct w:val="0"/>
              <w:adjustRightInd w:val="0"/>
              <w:snapToGrid w:val="0"/>
              <w:jc w:val="center"/>
              <w:rPr>
                <w:rFonts w:hint="eastAsia" w:ascii="宋体" w:hAnsi="宋体" w:cs="Times New Roman"/>
                <w:kern w:val="0"/>
                <w:szCs w:val="22"/>
                <w:lang w:val="en-US" w:eastAsia="zh-CN"/>
              </w:rPr>
            </w:pPr>
            <w:r>
              <w:rPr>
                <w:rFonts w:hint="eastAsia" w:ascii="宋体" w:hAnsi="宋体" w:cs="Times New Roman"/>
                <w:kern w:val="0"/>
                <w:szCs w:val="22"/>
                <w:lang w:val="en-US" w:eastAsia="zh-CN"/>
              </w:rPr>
              <w:t>9</w:t>
            </w:r>
          </w:p>
          <w:p>
            <w:pPr>
              <w:widowControl/>
              <w:overflowPunct w:val="0"/>
              <w:adjustRightInd w:val="0"/>
              <w:snapToGrid w:val="0"/>
              <w:jc w:val="center"/>
              <w:rPr>
                <w:rFonts w:hint="default" w:ascii="宋体" w:hAnsi="宋体" w:cs="Times New Roman"/>
                <w:kern w:val="0"/>
                <w:szCs w:val="22"/>
                <w:lang w:val="en-US" w:eastAsia="zh-CN"/>
              </w:rPr>
            </w:pPr>
            <w:r>
              <w:rPr>
                <w:rFonts w:hint="eastAsia" w:ascii="宋体" w:hAnsi="宋体" w:cs="Times New Roman"/>
                <w:kern w:val="0"/>
                <w:szCs w:val="22"/>
                <w:lang w:val="en-US" w:eastAsia="zh-CN"/>
              </w:rPr>
              <w:t>迎头煤体爆破台账未填写-1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9529" w:type="dxa"/>
            <w:gridSpan w:val="6"/>
            <w:tcBorders>
              <w:top w:val="single" w:color="auto" w:sz="4" w:space="0"/>
              <w:left w:val="single" w:color="auto" w:sz="4" w:space="0"/>
              <w:bottom w:val="single" w:color="auto" w:sz="4" w:space="0"/>
              <w:right w:val="single" w:color="auto" w:sz="4" w:space="0"/>
              <w:tl2br w:val="nil"/>
              <w:tr2bl w:val="nil"/>
            </w:tcBorders>
            <w:noWrap/>
            <w:vAlign w:val="center"/>
          </w:tcPr>
          <w:p>
            <w:pPr>
              <w:widowControl/>
              <w:overflowPunct w:val="0"/>
              <w:adjustRightInd w:val="0"/>
              <w:snapToGrid w:val="0"/>
              <w:jc w:val="left"/>
              <w:rPr>
                <w:rFonts w:hint="default" w:eastAsia="宋体"/>
                <w:kern w:val="0"/>
                <w:lang w:val="en-US" w:eastAsia="zh-CN"/>
              </w:rPr>
            </w:pPr>
            <w:r>
              <w:t>得分合计：</w:t>
            </w:r>
            <w:r>
              <w:rPr>
                <w:rFonts w:hint="eastAsia" w:ascii="宋体" w:hAnsi="宋体" w:eastAsia="宋体" w:cs="Times New Roman"/>
                <w:kern w:val="0"/>
                <w:szCs w:val="22"/>
                <w:lang w:val="en-US" w:eastAsia="zh-CN"/>
              </w:rPr>
              <w:t>9</w:t>
            </w:r>
            <w:r>
              <w:rPr>
                <w:rFonts w:hint="eastAsia" w:ascii="宋体" w:hAnsi="宋体" w:cs="Times New Roman"/>
                <w:kern w:val="0"/>
                <w:szCs w:val="22"/>
                <w:lang w:val="en-US" w:eastAsia="zh-CN"/>
              </w:rPr>
              <w:t>2</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C02C53"/>
    <w:rsid w:val="120C0769"/>
    <w:rsid w:val="2175657A"/>
    <w:rsid w:val="31C02C53"/>
    <w:rsid w:val="380C39AF"/>
    <w:rsid w:val="3A38768D"/>
    <w:rsid w:val="407B3626"/>
    <w:rsid w:val="67A5598F"/>
    <w:rsid w:val="7AFF3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widowControl w:val="0"/>
      <w:jc w:val="both"/>
    </w:pPr>
    <w:rPr>
      <w:rFonts w:hint="eastAsia" w:ascii="Calibri" w:hAnsi="Calibri"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附录表标题"/>
    <w:basedOn w:val="1"/>
    <w:next w:val="5"/>
    <w:unhideWhenUsed/>
    <w:qFormat/>
    <w:uiPriority w:val="99"/>
    <w:pPr>
      <w:tabs>
        <w:tab w:val="left" w:pos="180"/>
        <w:tab w:val="left" w:pos="1440"/>
      </w:tabs>
      <w:spacing w:beforeLines="50" w:afterLines="50"/>
      <w:ind w:left="1440" w:hanging="720"/>
      <w:jc w:val="center"/>
    </w:pPr>
    <w:rPr>
      <w:rFonts w:ascii="黑体" w:hAnsi="Times New Roman" w:eastAsia="黑体"/>
    </w:rPr>
  </w:style>
  <w:style w:type="paragraph" w:customStyle="1" w:styleId="5">
    <w:name w:val="段"/>
    <w:unhideWhenUsed/>
    <w:qFormat/>
    <w:uiPriority w:val="99"/>
    <w:pPr>
      <w:tabs>
        <w:tab w:val="center" w:pos="4201"/>
        <w:tab w:val="right" w:leader="dot" w:pos="9298"/>
      </w:tabs>
      <w:autoSpaceDE w:val="0"/>
      <w:autoSpaceDN w:val="0"/>
      <w:ind w:firstLine="420" w:firstLineChars="200"/>
      <w:jc w:val="both"/>
    </w:pPr>
    <w:rPr>
      <w:rFonts w:hint="eastAsia" w:ascii="宋体"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2021-02-19T02:35:00Z</dcterms:created>
  <dc:creator>Administrator</dc:creator>
  <cp:lastModifiedBy>WPS_1612409420</cp:lastModifiedBy>
  <cp:lastPrinted>2021-05-07T09:28:00Z</cp:lastPrinted>
  <dcterms:modified xsi:type="dcterms:W3CDTF">2021-06-03T09:51:35Z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A75A062961554D158F46ABD880C9DCC2</vt:lpwstr>
  </property>
</Properties>
</file>