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hint="eastAsia" w:ascii="仿宋_GB2312" w:eastAsia="仿宋_GB2312"/>
          <w:b/>
          <w:sz w:val="44"/>
          <w:szCs w:val="44"/>
        </w:rPr>
        <w:t>每周安全简报</w:t>
      </w:r>
    </w:p>
    <w:p>
      <w:pPr>
        <w:jc w:val="center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2020.1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.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17</w:t>
      </w:r>
      <w:r>
        <w:rPr>
          <w:rFonts w:hint="eastAsia" w:ascii="仿宋_GB2312" w:eastAsia="仿宋_GB2312"/>
          <w:sz w:val="28"/>
          <w:szCs w:val="28"/>
        </w:rPr>
        <w:t>—2020.1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.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23</w:t>
      </w:r>
    </w:p>
    <w:p>
      <w:pPr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一、全国各类安全事故通报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7" w:afterLines="50" w:line="460" w:lineRule="exact"/>
        <w:ind w:firstLine="600" w:firstLineChars="200"/>
        <w:textAlignment w:val="auto"/>
        <w:rPr>
          <w:rFonts w:hint="default" w:ascii="仿宋_GB2312" w:eastAsia="仿宋_GB2312"/>
          <w:b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 w:val="0"/>
          <w:bCs/>
          <w:sz w:val="30"/>
          <w:szCs w:val="30"/>
          <w:lang w:val="en-US" w:eastAsia="zh-CN"/>
        </w:rPr>
        <w:t>1、2020年12月22日中班，钱郢孜煤矿掘进二区开拓一队在W3210机巷进尺施工，带班班长邓兵与康超（伤者）配合在迎头打顶部锚杆，20时58分左右康超（伤者）被迎头端面顶板500mm下一块300×300×200mm的活矸滚落碰到腰部，造成腰1椎体右侧横突骨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7" w:afterLines="50" w:line="460" w:lineRule="exact"/>
        <w:textAlignment w:val="auto"/>
        <w:rPr>
          <w:rFonts w:hint="eastAsia" w:ascii="仿宋_GB2312" w:eastAsia="仿宋_GB2312"/>
          <w:b/>
          <w:sz w:val="28"/>
          <w:szCs w:val="28"/>
          <w:lang w:eastAsia="zh-CN"/>
        </w:rPr>
      </w:pPr>
      <w:r>
        <w:rPr>
          <w:rFonts w:hint="eastAsia" w:ascii="仿宋_GB2312" w:eastAsia="仿宋_GB2312"/>
          <w:b/>
          <w:sz w:val="30"/>
          <w:szCs w:val="30"/>
        </w:rPr>
        <w:t>二、本周</w:t>
      </w:r>
      <w:r>
        <w:rPr>
          <w:rFonts w:hint="eastAsia" w:ascii="仿宋_GB2312" w:eastAsia="仿宋_GB2312"/>
          <w:b/>
          <w:sz w:val="28"/>
          <w:szCs w:val="28"/>
        </w:rPr>
        <w:t>矿上及部门检查问题情况</w:t>
      </w:r>
      <w:r>
        <w:rPr>
          <w:rFonts w:hint="eastAsia" w:ascii="仿宋_GB2312" w:eastAsia="仿宋_GB2312"/>
          <w:b/>
          <w:sz w:val="28"/>
          <w:szCs w:val="28"/>
          <w:lang w:eastAsia="zh-CN"/>
        </w:rPr>
        <w:t>汇总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陕西省煤矿安全监察局检查问题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5条，</w:t>
      </w:r>
      <w:r>
        <w:rPr>
          <w:rFonts w:hint="eastAsia" w:ascii="仿宋_GB2312" w:eastAsia="仿宋_GB2312"/>
          <w:sz w:val="28"/>
          <w:szCs w:val="28"/>
          <w:lang w:eastAsia="zh-CN"/>
        </w:rPr>
        <w:t>矿内部</w:t>
      </w:r>
      <w:r>
        <w:rPr>
          <w:rFonts w:hint="eastAsia" w:ascii="仿宋_GB2312" w:eastAsia="仿宋_GB2312"/>
          <w:sz w:val="28"/>
          <w:szCs w:val="28"/>
        </w:rPr>
        <w:t>检查问题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140</w:t>
      </w:r>
      <w:r>
        <w:rPr>
          <w:rFonts w:hint="eastAsia" w:ascii="仿宋_GB2312" w:eastAsia="仿宋_GB2312"/>
          <w:sz w:val="28"/>
          <w:szCs w:val="28"/>
        </w:rPr>
        <w:t>条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</w:rPr>
        <w:t>各单位所占比例如下图所示</w:t>
      </w:r>
      <w:r>
        <w:rPr>
          <w:rFonts w:hint="eastAsia" w:ascii="仿宋_GB2312" w:eastAsia="仿宋_GB2312"/>
          <w:sz w:val="28"/>
          <w:szCs w:val="28"/>
          <w:lang w:eastAsia="zh-CN"/>
        </w:rPr>
        <w:t>：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</w:p>
    <w:p>
      <w:pPr>
        <w:ind w:firstLine="420" w:firstLineChars="200"/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drawing>
          <wp:inline distT="0" distB="0" distL="114300" distR="114300">
            <wp:extent cx="5787390" cy="4852035"/>
            <wp:effectExtent l="4445" t="4445" r="18415" b="20320"/>
            <wp:docPr id="19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仿宋_GB2312" w:eastAsia="仿宋_GB2312"/>
          <w:sz w:val="24"/>
          <w:szCs w:val="24"/>
        </w:rPr>
      </w:pPr>
    </w:p>
    <w:p>
      <w:pPr>
        <w:ind w:firstLine="480" w:firstLineChars="200"/>
        <w:jc w:val="center"/>
        <w:rPr>
          <w:rFonts w:hint="eastAsia" w:ascii="仿宋_GB2312" w:eastAsia="仿宋_GB2312"/>
          <w:sz w:val="24"/>
          <w:szCs w:val="24"/>
        </w:rPr>
      </w:pPr>
    </w:p>
    <w:p>
      <w:pPr>
        <w:ind w:firstLine="480" w:firstLineChars="200"/>
        <w:jc w:val="center"/>
        <w:rPr>
          <w:rFonts w:hint="eastAsia" w:ascii="仿宋_GB2312" w:eastAsia="仿宋_GB2312"/>
          <w:sz w:val="24"/>
          <w:szCs w:val="24"/>
        </w:rPr>
      </w:pPr>
    </w:p>
    <w:p>
      <w:pPr>
        <w:ind w:firstLine="480" w:firstLineChars="20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本周各单位检查问题比例图</w:t>
      </w:r>
    </w:p>
    <w:p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/>
          <w:b/>
          <w:sz w:val="30"/>
          <w:szCs w:val="30"/>
        </w:rPr>
        <w:br w:type="page"/>
      </w:r>
      <w:r>
        <w:rPr>
          <w:rFonts w:hint="eastAsia" w:ascii="仿宋_GB2312" w:eastAsia="仿宋_GB2312"/>
          <w:b/>
          <w:sz w:val="30"/>
          <w:szCs w:val="30"/>
          <w:lang w:eastAsia="zh-CN"/>
        </w:rPr>
        <w:t>三</w:t>
      </w:r>
      <w:r>
        <w:rPr>
          <w:rFonts w:hint="eastAsia" w:ascii="仿宋_GB2312" w:eastAsia="仿宋_GB2312"/>
          <w:b/>
          <w:sz w:val="30"/>
          <w:szCs w:val="30"/>
        </w:rPr>
        <w:t>、本周工作动态</w:t>
      </w:r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（一）三科一室一周工作小结</w:t>
      </w:r>
    </w:p>
    <w:p>
      <w:pPr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①采掘科</w:t>
      </w:r>
    </w:p>
    <w:p>
      <w:pPr>
        <w:ind w:firstLine="280" w:firstLineChars="1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1、检查采掘专业安全生产标准化：1305工作面、1305回风绕道、+980回风大巷、+980辅助运输大巷</w:t>
      </w:r>
    </w:p>
    <w:p>
      <w:pPr>
        <w:ind w:firstLine="280" w:firstLineChars="1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2、重点监管1304机巷、风巷无极绳安全运输，确保无极绳运输期间的安全管理。</w:t>
      </w:r>
    </w:p>
    <w:p>
      <w:pPr>
        <w:ind w:firstLine="280" w:firstLineChars="1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3、检查1305工作面支架单体初撑力、锚杆、锚索支护管理体系、三、四岔门安全管理；</w:t>
      </w:r>
    </w:p>
    <w:p>
      <w:pPr>
        <w:ind w:firstLine="280" w:firstLineChars="1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4、对有掉道的车辆监督管理，确保安全复道。</w:t>
      </w:r>
    </w:p>
    <w:p>
      <w:pPr>
        <w:ind w:firstLine="280" w:firstLineChars="1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5、对设备、材料定制化进行了日常检查和考核。</w:t>
      </w:r>
    </w:p>
    <w:p>
      <w:pPr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②机运科</w:t>
      </w:r>
    </w:p>
    <w:p>
      <w:pPr>
        <w:numPr>
          <w:ilvl w:val="0"/>
          <w:numId w:val="1"/>
        </w:numPr>
        <w:spacing w:line="460" w:lineRule="exact"/>
        <w:ind w:firstLine="280" w:firstLineChars="1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对井下无极绳、绞车、皮带机系统进行检查。</w:t>
      </w:r>
    </w:p>
    <w:p>
      <w:pPr>
        <w:numPr>
          <w:ilvl w:val="0"/>
          <w:numId w:val="1"/>
        </w:numPr>
        <w:spacing w:line="460" w:lineRule="exact"/>
        <w:ind w:firstLine="280" w:firstLineChars="100"/>
        <w:rPr>
          <w:rFonts w:hint="eastAsia" w:ascii="仿宋_GB2312" w:eastAsia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auto"/>
          <w:sz w:val="28"/>
          <w:szCs w:val="28"/>
          <w:lang w:val="en-US" w:eastAsia="zh-CN"/>
        </w:rPr>
        <w:t>地面瓦斯泵站进行检查。</w:t>
      </w:r>
    </w:p>
    <w:p>
      <w:pPr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③通修科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1、每日收集分析束管监测数据。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2、重点监督1305工作面瓦斯治理和防灭火情况及两巷端头管理情况。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3、重点监督1304工作面局部通风和防灭火管理。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4、按排定计划推行质量标准化工作。</w:t>
      </w:r>
    </w:p>
    <w:p>
      <w:pPr>
        <w:rPr>
          <w:rFonts w:hint="eastAsia" w:ascii="仿宋_GB2312" w:eastAsia="仿宋_GB2312"/>
          <w:b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/>
          <w:sz w:val="30"/>
          <w:szCs w:val="30"/>
          <w:lang w:val="en-US" w:eastAsia="zh-CN"/>
        </w:rPr>
        <w:t>④办公室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1.编制下发了《关于印发开展岁末年初安全攻坚行动实施方案的通知》（陕招安全〔2020〕242号 ）。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2.编制完成对照陕西省及集团公司安全生产大排查的文件自查报告。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3.起草了招贤矿业安全生产大排查实施方案草稿。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4.报送了陕安委办发41号文件要求的报表。</w:t>
      </w:r>
    </w:p>
    <w:p>
      <w:pPr>
        <w:numPr>
          <w:ilvl w:val="0"/>
          <w:numId w:val="0"/>
        </w:numPr>
        <w:ind w:firstLine="281" w:firstLineChars="100"/>
        <w:rPr>
          <w:rFonts w:hint="eastAsia" w:ascii="仿宋_GB2312" w:eastAsia="仿宋_GB2312"/>
          <w:b/>
          <w:sz w:val="28"/>
          <w:szCs w:val="28"/>
          <w:lang w:eastAsia="zh-CN"/>
        </w:rPr>
      </w:pPr>
      <w:r>
        <w:rPr>
          <w:rFonts w:hint="eastAsia" w:ascii="仿宋_GB2312" w:eastAsia="仿宋_GB2312"/>
          <w:b/>
          <w:sz w:val="28"/>
          <w:szCs w:val="28"/>
          <w:lang w:eastAsia="zh-CN"/>
        </w:rPr>
        <w:t>（二）下周计划：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eastAsia="仿宋_GB2312"/>
          <w:b w:val="0"/>
          <w:bCs/>
          <w:sz w:val="28"/>
          <w:szCs w:val="28"/>
          <w:lang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eastAsia="zh-CN"/>
        </w:rPr>
        <w:t>1、组织小班安监员学习《1305工作面作业规程》，对1305工作面严格按照要求执行。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eastAsia="仿宋_GB2312"/>
          <w:b w:val="0"/>
          <w:bCs/>
          <w:sz w:val="28"/>
          <w:szCs w:val="28"/>
          <w:lang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eastAsia="zh-CN"/>
        </w:rPr>
        <w:t>2、监管1304工作面、1305工作面无极绳运输管理；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eastAsia="仿宋_GB2312"/>
          <w:b w:val="0"/>
          <w:bCs/>
          <w:sz w:val="28"/>
          <w:szCs w:val="28"/>
          <w:lang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eastAsia="zh-CN"/>
        </w:rPr>
        <w:t>3、监管锚杆、锚索管理体系的运行。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eastAsia="仿宋_GB2312"/>
          <w:b w:val="0"/>
          <w:bCs/>
          <w:sz w:val="28"/>
          <w:szCs w:val="28"/>
          <w:lang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eastAsia="zh-CN"/>
        </w:rPr>
        <w:t>4、加大反“三违”力度，零星作业、烧焊作业的日常检查；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eastAsia="仿宋_GB2312"/>
          <w:b w:val="0"/>
          <w:bCs/>
          <w:sz w:val="28"/>
          <w:szCs w:val="28"/>
          <w:lang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eastAsia="zh-CN"/>
        </w:rPr>
        <w:t>5、重点监管1304出架联巷慢速绞车、设备的检修记录，确保出架期间的安全。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eastAsia="仿宋_GB2312"/>
          <w:b w:val="0"/>
          <w:bCs/>
          <w:sz w:val="28"/>
          <w:szCs w:val="28"/>
          <w:lang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b w:val="0"/>
          <w:bCs/>
          <w:sz w:val="28"/>
          <w:szCs w:val="28"/>
          <w:lang w:eastAsia="zh-CN"/>
        </w:rPr>
        <w:t>、监管无极绳、斜巷运输管理；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  <w:t>7、关注1304工作面收作施工进度情况；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textAlignment w:val="auto"/>
        <w:rPr>
          <w:rFonts w:hint="default" w:ascii="仿宋_GB2312" w:eastAsia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  <w:t>8、关注1305工作面回采期间瓦斯、防冲、防灭火管理。</w:t>
      </w:r>
      <w:bookmarkStart w:id="0" w:name="_GoBack"/>
      <w:bookmarkEnd w:id="0"/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（</w:t>
      </w:r>
      <w:r>
        <w:rPr>
          <w:rFonts w:hint="eastAsia" w:ascii="仿宋_GB2312" w:eastAsia="仿宋_GB2312"/>
          <w:b/>
          <w:sz w:val="28"/>
          <w:szCs w:val="28"/>
          <w:lang w:eastAsia="zh-CN"/>
        </w:rPr>
        <w:t>三</w:t>
      </w:r>
      <w:r>
        <w:rPr>
          <w:rFonts w:hint="eastAsia" w:ascii="仿宋_GB2312" w:eastAsia="仿宋_GB2312"/>
          <w:b/>
          <w:sz w:val="28"/>
          <w:szCs w:val="28"/>
        </w:rPr>
        <w:t>）各级下发文件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矿: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1、《陕招安全〔2020〕242号 关于印发开展岁末年初安全攻坚行动实施方案的通知》</w:t>
      </w:r>
      <w:r>
        <w:rPr>
          <w:rFonts w:hint="eastAsia" w:ascii="仿宋_GB2312" w:eastAsia="仿宋_GB2312"/>
          <w:sz w:val="28"/>
          <w:szCs w:val="28"/>
          <w:lang w:eastAsia="zh-CN"/>
        </w:rPr>
        <w:br w:type="page"/>
      </w:r>
    </w:p>
    <w:p>
      <w:pPr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eastAsia="zh-CN"/>
        </w:rPr>
        <w:t>四、</w:t>
      </w:r>
      <w:r>
        <w:rPr>
          <w:rFonts w:hint="eastAsia" w:ascii="仿宋_GB2312" w:eastAsia="仿宋_GB2312"/>
          <w:b/>
          <w:sz w:val="32"/>
          <w:szCs w:val="32"/>
        </w:rPr>
        <w:t>曝光台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  <w:t>1、1304机巷轨道接头间隙超标。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 w:ascii="仿宋_GB2312" w:eastAsia="仿宋_GB2312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104775</wp:posOffset>
            </wp:positionV>
            <wp:extent cx="3636645" cy="4344670"/>
            <wp:effectExtent l="9525" t="9525" r="11430" b="27305"/>
            <wp:wrapTopAndBottom/>
            <wp:docPr id="1" name="图片 1" descr="647f64aab57ffa4009d00f7ca0e7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7f64aab57ffa4009d00f7ca0e7ae9"/>
                    <pic:cNvPicPr>
                      <a:picLocks noChangeAspect="1"/>
                    </pic:cNvPicPr>
                  </pic:nvPicPr>
                  <pic:blipFill>
                    <a:blip r:embed="rId6"/>
                    <a:srcRect b="10410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4344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2、1305机联巷口阻车器基础倾斜严重。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66235" cy="3459480"/>
            <wp:effectExtent l="9525" t="9525" r="15240" b="17145"/>
            <wp:docPr id="2" name="图片 2" descr="abc415b5dd1fd94f2efd71516f16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c415b5dd1fd94f2efd71516f1613f"/>
                    <pic:cNvPicPr>
                      <a:picLocks noChangeAspect="1"/>
                    </pic:cNvPicPr>
                  </pic:nvPicPr>
                  <pic:blipFill>
                    <a:blip r:embed="rId7"/>
                    <a:srcRect t="29321" b="8402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345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jc w:val="center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1305机巷皮带机打运物料间距不符合作业规程要求。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19470" cy="3765550"/>
            <wp:effectExtent l="9525" t="9525" r="14605" b="15875"/>
            <wp:docPr id="3" name="图片 3" descr="fc2ee0c799f575976ec6114255b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2ee0c799f575976ec6114255b1151"/>
                    <pic:cNvPicPr>
                      <a:picLocks noChangeAspect="1"/>
                    </pic:cNvPicPr>
                  </pic:nvPicPr>
                  <pic:blipFill>
                    <a:blip r:embed="rId8"/>
                    <a:srcRect l="4940" t="25784" r="7340" b="-188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76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4、1305机巷无极绳梭车卡轨轮不齐全。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133350</wp:posOffset>
            </wp:positionV>
            <wp:extent cx="6121400" cy="4289425"/>
            <wp:effectExtent l="9525" t="9525" r="22225" b="25400"/>
            <wp:wrapTopAndBottom/>
            <wp:docPr id="4" name="图片 4" descr="943b79bd425280e1b358fffab38e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43b79bd425280e1b358fffab38e37c"/>
                    <pic:cNvPicPr>
                      <a:picLocks noChangeAspect="1"/>
                    </pic:cNvPicPr>
                  </pic:nvPicPr>
                  <pic:blipFill>
                    <a:blip r:embed="rId9"/>
                    <a:srcRect l="7057" t="9975" r="7057" b="978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28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5、井下柴油机硐室绞车钢丝绳检修记录钢丝绳直径都是一样数值。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2590" cy="3670935"/>
            <wp:effectExtent l="9525" t="9525" r="13335" b="15240"/>
            <wp:docPr id="5" name="图片 5" descr="dc0a8c938d5f257c1b74fdfd775d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0a8c938d5f257c1b74fdfd775d91d"/>
                    <pic:cNvPicPr>
                      <a:picLocks noChangeAspect="1"/>
                    </pic:cNvPicPr>
                  </pic:nvPicPr>
                  <pic:blipFill>
                    <a:blip r:embed="rId10"/>
                    <a:srcRect b="1072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3670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6、地面瓦斯泵站西门口杂物摆放较乱。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214630</wp:posOffset>
            </wp:positionV>
            <wp:extent cx="5476875" cy="3596005"/>
            <wp:effectExtent l="9525" t="9525" r="19050" b="13970"/>
            <wp:wrapTopAndBottom/>
            <wp:docPr id="8" name="图片 8" descr="816d9618ee9c593224087d06b5d5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6d9618ee9c593224087d06b5d5d47"/>
                    <pic:cNvPicPr>
                      <a:picLocks noChangeAspect="1"/>
                    </pic:cNvPicPr>
                  </pic:nvPicPr>
                  <pic:blipFill>
                    <a:blip r:embed="rId11"/>
                    <a:srcRect t="2254" b="1032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96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jc w:val="center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Chars="0"/>
        <w:jc w:val="center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55260" cy="3465195"/>
            <wp:effectExtent l="9525" t="9525" r="12065" b="11430"/>
            <wp:docPr id="7" name="图片 7" descr="9c750dbfcd18021f719a91b3cfe4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c750dbfcd18021f719a91b3cfe4a1b"/>
                    <pic:cNvPicPr>
                      <a:picLocks noChangeAspect="1"/>
                    </pic:cNvPicPr>
                  </pic:nvPicPr>
                  <pic:blipFill>
                    <a:blip r:embed="rId12"/>
                    <a:srcRect b="1220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465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60" w:lineRule="exact"/>
        <w:ind w:left="630" w:leftChars="3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655955</wp:posOffset>
            </wp:positionV>
            <wp:extent cx="4592955" cy="3444875"/>
            <wp:effectExtent l="0" t="0" r="17145" b="3175"/>
            <wp:wrapTopAndBottom/>
            <wp:docPr id="9" name="图片 1" descr="1595c1c319c7bbc23af341e04812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595c1c319c7bbc23af341e048122d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7、1305机巷单体未穿鞋。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6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tabs>
          <w:tab w:val="left" w:pos="1608"/>
        </w:tabs>
        <w:bidi w:val="0"/>
        <w:ind w:firstLine="1400" w:firstLineChars="50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8、1305风巷回风绕道锚索外露长。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Calibri" w:eastAsia="宋体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17145</wp:posOffset>
            </wp:positionV>
            <wp:extent cx="3481705" cy="4156710"/>
            <wp:effectExtent l="0" t="0" r="4445" b="15240"/>
            <wp:wrapTopAndBottom/>
            <wp:docPr id="10" name="图片 2" descr="f03ec5d0b63b62bb88e2f0ecc1f6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f03ec5d0b63b62bb88e2f0ecc1f6bd9"/>
                    <pic:cNvPicPr>
                      <a:picLocks noChangeAspect="1"/>
                    </pic:cNvPicPr>
                  </pic:nvPicPr>
                  <pic:blipFill>
                    <a:blip r:embed="rId14"/>
                    <a:srcRect b="10464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9、1305风巷回风绕道锚索捋。</w:t>
      </w:r>
    </w:p>
    <w:p>
      <w:pPr>
        <w:tabs>
          <w:tab w:val="left" w:pos="105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5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3"/>
        </w:tabs>
        <w:bidi w:val="0"/>
        <w:jc w:val="left"/>
        <w:rPr>
          <w:rFonts w:hint="eastAsia" w:ascii="Calibri" w:eastAsia="宋体"/>
          <w:lang w:val="en-US" w:eastAsia="zh-CN"/>
        </w:rPr>
      </w:pPr>
      <w:r>
        <w:rPr>
          <w:rFonts w:hint="eastAsia" w:ascii="Calibri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152400</wp:posOffset>
            </wp:positionV>
            <wp:extent cx="2830195" cy="3354705"/>
            <wp:effectExtent l="0" t="0" r="8255" b="17145"/>
            <wp:wrapTopAndBottom/>
            <wp:docPr id="11" name="图片 3" descr="e65c8e751ee623b49a1048305ecf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65c8e751ee623b49a1048305ecfe33"/>
                    <pic:cNvPicPr>
                      <a:picLocks noChangeAspect="1"/>
                    </pic:cNvPicPr>
                  </pic:nvPicPr>
                  <pic:blipFill>
                    <a:blip r:embed="rId15"/>
                    <a:srcRect b="11106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14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1400" w:firstLineChars="5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10、1305回风绕道锚杆崩落；</w:t>
      </w:r>
    </w:p>
    <w:p>
      <w:pPr>
        <w:tabs>
          <w:tab w:val="left" w:pos="2148"/>
        </w:tabs>
        <w:bidi w:val="0"/>
        <w:jc w:val="left"/>
        <w:rPr>
          <w:rFonts w:hint="eastAsia" w:ascii="Calibri" w:eastAsia="宋体"/>
          <w:lang w:val="en-US" w:eastAsia="zh-CN"/>
        </w:rPr>
      </w:pPr>
      <w:r>
        <w:rPr>
          <w:rFonts w:hint="eastAsia" w:ascii="Calibri" w:eastAsia="宋体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190500</wp:posOffset>
            </wp:positionV>
            <wp:extent cx="2819400" cy="3397885"/>
            <wp:effectExtent l="0" t="0" r="0" b="12065"/>
            <wp:wrapTopAndBottom/>
            <wp:docPr id="12" name="图片 4" descr="036f32c191d13cee068ed0b04eb9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036f32c191d13cee068ed0b04eb945e"/>
                    <pic:cNvPicPr>
                      <a:picLocks noChangeAspect="1"/>
                    </pic:cNvPicPr>
                  </pic:nvPicPr>
                  <pic:blipFill>
                    <a:blip r:embed="rId16"/>
                    <a:srcRect b="962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11、1305回风绕道皮带机尾浮煤未及时清理</w:t>
      </w:r>
    </w:p>
    <w:p>
      <w:pPr>
        <w:ind w:firstLine="1050" w:firstLineChars="500"/>
        <w:rPr>
          <w:rFonts w:hint="eastAsia"/>
          <w:lang w:val="en-US" w:eastAsia="zh-CN"/>
        </w:rPr>
      </w:pPr>
    </w:p>
    <w:p>
      <w:pPr>
        <w:tabs>
          <w:tab w:val="left" w:pos="72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104140</wp:posOffset>
            </wp:positionV>
            <wp:extent cx="4108450" cy="3081655"/>
            <wp:effectExtent l="0" t="0" r="6350" b="4445"/>
            <wp:wrapTopAndBottom/>
            <wp:docPr id="13" name="图片 5" descr="6205c0179e8e3d572fd1e4e2dcd8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6205c0179e8e3d572fd1e4e2dcd81b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ind w:firstLine="1400" w:firstLineChars="5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12、1305回风绕道网片搭接不合理。</w:t>
      </w:r>
    </w:p>
    <w:p>
      <w:pPr>
        <w:ind w:firstLine="1120" w:firstLineChars="4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1406525</wp:posOffset>
            </wp:positionH>
            <wp:positionV relativeFrom="paragraph">
              <wp:posOffset>162560</wp:posOffset>
            </wp:positionV>
            <wp:extent cx="3656330" cy="4875530"/>
            <wp:effectExtent l="0" t="0" r="1270" b="0"/>
            <wp:wrapTopAndBottom/>
            <wp:docPr id="14" name="图片 6" descr="37706f528201972d1ca385a13ae0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37706f528201972d1ca385a13ae020e"/>
                    <pic:cNvPicPr>
                      <a:picLocks noChangeAspect="1"/>
                    </pic:cNvPicPr>
                  </pic:nvPicPr>
                  <pic:blipFill>
                    <a:blip r:embed="rId18"/>
                    <a:srcRect b="-11066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13、1305回风绕道锚索外露短。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141605</wp:posOffset>
            </wp:positionV>
            <wp:extent cx="3081020" cy="3642360"/>
            <wp:effectExtent l="0" t="0" r="5080" b="15240"/>
            <wp:wrapTopAndBottom/>
            <wp:docPr id="15" name="图片 7" descr="27fc2aa94301011c6385bf9bcbf2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27fc2aa94301011c6385bf9bcbf23f1"/>
                    <pic:cNvPicPr>
                      <a:picLocks noChangeAspect="1"/>
                    </pic:cNvPicPr>
                  </pic:nvPicPr>
                  <pic:blipFill>
                    <a:blip r:embed="rId19"/>
                    <a:srcRect b="11358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ind w:firstLine="1120" w:firstLineChars="4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14、1305回风绕道锚杆角度不符合要求。</w:t>
      </w:r>
    </w:p>
    <w:p>
      <w:pPr>
        <w:bidi w:val="0"/>
        <w:ind w:firstLine="1104" w:firstLineChars="526"/>
        <w:jc w:val="left"/>
        <w:rPr>
          <w:rFonts w:hint="eastAsia"/>
          <w:lang w:val="en-US" w:eastAsia="zh-CN"/>
        </w:rPr>
      </w:pPr>
    </w:p>
    <w:p>
      <w:pPr>
        <w:ind w:firstLine="1120" w:firstLineChars="4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4715510</wp:posOffset>
            </wp:positionV>
            <wp:extent cx="2864485" cy="3819525"/>
            <wp:effectExtent l="0" t="0" r="12065" b="9525"/>
            <wp:wrapTopAndBottom/>
            <wp:docPr id="17" name="图片 9" descr="3fe60ef208830dc77188140ec3bb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3fe60ef208830dc77188140ec3bb2c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38100</wp:posOffset>
            </wp:positionV>
            <wp:extent cx="3608705" cy="4173855"/>
            <wp:effectExtent l="0" t="0" r="10795" b="17145"/>
            <wp:wrapTopAndBottom/>
            <wp:docPr id="16" name="图片 8" descr="695055e1d47e565ff614ba626756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695055e1d47e565ff614ba6267567db"/>
                    <pic:cNvPicPr>
                      <a:picLocks noChangeAspect="1"/>
                    </pic:cNvPicPr>
                  </pic:nvPicPr>
                  <pic:blipFill>
                    <a:blip r:embed="rId21"/>
                    <a:srcRect b="13262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15、1305风巷绞车滚筒盘绳不符合要求。</w:t>
      </w:r>
    </w:p>
    <w:p>
      <w:pPr>
        <w:bidi w:val="0"/>
        <w:ind w:firstLine="1104" w:firstLineChars="526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13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1120" w:firstLineChars="4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16、1305机巷单体未接实顶板。</w:t>
      </w:r>
    </w:p>
    <w:p>
      <w:pPr>
        <w:tabs>
          <w:tab w:val="left" w:pos="213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238125</wp:posOffset>
            </wp:positionV>
            <wp:extent cx="3184525" cy="3865880"/>
            <wp:effectExtent l="0" t="0" r="15875" b="1270"/>
            <wp:wrapTopAndBottom/>
            <wp:docPr id="18" name="图片 10" descr="aea8d96e435cd3b3de13068b1de1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aea8d96e435cd3b3de13068b1de1b70"/>
                    <pic:cNvPicPr>
                      <a:picLocks noChangeAspect="1"/>
                    </pic:cNvPicPr>
                  </pic:nvPicPr>
                  <pic:blipFill>
                    <a:blip r:embed="rId22"/>
                    <a:srcRect b="8971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123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23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停止作业通报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123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23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2020年12月21日，在月度隐患排查中发现：1305风巷无极绳绞车在主电机散热保护电机毁坏后，仍正常运行使用。根据《皖北煤电集团公司煤矿“四新”停止作业界定标准》第三项第一款第十四条规定：责令1305风巷无极绳绞车停止运行。</w:t>
      </w:r>
    </w:p>
    <w:sectPr>
      <w:headerReference r:id="rId3" w:type="default"/>
      <w:pgSz w:w="11906" w:h="16838"/>
      <w:pgMar w:top="306" w:right="595" w:bottom="306" w:left="663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BAD622"/>
    <w:multiLevelType w:val="singleLevel"/>
    <w:tmpl w:val="99BAD622"/>
    <w:lvl w:ilvl="0" w:tentative="0">
      <w:start w:val="5"/>
      <w:numFmt w:val="chineseCounting"/>
      <w:suff w:val="nothing"/>
      <w:lvlText w:val="%1、"/>
      <w:lvlJc w:val="left"/>
      <w:pPr>
        <w:ind w:left="1233" w:leftChars="0" w:firstLine="0" w:firstLineChars="0"/>
      </w:pPr>
      <w:rPr>
        <w:rFonts w:hint="eastAsia"/>
      </w:rPr>
    </w:lvl>
  </w:abstractNum>
  <w:abstractNum w:abstractNumId="1">
    <w:nsid w:val="F40CBF30"/>
    <w:multiLevelType w:val="singleLevel"/>
    <w:tmpl w:val="F40CBF3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D9824B2"/>
    <w:multiLevelType w:val="singleLevel"/>
    <w:tmpl w:val="0D9824B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61FBC"/>
    <w:rsid w:val="000C474D"/>
    <w:rsid w:val="000F3E1D"/>
    <w:rsid w:val="00123DAC"/>
    <w:rsid w:val="0014570B"/>
    <w:rsid w:val="00150F09"/>
    <w:rsid w:val="00176D23"/>
    <w:rsid w:val="001B1BB1"/>
    <w:rsid w:val="001C37A3"/>
    <w:rsid w:val="001E785E"/>
    <w:rsid w:val="00227E81"/>
    <w:rsid w:val="00234D34"/>
    <w:rsid w:val="00306542"/>
    <w:rsid w:val="003260FE"/>
    <w:rsid w:val="00350CF9"/>
    <w:rsid w:val="00354662"/>
    <w:rsid w:val="003767BE"/>
    <w:rsid w:val="00382C0D"/>
    <w:rsid w:val="003908FB"/>
    <w:rsid w:val="003C3B72"/>
    <w:rsid w:val="003C68B1"/>
    <w:rsid w:val="003D7DEC"/>
    <w:rsid w:val="004044A8"/>
    <w:rsid w:val="004578B1"/>
    <w:rsid w:val="004901CC"/>
    <w:rsid w:val="004914E8"/>
    <w:rsid w:val="004B6C44"/>
    <w:rsid w:val="004F030C"/>
    <w:rsid w:val="00547C77"/>
    <w:rsid w:val="005516AD"/>
    <w:rsid w:val="005855C7"/>
    <w:rsid w:val="005B1E05"/>
    <w:rsid w:val="005C4ABA"/>
    <w:rsid w:val="005E138B"/>
    <w:rsid w:val="005F6939"/>
    <w:rsid w:val="0060423C"/>
    <w:rsid w:val="00636FB3"/>
    <w:rsid w:val="00674A28"/>
    <w:rsid w:val="006902AB"/>
    <w:rsid w:val="0075406B"/>
    <w:rsid w:val="00760882"/>
    <w:rsid w:val="00761FBC"/>
    <w:rsid w:val="007702AC"/>
    <w:rsid w:val="008004CE"/>
    <w:rsid w:val="008174D8"/>
    <w:rsid w:val="00856D14"/>
    <w:rsid w:val="00870184"/>
    <w:rsid w:val="00871ADE"/>
    <w:rsid w:val="008F1DD3"/>
    <w:rsid w:val="009061F7"/>
    <w:rsid w:val="00931E7B"/>
    <w:rsid w:val="00936E6D"/>
    <w:rsid w:val="009423FD"/>
    <w:rsid w:val="00961806"/>
    <w:rsid w:val="00985BC3"/>
    <w:rsid w:val="009C3CB5"/>
    <w:rsid w:val="009D0E42"/>
    <w:rsid w:val="009E1EB8"/>
    <w:rsid w:val="00A30822"/>
    <w:rsid w:val="00A519CC"/>
    <w:rsid w:val="00A76D0D"/>
    <w:rsid w:val="00AB7C95"/>
    <w:rsid w:val="00AD3B30"/>
    <w:rsid w:val="00AF1392"/>
    <w:rsid w:val="00B21941"/>
    <w:rsid w:val="00B43CD6"/>
    <w:rsid w:val="00B573C7"/>
    <w:rsid w:val="00BA2DA1"/>
    <w:rsid w:val="00C05A52"/>
    <w:rsid w:val="00C71E6F"/>
    <w:rsid w:val="00C72AF5"/>
    <w:rsid w:val="00C96BA8"/>
    <w:rsid w:val="00CB3399"/>
    <w:rsid w:val="00CB4EE2"/>
    <w:rsid w:val="00CD62EE"/>
    <w:rsid w:val="00D0752C"/>
    <w:rsid w:val="00D277E4"/>
    <w:rsid w:val="00D321C3"/>
    <w:rsid w:val="00D64597"/>
    <w:rsid w:val="00D764F5"/>
    <w:rsid w:val="00D91213"/>
    <w:rsid w:val="00DA1D46"/>
    <w:rsid w:val="00DA27F0"/>
    <w:rsid w:val="00DC6586"/>
    <w:rsid w:val="00DE4057"/>
    <w:rsid w:val="00E35D7F"/>
    <w:rsid w:val="00E933D1"/>
    <w:rsid w:val="00E969ED"/>
    <w:rsid w:val="00EF6E89"/>
    <w:rsid w:val="00F04270"/>
    <w:rsid w:val="00F251B0"/>
    <w:rsid w:val="00F32013"/>
    <w:rsid w:val="00F62F16"/>
    <w:rsid w:val="00FD159E"/>
    <w:rsid w:val="00FE12F0"/>
    <w:rsid w:val="02C32FB6"/>
    <w:rsid w:val="03520D24"/>
    <w:rsid w:val="08B20B71"/>
    <w:rsid w:val="10E5390B"/>
    <w:rsid w:val="122D6928"/>
    <w:rsid w:val="148D4B78"/>
    <w:rsid w:val="14DF387B"/>
    <w:rsid w:val="16EB4A86"/>
    <w:rsid w:val="17AA222D"/>
    <w:rsid w:val="185F70BE"/>
    <w:rsid w:val="1BBF1F04"/>
    <w:rsid w:val="1BF22CBA"/>
    <w:rsid w:val="1C026D72"/>
    <w:rsid w:val="1D2639E8"/>
    <w:rsid w:val="224D5034"/>
    <w:rsid w:val="22FB1147"/>
    <w:rsid w:val="249C3EC6"/>
    <w:rsid w:val="259A68C3"/>
    <w:rsid w:val="2669701C"/>
    <w:rsid w:val="27B7159F"/>
    <w:rsid w:val="2997190E"/>
    <w:rsid w:val="2B7967F4"/>
    <w:rsid w:val="2B9F142C"/>
    <w:rsid w:val="2C45008E"/>
    <w:rsid w:val="2C9D461E"/>
    <w:rsid w:val="30AE3A77"/>
    <w:rsid w:val="34C747C5"/>
    <w:rsid w:val="359145E4"/>
    <w:rsid w:val="3A0342DE"/>
    <w:rsid w:val="3A2338E2"/>
    <w:rsid w:val="3CA96571"/>
    <w:rsid w:val="3DF559BD"/>
    <w:rsid w:val="42A91973"/>
    <w:rsid w:val="464E5089"/>
    <w:rsid w:val="48703E46"/>
    <w:rsid w:val="4ADC7E31"/>
    <w:rsid w:val="4E674E2B"/>
    <w:rsid w:val="4F871A3D"/>
    <w:rsid w:val="539E5833"/>
    <w:rsid w:val="53ED1FCD"/>
    <w:rsid w:val="53FB60D8"/>
    <w:rsid w:val="58833CCD"/>
    <w:rsid w:val="59F226CE"/>
    <w:rsid w:val="5E96006E"/>
    <w:rsid w:val="5EEA4D2A"/>
    <w:rsid w:val="61B0616D"/>
    <w:rsid w:val="6AD77729"/>
    <w:rsid w:val="6B0C1338"/>
    <w:rsid w:val="6B5B2900"/>
    <w:rsid w:val="6C324E10"/>
    <w:rsid w:val="6C8A2C13"/>
    <w:rsid w:val="6F4E2446"/>
    <w:rsid w:val="702B29F2"/>
    <w:rsid w:val="734747ED"/>
    <w:rsid w:val="75057060"/>
    <w:rsid w:val="77414DF2"/>
    <w:rsid w:val="78777BEE"/>
    <w:rsid w:val="78E45039"/>
    <w:rsid w:val="79CD588D"/>
    <w:rsid w:val="7DC719E2"/>
    <w:rsid w:val="7E79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日期 Char"/>
    <w:basedOn w:val="8"/>
    <w:link w:val="2"/>
    <w:semiHidden/>
    <w:qFormat/>
    <w:uiPriority w:val="99"/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chart" Target="charts/chart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oleObject" Target="file:///D:\desktop\&#38382;&#39064;&#32479;&#3574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explosion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Lbls>
            <c:dLbl>
              <c:idx val="0"/>
              <c:layout>
                <c:manualLayout>
                  <c:x val="-0.130762262665046"/>
                  <c:y val="0.1411091797403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08925647022659"/>
                  <c:y val="-0.034350641324578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9371961428402"/>
                  <c:y val="-0.13774175771145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712836809803168"/>
                  <c:y val="-0.034467065526892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0611944889438629"/>
                  <c:y val="-0.15603227457484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358700734828716"/>
                  <c:y val="0.015252851004689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297600301740328"/>
                  <c:y val="0.0076220975793680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242472115157108"/>
                  <c:y val="-0.060435113712657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82459206783349"/>
                  <c:y val="0.017925095111279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[问题统计.xlsx]Sheet1!$D$3:$D$12</c:f>
              <c:strCache>
                <c:ptCount val="10"/>
                <c:pt idx="0">
                  <c:v>采煤部</c:v>
                </c:pt>
                <c:pt idx="1">
                  <c:v>沈阳钻机队</c:v>
                </c:pt>
                <c:pt idx="2">
                  <c:v>掘进部</c:v>
                </c:pt>
                <c:pt idx="3">
                  <c:v>选煤厂</c:v>
                </c:pt>
                <c:pt idx="4">
                  <c:v>综掘部</c:v>
                </c:pt>
                <c:pt idx="5">
                  <c:v>机电部</c:v>
                </c:pt>
                <c:pt idx="6">
                  <c:v>运输部</c:v>
                </c:pt>
                <c:pt idx="7">
                  <c:v>通防部</c:v>
                </c:pt>
                <c:pt idx="8">
                  <c:v>矿业安装工区</c:v>
                </c:pt>
                <c:pt idx="9">
                  <c:v>后勤部</c:v>
                </c:pt>
              </c:strCache>
            </c:strRef>
          </c:cat>
          <c:val>
            <c:numRef>
              <c:f>[问题统计.xlsx]Sheet1!$E$3:$E$12</c:f>
              <c:numCache>
                <c:formatCode>General</c:formatCode>
                <c:ptCount val="10"/>
                <c:pt idx="0">
                  <c:v>33</c:v>
                </c:pt>
                <c:pt idx="1">
                  <c:v>1</c:v>
                </c:pt>
                <c:pt idx="2">
                  <c:v>17</c:v>
                </c:pt>
                <c:pt idx="3">
                  <c:v>2</c:v>
                </c:pt>
                <c:pt idx="4">
                  <c:v>65</c:v>
                </c:pt>
                <c:pt idx="5">
                  <c:v>3</c:v>
                </c:pt>
                <c:pt idx="6">
                  <c:v>7</c:v>
                </c:pt>
                <c:pt idx="7">
                  <c:v>2</c:v>
                </c:pt>
                <c:pt idx="8">
                  <c:v>14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281</Words>
  <Characters>1606</Characters>
  <Lines>13</Lines>
  <Paragraphs>3</Paragraphs>
  <TotalTime>4</TotalTime>
  <ScaleCrop>false</ScaleCrop>
  <LinksUpToDate>false</LinksUpToDate>
  <CharactersWithSpaces>1884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2020-11-09T09:25:00Z</dcterms:created>
  <dc:creator>lenovo</dc:creator>
  <cp:lastModifiedBy>lenovo</cp:lastModifiedBy>
  <dcterms:modified xsi:type="dcterms:W3CDTF">2020-12-26T00:57:43Z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