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4"/>
          <w:szCs w:val="44"/>
        </w:rPr>
      </w:pPr>
      <w:bookmarkStart w:id="0" w:name="_GoBack"/>
      <w:bookmarkEnd w:id="0"/>
      <w:r>
        <w:rPr>
          <w:rFonts w:hint="eastAsia" w:ascii="Calibri" w:hAnsi="Calibri" w:eastAsia="宋体" w:cs="Times New Roman"/>
          <w:b/>
          <w:bCs/>
          <w:sz w:val="44"/>
          <w:szCs w:val="44"/>
        </w:rPr>
        <w:t>招贤矿业有限公司事故案例警示教育检查情况</w:t>
      </w:r>
    </w:p>
    <w:p>
      <w:pPr>
        <w:jc w:val="left"/>
        <w:rPr>
          <w:rFonts w:ascii="Calibri" w:hAnsi="Calibri" w:eastAsia="宋体" w:cs="Times New Roman"/>
          <w:b/>
          <w:bCs/>
          <w:sz w:val="44"/>
          <w:szCs w:val="44"/>
        </w:rPr>
      </w:pPr>
      <w:r>
        <w:rPr>
          <w:rFonts w:hint="eastAsia" w:ascii="Calibri" w:hAnsi="Calibri" w:eastAsia="宋体" w:cs="Times New Roman"/>
          <w:b/>
          <w:bCs/>
          <w:sz w:val="36"/>
          <w:szCs w:val="36"/>
        </w:rPr>
        <w:t>时间</w:t>
      </w:r>
      <w:r>
        <w:rPr>
          <w:rFonts w:hint="eastAsia" w:ascii="Calibri" w:hAnsi="Calibri" w:eastAsia="宋体" w:cs="Times New Roman"/>
          <w:b/>
          <w:bCs/>
          <w:sz w:val="44"/>
          <w:szCs w:val="44"/>
        </w:rPr>
        <w:t>：2020</w:t>
      </w:r>
      <w:r>
        <w:rPr>
          <w:rFonts w:hint="eastAsia" w:ascii="Calibri" w:hAnsi="Calibri" w:eastAsia="宋体" w:cs="Times New Roman"/>
          <w:b/>
          <w:bCs/>
          <w:sz w:val="36"/>
          <w:szCs w:val="36"/>
        </w:rPr>
        <w:t xml:space="preserve">年 8月15 日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220"/>
        <w:gridCol w:w="1506"/>
        <w:gridCol w:w="6520"/>
        <w:gridCol w:w="156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2220" w:type="dxa"/>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506" w:type="dxa"/>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6520" w:type="dxa"/>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560" w:type="dxa"/>
          </w:tcPr>
          <w:p>
            <w:pPr>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109" w:type="dxa"/>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1</w:t>
            </w:r>
          </w:p>
        </w:tc>
        <w:tc>
          <w:tcPr>
            <w:tcW w:w="2220" w:type="dxa"/>
            <w:vAlign w:val="center"/>
          </w:tcPr>
          <w:p>
            <w:pPr>
              <w:jc w:val="center"/>
              <w:rPr>
                <w:rFonts w:ascii="宋体" w:hAnsi="宋体" w:eastAsia="宋体" w:cs="宋体"/>
                <w:color w:val="000000"/>
                <w:sz w:val="24"/>
              </w:rPr>
            </w:pPr>
            <w:r>
              <w:rPr>
                <w:rFonts w:hint="eastAsia"/>
                <w:color w:val="000000"/>
              </w:rPr>
              <w:t>采煤部</w:t>
            </w:r>
          </w:p>
        </w:tc>
        <w:tc>
          <w:tcPr>
            <w:tcW w:w="1506" w:type="dxa"/>
            <w:vAlign w:val="center"/>
          </w:tcPr>
          <w:p>
            <w:pPr>
              <w:jc w:val="center"/>
              <w:rPr>
                <w:rFonts w:ascii="宋体" w:hAnsi="宋体" w:eastAsia="宋体" w:cs="宋体"/>
                <w:color w:val="000000"/>
                <w:sz w:val="24"/>
              </w:rPr>
            </w:pPr>
            <w:r>
              <w:rPr>
                <w:rFonts w:hint="eastAsia"/>
                <w:color w:val="000000"/>
              </w:rPr>
              <w:t>林浩</w:t>
            </w:r>
          </w:p>
        </w:tc>
        <w:tc>
          <w:tcPr>
            <w:tcW w:w="6520" w:type="dxa"/>
            <w:vAlign w:val="center"/>
          </w:tcPr>
          <w:p>
            <w:pPr>
              <w:rPr>
                <w:rFonts w:ascii="宋体" w:hAnsi="宋体" w:eastAsia="宋体" w:cs="宋体"/>
                <w:color w:val="000000"/>
                <w:sz w:val="24"/>
              </w:rPr>
            </w:pPr>
            <w:r>
              <w:rPr>
                <w:rFonts w:hint="eastAsia"/>
                <w:color w:val="000000"/>
              </w:rPr>
              <w:t>1、山东省能源公司龙郓煤矿“10.20”冲击地压事故警示教育片。                   2、关于天煜公司恒昇煤业瞒报“4.21”涉险事故的处理通报。</w:t>
            </w:r>
          </w:p>
        </w:tc>
        <w:tc>
          <w:tcPr>
            <w:tcW w:w="1560" w:type="dxa"/>
            <w:vAlign w:val="center"/>
          </w:tcPr>
          <w:p>
            <w:pPr>
              <w:jc w:val="center"/>
              <w:rPr>
                <w:rFonts w:ascii="宋体" w:hAnsi="宋体" w:eastAsia="宋体" w:cs="宋体"/>
                <w:color w:val="000000"/>
                <w:sz w:val="24"/>
              </w:rPr>
            </w:pPr>
            <w:r>
              <w:rPr>
                <w:rFonts w:hint="eastAsia"/>
                <w:color w:val="000000"/>
              </w:rPr>
              <w:t>94</w:t>
            </w:r>
          </w:p>
        </w:tc>
        <w:tc>
          <w:tcPr>
            <w:tcW w:w="1109" w:type="dxa"/>
            <w:vAlign w:val="center"/>
          </w:tcPr>
          <w:p>
            <w:pPr>
              <w:jc w:val="center"/>
              <w:rPr>
                <w:rFonts w:ascii="宋体" w:hAnsi="宋体" w:eastAsia="宋体" w:cs="宋体"/>
                <w:color w:val="000000"/>
                <w:sz w:val="24"/>
              </w:rPr>
            </w:pPr>
            <w:r>
              <w:rPr>
                <w:rFonts w:hint="eastAsia"/>
                <w:color w:val="000000"/>
              </w:rPr>
              <w:t>授课人：孙学荣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2</w:t>
            </w:r>
          </w:p>
        </w:tc>
        <w:tc>
          <w:tcPr>
            <w:tcW w:w="2220" w:type="dxa"/>
            <w:vAlign w:val="center"/>
          </w:tcPr>
          <w:p>
            <w:pPr>
              <w:jc w:val="center"/>
              <w:rPr>
                <w:rFonts w:ascii="宋体" w:hAnsi="宋体" w:eastAsia="宋体" w:cs="宋体"/>
                <w:color w:val="000000"/>
                <w:sz w:val="24"/>
              </w:rPr>
            </w:pPr>
            <w:r>
              <w:rPr>
                <w:rFonts w:hint="eastAsia"/>
                <w:color w:val="000000"/>
              </w:rPr>
              <w:t>掘进部</w:t>
            </w:r>
          </w:p>
        </w:tc>
        <w:tc>
          <w:tcPr>
            <w:tcW w:w="1506" w:type="dxa"/>
            <w:vAlign w:val="center"/>
          </w:tcPr>
          <w:p>
            <w:pPr>
              <w:jc w:val="center"/>
              <w:rPr>
                <w:rFonts w:ascii="宋体" w:hAnsi="宋体" w:eastAsia="宋体" w:cs="宋体"/>
                <w:color w:val="000000"/>
                <w:sz w:val="24"/>
              </w:rPr>
            </w:pPr>
            <w:r>
              <w:rPr>
                <w:rFonts w:hint="eastAsia"/>
                <w:color w:val="000000"/>
              </w:rPr>
              <w:t>苗现华</w:t>
            </w:r>
          </w:p>
        </w:tc>
        <w:tc>
          <w:tcPr>
            <w:tcW w:w="6520" w:type="dxa"/>
            <w:vAlign w:val="center"/>
          </w:tcPr>
          <w:p>
            <w:pPr>
              <w:rPr>
                <w:rFonts w:ascii="宋体" w:hAnsi="宋体" w:eastAsia="宋体" w:cs="宋体"/>
                <w:color w:val="000000"/>
                <w:sz w:val="24"/>
              </w:rPr>
            </w:pPr>
            <w:r>
              <w:rPr>
                <w:rFonts w:hint="eastAsia"/>
                <w:color w:val="000000"/>
              </w:rPr>
              <w:t>1、山东省能源公司龙郓煤矿“10.20”冲击地压事故警示教育片；</w:t>
            </w:r>
            <w:r>
              <w:rPr>
                <w:rFonts w:hint="eastAsia"/>
                <w:color w:val="000000"/>
              </w:rPr>
              <w:br w:type="textWrapping"/>
            </w:r>
            <w:r>
              <w:rPr>
                <w:rFonts w:hint="eastAsia"/>
                <w:color w:val="000000"/>
              </w:rPr>
              <w:t>2、关于天煜公司恒昇煤业瞒报“4.21”涉险事故的处理通报；</w:t>
            </w:r>
          </w:p>
        </w:tc>
        <w:tc>
          <w:tcPr>
            <w:tcW w:w="1560" w:type="dxa"/>
            <w:vAlign w:val="center"/>
          </w:tcPr>
          <w:p>
            <w:pPr>
              <w:jc w:val="center"/>
              <w:rPr>
                <w:rFonts w:ascii="宋体" w:hAnsi="宋体" w:eastAsia="宋体" w:cs="宋体"/>
                <w:color w:val="000000"/>
                <w:sz w:val="24"/>
              </w:rPr>
            </w:pPr>
            <w:r>
              <w:rPr>
                <w:rFonts w:hint="eastAsia"/>
                <w:color w:val="000000"/>
              </w:rPr>
              <w:t>59</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3</w:t>
            </w:r>
          </w:p>
        </w:tc>
        <w:tc>
          <w:tcPr>
            <w:tcW w:w="2220" w:type="dxa"/>
            <w:vAlign w:val="center"/>
          </w:tcPr>
          <w:p>
            <w:pPr>
              <w:jc w:val="center"/>
              <w:rPr>
                <w:rFonts w:ascii="宋体" w:hAnsi="宋体" w:eastAsia="宋体" w:cs="宋体"/>
                <w:color w:val="000000"/>
                <w:sz w:val="24"/>
              </w:rPr>
            </w:pPr>
            <w:r>
              <w:rPr>
                <w:rFonts w:hint="eastAsia"/>
                <w:color w:val="000000"/>
              </w:rPr>
              <w:t>修护部</w:t>
            </w:r>
          </w:p>
        </w:tc>
        <w:tc>
          <w:tcPr>
            <w:tcW w:w="1506" w:type="dxa"/>
            <w:vAlign w:val="center"/>
          </w:tcPr>
          <w:p>
            <w:pPr>
              <w:jc w:val="center"/>
              <w:rPr>
                <w:rFonts w:ascii="宋体" w:hAnsi="宋体" w:eastAsia="宋体" w:cs="宋体"/>
                <w:color w:val="000000"/>
                <w:sz w:val="24"/>
              </w:rPr>
            </w:pPr>
            <w:r>
              <w:rPr>
                <w:rFonts w:ascii="宋体" w:hAnsi="宋体" w:eastAsia="宋体" w:cs="宋体"/>
                <w:color w:val="000000"/>
                <w:sz w:val="24"/>
              </w:rPr>
              <w:t>方大生</w:t>
            </w:r>
          </w:p>
        </w:tc>
        <w:tc>
          <w:tcPr>
            <w:tcW w:w="6520" w:type="dxa"/>
            <w:vAlign w:val="center"/>
          </w:tcPr>
          <w:p>
            <w:pPr>
              <w:rPr>
                <w:rFonts w:ascii="宋体" w:hAnsi="宋体" w:eastAsia="宋体" w:cs="宋体"/>
                <w:color w:val="000000"/>
                <w:sz w:val="24"/>
              </w:rPr>
            </w:pPr>
            <w:r>
              <w:rPr>
                <w:rFonts w:hint="eastAsia"/>
                <w:color w:val="000000"/>
              </w:rPr>
              <w:t>1.观看煤矿典型事故案例宣传教育片（山东省能源公司龙郓煤矿10.20冲击地压事故）；2.淮南矿业（集团）有限责任公司潘集第三煤矿“6.26”顶板事故调查报告 ；</w:t>
            </w:r>
          </w:p>
        </w:tc>
        <w:tc>
          <w:tcPr>
            <w:tcW w:w="1560" w:type="dxa"/>
            <w:vAlign w:val="center"/>
          </w:tcPr>
          <w:p>
            <w:pPr>
              <w:jc w:val="center"/>
              <w:rPr>
                <w:rFonts w:ascii="宋体" w:hAnsi="宋体" w:eastAsia="宋体" w:cs="宋体"/>
                <w:color w:val="000000"/>
                <w:sz w:val="24"/>
              </w:rPr>
            </w:pPr>
            <w:r>
              <w:rPr>
                <w:rFonts w:hint="eastAsia"/>
                <w:color w:val="000000"/>
              </w:rPr>
              <w:t>44</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4</w:t>
            </w:r>
          </w:p>
        </w:tc>
        <w:tc>
          <w:tcPr>
            <w:tcW w:w="2220" w:type="dxa"/>
            <w:vAlign w:val="center"/>
          </w:tcPr>
          <w:p>
            <w:pPr>
              <w:jc w:val="center"/>
              <w:rPr>
                <w:rFonts w:ascii="宋体" w:hAnsi="宋体" w:eastAsia="宋体" w:cs="宋体"/>
                <w:color w:val="000000"/>
                <w:sz w:val="24"/>
              </w:rPr>
            </w:pPr>
            <w:r>
              <w:rPr>
                <w:rFonts w:hint="eastAsia"/>
                <w:color w:val="000000"/>
              </w:rPr>
              <w:t>机电部</w:t>
            </w:r>
          </w:p>
        </w:tc>
        <w:tc>
          <w:tcPr>
            <w:tcW w:w="1506" w:type="dxa"/>
            <w:vAlign w:val="center"/>
          </w:tcPr>
          <w:p>
            <w:pPr>
              <w:jc w:val="center"/>
              <w:rPr>
                <w:rFonts w:ascii="宋体" w:hAnsi="宋体" w:eastAsia="宋体" w:cs="宋体"/>
                <w:color w:val="000000"/>
                <w:sz w:val="24"/>
              </w:rPr>
            </w:pPr>
            <w:r>
              <w:rPr>
                <w:rFonts w:hint="eastAsia"/>
                <w:color w:val="000000"/>
              </w:rPr>
              <w:t>马强</w:t>
            </w:r>
          </w:p>
        </w:tc>
        <w:tc>
          <w:tcPr>
            <w:tcW w:w="6520" w:type="dxa"/>
            <w:vAlign w:val="center"/>
          </w:tcPr>
          <w:p>
            <w:pPr>
              <w:rPr>
                <w:rFonts w:ascii="宋体" w:hAnsi="宋体" w:eastAsia="宋体" w:cs="宋体"/>
                <w:color w:val="000000"/>
                <w:sz w:val="24"/>
              </w:rPr>
            </w:pPr>
            <w:r>
              <w:rPr>
                <w:rFonts w:hint="eastAsia"/>
                <w:color w:val="000000"/>
              </w:rPr>
              <w:t>1、山东省能源公司龙郓煤矿“10.20”冲击地压事故警示教育片；</w:t>
            </w:r>
            <w:r>
              <w:rPr>
                <w:rFonts w:hint="eastAsia"/>
                <w:color w:val="000000"/>
              </w:rPr>
              <w:br w:type="textWrapping"/>
            </w:r>
            <w:r>
              <w:rPr>
                <w:rFonts w:hint="eastAsia"/>
                <w:color w:val="000000"/>
              </w:rPr>
              <w:t>2、关于天煜公司恒昇煤业瞒报“4.21”涉险事故的处理通报；</w:t>
            </w:r>
          </w:p>
        </w:tc>
        <w:tc>
          <w:tcPr>
            <w:tcW w:w="1560" w:type="dxa"/>
            <w:vAlign w:val="center"/>
          </w:tcPr>
          <w:p>
            <w:pPr>
              <w:jc w:val="center"/>
              <w:rPr>
                <w:rFonts w:ascii="宋体" w:hAnsi="宋体" w:eastAsia="宋体" w:cs="宋体"/>
                <w:color w:val="000000"/>
                <w:sz w:val="24"/>
              </w:rPr>
            </w:pPr>
            <w:r>
              <w:rPr>
                <w:rFonts w:hint="eastAsia"/>
                <w:color w:val="000000"/>
              </w:rPr>
              <w:t>69</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5</w:t>
            </w:r>
          </w:p>
        </w:tc>
        <w:tc>
          <w:tcPr>
            <w:tcW w:w="2220" w:type="dxa"/>
            <w:vAlign w:val="center"/>
          </w:tcPr>
          <w:p>
            <w:pPr>
              <w:jc w:val="center"/>
              <w:rPr>
                <w:rFonts w:ascii="宋体" w:hAnsi="宋体" w:eastAsia="宋体" w:cs="宋体"/>
                <w:color w:val="000000"/>
                <w:sz w:val="24"/>
              </w:rPr>
            </w:pPr>
            <w:r>
              <w:rPr>
                <w:rFonts w:hint="eastAsia"/>
                <w:color w:val="000000"/>
              </w:rPr>
              <w:t>运输部</w:t>
            </w:r>
          </w:p>
        </w:tc>
        <w:tc>
          <w:tcPr>
            <w:tcW w:w="1506" w:type="dxa"/>
            <w:vAlign w:val="center"/>
          </w:tcPr>
          <w:p>
            <w:pPr>
              <w:jc w:val="center"/>
              <w:rPr>
                <w:rFonts w:ascii="宋体" w:hAnsi="宋体" w:eastAsia="宋体" w:cs="宋体"/>
                <w:color w:val="000000"/>
                <w:sz w:val="24"/>
              </w:rPr>
            </w:pPr>
            <w:r>
              <w:rPr>
                <w:rFonts w:ascii="宋体" w:hAnsi="宋体" w:eastAsia="宋体" w:cs="宋体"/>
                <w:color w:val="000000"/>
                <w:sz w:val="24"/>
              </w:rPr>
              <w:t>尹成强</w:t>
            </w:r>
          </w:p>
        </w:tc>
        <w:tc>
          <w:tcPr>
            <w:tcW w:w="6520" w:type="dxa"/>
            <w:vAlign w:val="center"/>
          </w:tcPr>
          <w:p>
            <w:pPr>
              <w:rPr>
                <w:rFonts w:ascii="宋体" w:hAnsi="宋体" w:eastAsia="宋体" w:cs="宋体"/>
                <w:color w:val="000000"/>
                <w:sz w:val="24"/>
              </w:rPr>
            </w:pPr>
            <w:r>
              <w:rPr>
                <w:rFonts w:hint="eastAsia"/>
                <w:color w:val="000000"/>
              </w:rPr>
              <w:t>1、山东省能源公司龙郓煤矿10.20冲击地压事故；</w:t>
            </w:r>
            <w:r>
              <w:rPr>
                <w:rFonts w:hint="eastAsia"/>
                <w:color w:val="000000"/>
              </w:rPr>
              <w:br w:type="textWrapping"/>
            </w:r>
            <w:r>
              <w:rPr>
                <w:rFonts w:hint="eastAsia"/>
                <w:color w:val="000000"/>
              </w:rPr>
              <w:t>2、淮南矿业（集团）有限责任公司潘集第三煤矿“6.26”顶板事故调查报告；</w:t>
            </w:r>
          </w:p>
        </w:tc>
        <w:tc>
          <w:tcPr>
            <w:tcW w:w="1560" w:type="dxa"/>
            <w:vAlign w:val="center"/>
          </w:tcPr>
          <w:p>
            <w:pPr>
              <w:jc w:val="center"/>
              <w:rPr>
                <w:rFonts w:ascii="宋体" w:hAnsi="宋体" w:eastAsia="宋体" w:cs="宋体"/>
                <w:color w:val="000000"/>
                <w:sz w:val="24"/>
              </w:rPr>
            </w:pPr>
            <w:r>
              <w:rPr>
                <w:rFonts w:hint="eastAsia"/>
                <w:color w:val="000000"/>
              </w:rPr>
              <w:t>73</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6</w:t>
            </w:r>
          </w:p>
        </w:tc>
        <w:tc>
          <w:tcPr>
            <w:tcW w:w="2220" w:type="dxa"/>
            <w:vAlign w:val="center"/>
          </w:tcPr>
          <w:p>
            <w:pPr>
              <w:jc w:val="center"/>
              <w:rPr>
                <w:rFonts w:ascii="宋体" w:hAnsi="宋体" w:eastAsia="宋体" w:cs="宋体"/>
                <w:color w:val="000000"/>
                <w:sz w:val="24"/>
              </w:rPr>
            </w:pPr>
            <w:r>
              <w:rPr>
                <w:rFonts w:hint="eastAsia"/>
                <w:color w:val="000000"/>
              </w:rPr>
              <w:t>通防部</w:t>
            </w:r>
          </w:p>
        </w:tc>
        <w:tc>
          <w:tcPr>
            <w:tcW w:w="1506" w:type="dxa"/>
            <w:vAlign w:val="center"/>
          </w:tcPr>
          <w:p>
            <w:pPr>
              <w:jc w:val="center"/>
              <w:rPr>
                <w:rFonts w:ascii="宋体" w:hAnsi="宋体" w:eastAsia="宋体" w:cs="宋体"/>
                <w:color w:val="000000"/>
                <w:sz w:val="24"/>
              </w:rPr>
            </w:pPr>
            <w:r>
              <w:rPr>
                <w:rFonts w:ascii="宋体" w:hAnsi="宋体" w:eastAsia="宋体" w:cs="宋体"/>
                <w:color w:val="000000"/>
                <w:sz w:val="24"/>
              </w:rPr>
              <w:t>时光</w:t>
            </w:r>
          </w:p>
        </w:tc>
        <w:tc>
          <w:tcPr>
            <w:tcW w:w="6520" w:type="dxa"/>
            <w:vAlign w:val="center"/>
          </w:tcPr>
          <w:p>
            <w:pPr>
              <w:jc w:val="left"/>
              <w:rPr>
                <w:rFonts w:ascii="宋体" w:hAnsi="宋体" w:eastAsia="宋体" w:cs="宋体"/>
                <w:color w:val="000000"/>
                <w:sz w:val="24"/>
              </w:rPr>
            </w:pPr>
            <w:r>
              <w:rPr>
                <w:rFonts w:hint="eastAsia"/>
                <w:color w:val="000000"/>
              </w:rPr>
              <w:t>1.招贤矿业1305高抽巷钻场打钻引起CO异常处理决定　</w:t>
            </w:r>
          </w:p>
        </w:tc>
        <w:tc>
          <w:tcPr>
            <w:tcW w:w="1560" w:type="dxa"/>
            <w:vAlign w:val="center"/>
          </w:tcPr>
          <w:p>
            <w:pPr>
              <w:ind w:firstLine="525" w:firstLineChars="250"/>
              <w:rPr>
                <w:rFonts w:ascii="宋体" w:hAnsi="宋体" w:eastAsia="宋体" w:cs="宋体"/>
                <w:color w:val="000000"/>
                <w:sz w:val="24"/>
              </w:rPr>
            </w:pPr>
            <w:r>
              <w:rPr>
                <w:rFonts w:hint="eastAsia"/>
                <w:color w:val="000000"/>
              </w:rPr>
              <w:t>55</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7</w:t>
            </w:r>
          </w:p>
        </w:tc>
        <w:tc>
          <w:tcPr>
            <w:tcW w:w="2220" w:type="dxa"/>
            <w:vAlign w:val="center"/>
          </w:tcPr>
          <w:p>
            <w:pPr>
              <w:jc w:val="center"/>
              <w:rPr>
                <w:rFonts w:ascii="宋体" w:hAnsi="宋体" w:eastAsia="宋体" w:cs="宋体"/>
                <w:color w:val="000000"/>
                <w:sz w:val="24"/>
              </w:rPr>
            </w:pPr>
            <w:r>
              <w:rPr>
                <w:rFonts w:hint="eastAsia"/>
                <w:color w:val="000000"/>
              </w:rPr>
              <w:t>矿业公司</w:t>
            </w:r>
          </w:p>
        </w:tc>
        <w:tc>
          <w:tcPr>
            <w:tcW w:w="1506" w:type="dxa"/>
            <w:vAlign w:val="center"/>
          </w:tcPr>
          <w:p>
            <w:pPr>
              <w:jc w:val="center"/>
              <w:rPr>
                <w:rFonts w:ascii="宋体" w:hAnsi="宋体" w:eastAsia="宋体" w:cs="宋体"/>
                <w:color w:val="000000"/>
                <w:sz w:val="24"/>
              </w:rPr>
            </w:pPr>
            <w:r>
              <w:rPr>
                <w:rFonts w:hint="eastAsia"/>
                <w:color w:val="000000"/>
              </w:rPr>
              <w:t>孟宁</w:t>
            </w:r>
          </w:p>
        </w:tc>
        <w:tc>
          <w:tcPr>
            <w:tcW w:w="6520" w:type="dxa"/>
            <w:vAlign w:val="center"/>
          </w:tcPr>
          <w:p>
            <w:pPr>
              <w:rPr>
                <w:rFonts w:ascii="宋体" w:hAnsi="宋体" w:eastAsia="宋体" w:cs="宋体"/>
                <w:color w:val="000000"/>
                <w:sz w:val="24"/>
              </w:rPr>
            </w:pPr>
            <w:r>
              <w:rPr>
                <w:rFonts w:hint="eastAsia"/>
                <w:color w:val="000000"/>
              </w:rPr>
              <w:t>1.山东省能源公司龙郓煤矿10.20冲击地压事故；</w:t>
            </w:r>
            <w:r>
              <w:rPr>
                <w:rFonts w:hint="eastAsia"/>
                <w:color w:val="000000"/>
              </w:rPr>
              <w:br w:type="textWrapping"/>
            </w:r>
            <w:r>
              <w:rPr>
                <w:rFonts w:hint="eastAsia"/>
                <w:color w:val="000000"/>
              </w:rPr>
              <w:t>2.招贤矿1305风巷打钻引起一氧化碳异常处理决定；</w:t>
            </w:r>
          </w:p>
        </w:tc>
        <w:tc>
          <w:tcPr>
            <w:tcW w:w="1560" w:type="dxa"/>
            <w:vAlign w:val="center"/>
          </w:tcPr>
          <w:p>
            <w:pPr>
              <w:jc w:val="center"/>
              <w:rPr>
                <w:rFonts w:ascii="宋体" w:hAnsi="宋体" w:eastAsia="宋体" w:cs="宋体"/>
                <w:color w:val="000000"/>
                <w:sz w:val="24"/>
              </w:rPr>
            </w:pPr>
            <w:r>
              <w:rPr>
                <w:rFonts w:hint="eastAsia"/>
                <w:color w:val="000000"/>
              </w:rPr>
              <w:t>143</w:t>
            </w:r>
          </w:p>
        </w:tc>
        <w:tc>
          <w:tcPr>
            <w:tcW w:w="1109" w:type="dxa"/>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jc w:val="center"/>
              <w:rPr>
                <w:rFonts w:ascii="Calibri" w:hAnsi="Calibri" w:eastAsia="宋体" w:cs="Times New Roman"/>
                <w:b/>
                <w:bCs/>
                <w:sz w:val="32"/>
                <w:szCs w:val="32"/>
              </w:rPr>
            </w:pPr>
            <w:r>
              <w:rPr>
                <w:rFonts w:hint="eastAsia" w:ascii="Calibri" w:hAnsi="Calibri" w:eastAsia="宋体" w:cs="Times New Roman"/>
                <w:b/>
                <w:bCs/>
                <w:sz w:val="32"/>
                <w:szCs w:val="32"/>
              </w:rPr>
              <w:t>8</w:t>
            </w:r>
          </w:p>
        </w:tc>
        <w:tc>
          <w:tcPr>
            <w:tcW w:w="2220" w:type="dxa"/>
            <w:vAlign w:val="center"/>
          </w:tcPr>
          <w:p>
            <w:pPr>
              <w:jc w:val="center"/>
              <w:rPr>
                <w:rFonts w:ascii="宋体" w:hAnsi="宋体" w:eastAsia="宋体" w:cs="宋体"/>
                <w:color w:val="000000"/>
                <w:sz w:val="24"/>
              </w:rPr>
            </w:pPr>
            <w:r>
              <w:rPr>
                <w:rFonts w:hint="eastAsia"/>
                <w:color w:val="000000"/>
              </w:rPr>
              <w:t>钻机队</w:t>
            </w:r>
          </w:p>
        </w:tc>
        <w:tc>
          <w:tcPr>
            <w:tcW w:w="1506" w:type="dxa"/>
            <w:vAlign w:val="center"/>
          </w:tcPr>
          <w:p>
            <w:pPr>
              <w:jc w:val="center"/>
              <w:rPr>
                <w:rFonts w:ascii="宋体" w:hAnsi="宋体" w:eastAsia="宋体" w:cs="宋体"/>
                <w:color w:val="000000"/>
                <w:sz w:val="24"/>
              </w:rPr>
            </w:pPr>
            <w:r>
              <w:rPr>
                <w:rFonts w:hint="eastAsia"/>
                <w:color w:val="000000"/>
              </w:rPr>
              <w:t>崔红磊</w:t>
            </w:r>
          </w:p>
        </w:tc>
        <w:tc>
          <w:tcPr>
            <w:tcW w:w="6520" w:type="dxa"/>
            <w:vAlign w:val="center"/>
          </w:tcPr>
          <w:p>
            <w:pPr>
              <w:jc w:val="left"/>
              <w:rPr>
                <w:rFonts w:ascii="宋体" w:hAnsi="宋体" w:eastAsia="宋体" w:cs="宋体"/>
                <w:color w:val="000000"/>
                <w:sz w:val="24"/>
              </w:rPr>
            </w:pPr>
            <w:r>
              <w:rPr>
                <w:rFonts w:hint="eastAsia"/>
                <w:color w:val="000000"/>
              </w:rPr>
              <w:t>1.山东省能源公司龙郓煤矿10.20冲击地压事故；</w:t>
            </w:r>
            <w:r>
              <w:rPr>
                <w:rFonts w:hint="eastAsia"/>
                <w:color w:val="000000"/>
              </w:rPr>
              <w:br w:type="textWrapping"/>
            </w:r>
            <w:r>
              <w:rPr>
                <w:rFonts w:hint="eastAsia"/>
                <w:color w:val="000000"/>
              </w:rPr>
              <w:t>2.招贤矿1305风巷打钻引起一氧化碳异常处理决定；　</w:t>
            </w:r>
          </w:p>
        </w:tc>
        <w:tc>
          <w:tcPr>
            <w:tcW w:w="1560" w:type="dxa"/>
            <w:vAlign w:val="center"/>
          </w:tcPr>
          <w:p>
            <w:pPr>
              <w:jc w:val="center"/>
              <w:rPr>
                <w:rFonts w:ascii="宋体" w:hAnsi="宋体" w:eastAsia="宋体" w:cs="宋体"/>
                <w:color w:val="000000"/>
                <w:sz w:val="24"/>
              </w:rPr>
            </w:pPr>
            <w:r>
              <w:rPr>
                <w:rFonts w:hint="eastAsia"/>
                <w:color w:val="000000"/>
              </w:rPr>
              <w:t>27　</w:t>
            </w:r>
          </w:p>
        </w:tc>
        <w:tc>
          <w:tcPr>
            <w:tcW w:w="1109" w:type="dxa"/>
            <w:vAlign w:val="center"/>
          </w:tcPr>
          <w:p>
            <w:pPr>
              <w:jc w:val="center"/>
              <w:rPr>
                <w:rFonts w:ascii="宋体" w:hAnsi="宋体" w:eastAsia="宋体" w:cs="宋体"/>
                <w:color w:val="000000"/>
                <w:sz w:val="24"/>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八月份第三周各单位能按照招贤矿业事故案例警示教育月度计划进行学习，比上周案例学习质量有所提高，且主动在计划外自行收集案例进行学习。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通过对上周事故案列的抽查，运输部1人、掘进部2人、修护1人对上周事故案例不了解。</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tabs>
          <w:tab w:val="left" w:pos="312"/>
        </w:tabs>
        <w:rPr>
          <w:rFonts w:ascii="Calibri" w:hAnsi="Calibri" w:eastAsia="宋体" w:cs="Times New Roman"/>
          <w:sz w:val="28"/>
          <w:szCs w:val="28"/>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D773B"/>
    <w:rsid w:val="00223EF9"/>
    <w:rsid w:val="00276A06"/>
    <w:rsid w:val="003A728A"/>
    <w:rsid w:val="003B157D"/>
    <w:rsid w:val="003C2397"/>
    <w:rsid w:val="00423406"/>
    <w:rsid w:val="004816CA"/>
    <w:rsid w:val="00500470"/>
    <w:rsid w:val="0053113D"/>
    <w:rsid w:val="00590EF3"/>
    <w:rsid w:val="006733DF"/>
    <w:rsid w:val="00677A01"/>
    <w:rsid w:val="00754449"/>
    <w:rsid w:val="00846D95"/>
    <w:rsid w:val="009753F7"/>
    <w:rsid w:val="00992775"/>
    <w:rsid w:val="009E2B63"/>
    <w:rsid w:val="00A355D2"/>
    <w:rsid w:val="00A50AF9"/>
    <w:rsid w:val="00B9097B"/>
    <w:rsid w:val="00C17EC1"/>
    <w:rsid w:val="00C2533C"/>
    <w:rsid w:val="00C32253"/>
    <w:rsid w:val="00CE7294"/>
    <w:rsid w:val="00D22A8D"/>
    <w:rsid w:val="00D81CC0"/>
    <w:rsid w:val="00D91985"/>
    <w:rsid w:val="00ED16E5"/>
    <w:rsid w:val="00ED3C64"/>
    <w:rsid w:val="00F8128A"/>
    <w:rsid w:val="00FC4FA9"/>
    <w:rsid w:val="06964A17"/>
    <w:rsid w:val="1E0D01BD"/>
    <w:rsid w:val="2B5B7753"/>
    <w:rsid w:val="30E355E3"/>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781</Characters>
  <Lines>6</Lines>
  <Paragraphs>1</Paragraphs>
  <TotalTime>21</TotalTime>
  <ScaleCrop>false</ScaleCrop>
  <LinksUpToDate>false</LinksUpToDate>
  <CharactersWithSpaces>916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踏雪赏梅</cp:lastModifiedBy>
  <cp:lastPrinted>2020-08-04T10:07:00Z</cp:lastPrinted>
  <dcterms:modified xsi:type="dcterms:W3CDTF">2020-08-22T00:54:32Z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