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INCLUDEPICTURE "G:\\..\\..\\3982275\\AppData\\Roaming\\Tencent\\Users\\43994601\\QQ\\WinTemp\\RichOle\\30S}PVSC{I2II8JWLVXOPU0.png" \* MERGEFORMAT </w:instrText>
      </w:r>
      <w:r>
        <w:rPr>
          <w:sz w:val="24"/>
        </w:rPr>
        <w:fldChar w:fldCharType="separate"/>
      </w:r>
      <w:r>
        <w:rPr>
          <w:sz w:val="24"/>
        </w:rPr>
        <w:drawing>
          <wp:inline distT="0" distB="0" distL="114300" distR="114300">
            <wp:extent cx="2847340" cy="542925"/>
            <wp:effectExtent l="0" t="0" r="10160" b="9525"/>
            <wp:docPr id="1" name="图片 1" descr="30S}PVSC{I2II8JWLVXOP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S}PVSC{I2II8JWLVXOPU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fldChar w:fldCharType="end"/>
      </w:r>
      <w:bookmarkStart w:id="0" w:name="_1161587075"/>
      <w:bookmarkEnd w:id="0"/>
    </w:p>
    <w:p>
      <w:pPr>
        <w:snapToGrid w:val="0"/>
        <w:spacing w:line="360" w:lineRule="auto"/>
        <w:jc w:val="center"/>
        <w:rPr>
          <w:rFonts w:hint="eastAsia"/>
          <w:b/>
          <w:bCs/>
          <w:spacing w:val="24"/>
          <w:sz w:val="52"/>
          <w:szCs w:val="52"/>
        </w:rPr>
      </w:pPr>
      <w:r>
        <w:rPr>
          <w:rFonts w:hint="eastAsi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445135</wp:posOffset>
                </wp:positionV>
                <wp:extent cx="54959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176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5pt;margin-top:35.05pt;height:0pt;width:432.75pt;z-index:251658240;mso-width-relative:page;mso-height-relative:page;" filled="f" stroked="t" coordsize="21600,21600" o:gfxdata="UEsDBAoAAAAAAIdO4kAAAAAAAAAAAAAAAAAEAAAAZHJzL1BLAwQUAAAACACHTuJA3B2FsdUAAAAI&#10;AQAADwAAAGRycy9kb3ducmV2LnhtbE2PzU7DMBCE70h9B2uRuFE7kehPiNNDpV44gEj7AG68TaLa&#10;6yh20/D2LOIAx9lZzXxT7mbvxIRj7ANpyJYKBFITbE+thtPx8LwBEZMha1wg1PCFEXbV4qE0hQ13&#10;+sSpTq3gEIqF0dClNBRSxqZDb+IyDEjsXcLoTWI5ttKO5s7h3slcqZX0pidu6MyA+w6ba33zGo72&#10;w9lkh9mFadXs399O26m+av30mKlXEAnn9PcMP/iMDhUzncONbBROQ77mKUnDWmUg2N9s8xcQ59+D&#10;rEr5f0D1DVBLAwQUAAAACACHTuJAVD27Et0BAACXAwAADgAAAGRycy9lMm9Eb2MueG1srVPNbhMx&#10;EL4j8Q6W72STtCntKpseGsoFQSTgASa2d9eS/+Rxs8lL8AJI3ODEkXvfhvIYHTtpys8FIXKYjD3j&#10;b+b7ZnZ+ubWGbVRE7V3DJ6MxZ8oJL7XrGv7+3fWzc84wgZNgvFMN3ynkl4unT+ZDqNXU995IFRmB&#10;OKyH0PA+pVBXFYpeWcCRD8pRsPXRQqJj7CoZYSB0a6rpeHxWDT7KEL1QiHS73Af5ouC3rRLpTdui&#10;Ssw0nHpLxcZi19lWiznUXYTQa3FoA/6hCwvaUdEj1BISsJuo/4CyWkSPvk0j4W3l21YLVTgQm8n4&#10;NzZvewiqcCFxMBxlwv8HK15vVpFp2fATzhxYGtHdx2/fP3z+cfuJ7N3XL+wkizQErCn3yq3i4YRh&#10;FTPjbRtt/icubFuE3R2FVdvEBF3OTi9mF9MZZ+IhVj0+DBHTS+Uty07DjXaZM9SweYWJilHqQ0q+&#10;No4NtGnPz05pngJoZ1oDiVwbiAW6rjxGb7S81sbkJxi79ZWJbAN5C8ovcyLgX9JylSVgv88rof1+&#10;9ArkCydZ2gXSx9Ei89yDVZIzo2jvs0eAUCfQ5m8yqbRx1EGWdS9k9tZe7mgaNyHqricpJqXLHKHp&#10;l34Pm5rX6+dzQXr8nh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B2FsdUAAAAIAQAADwAAAAAA&#10;AAABACAAAAAiAAAAZHJzL2Rvd25yZXYueG1sUEsBAhQAFAAAAAgAh07iQFQ9uxLdAQAAlwMAAA4A&#10;AAAAAAAAAQAgAAAAJAEAAGRycy9lMm9Eb2MueG1sUEsFBgAAAAAGAAYAWQEAAHMFAAAAAA==&#10;">
                <v:fill on="f" focussize="0,0"/>
                <v:stroke weight="1.3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pacing w:val="24"/>
          <w:sz w:val="52"/>
          <w:szCs w:val="52"/>
        </w:rPr>
        <w:t>皖北煤电集团公司</w:t>
      </w:r>
      <w:r>
        <w:rPr>
          <w:rFonts w:hint="eastAsia"/>
          <w:b/>
          <w:sz w:val="52"/>
          <w:szCs w:val="52"/>
        </w:rPr>
        <w:t>传</w:t>
      </w:r>
      <w:r>
        <w:rPr>
          <w:rFonts w:hint="eastAsia"/>
          <w:b/>
          <w:bCs/>
          <w:spacing w:val="24"/>
          <w:sz w:val="52"/>
          <w:szCs w:val="52"/>
        </w:rPr>
        <w:t>真</w:t>
      </w:r>
    </w:p>
    <w:p>
      <w:pPr>
        <w:snapToGrid w:val="0"/>
        <w:spacing w:line="360" w:lineRule="auto"/>
        <w:ind w:firstLine="281" w:firstLineChars="1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拟文单位：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安全监察局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   签  发： </w:t>
      </w:r>
      <w:r>
        <w:rPr>
          <w:rFonts w:hint="eastAsia"/>
          <w:b/>
          <w:bCs/>
          <w:sz w:val="28"/>
          <w:szCs w:val="28"/>
          <w:u w:val="single"/>
        </w:rPr>
        <w:t xml:space="preserve"> 　         </w:t>
      </w:r>
    </w:p>
    <w:p>
      <w:pPr>
        <w:snapToGrid w:val="0"/>
        <w:spacing w:line="360" w:lineRule="auto"/>
        <w:ind w:right="-30" w:firstLine="281" w:firstLineChars="1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报送单位：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                </w:t>
      </w:r>
    </w:p>
    <w:p>
      <w:pPr>
        <w:snapToGrid w:val="0"/>
        <w:spacing w:line="360" w:lineRule="auto"/>
        <w:ind w:right="-30" w:firstLine="281" w:firstLineChars="1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发送单位：</w:t>
      </w:r>
      <w:r>
        <w:rPr>
          <w:rFonts w:hint="eastAsia"/>
          <w:b/>
          <w:bCs/>
          <w:sz w:val="28"/>
          <w:szCs w:val="28"/>
          <w:u w:val="single"/>
        </w:rPr>
        <w:t xml:space="preserve"> 各生产矿井                                        </w:t>
      </w:r>
    </w:p>
    <w:p>
      <w:pPr>
        <w:snapToGrid w:val="0"/>
        <w:spacing w:line="360" w:lineRule="auto"/>
        <w:ind w:right="15" w:firstLine="281" w:firstLineChars="1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编   号：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[2020]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b/>
          <w:bCs/>
          <w:sz w:val="28"/>
          <w:szCs w:val="28"/>
          <w:u w:val="single"/>
        </w:rPr>
        <w:t xml:space="preserve">号 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 日 期：</w:t>
      </w:r>
      <w:r>
        <w:rPr>
          <w:rFonts w:hint="eastAsia"/>
          <w:b/>
          <w:bCs/>
          <w:sz w:val="28"/>
          <w:szCs w:val="28"/>
          <w:u w:val="single"/>
        </w:rPr>
        <w:t xml:space="preserve"> 2020年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u w:val="single"/>
        </w:rPr>
        <w:t>月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b/>
          <w:bCs/>
          <w:sz w:val="28"/>
          <w:szCs w:val="28"/>
          <w:u w:val="single"/>
        </w:rPr>
        <w:t xml:space="preserve">日       </w:t>
      </w:r>
    </w:p>
    <w:p>
      <w:pPr>
        <w:snapToGrid w:val="0"/>
        <w:spacing w:line="360" w:lineRule="auto"/>
        <w:ind w:right="-9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56197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635"/>
                        </a:xfrm>
                        <a:prstGeom prst="line">
                          <a:avLst/>
                        </a:prstGeom>
                        <a:ln w="176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9.3pt;height:0.05pt;width:442.5pt;z-index:251659264;mso-width-relative:page;mso-height-relative:page;" filled="f" stroked="t" coordsize="21600,21600" o:gfxdata="UEsDBAoAAAAAAIdO4kAAAAAAAAAAAAAAAAAEAAAAZHJzL1BLAwQUAAAACACHTuJAGai/HdEAAAAI&#10;AQAADwAAAGRycy9kb3ducmV2LnhtbE1Py07DMBC8I/EP1lbiRu1SqbQhTg8R5U5Bao9uvCRR7XUU&#10;O03z92xOcFrNQ7Mz+f7unbhhH9tAGlZLBQKpCralWsP31+F5CyImQ9a4QKhhwgj74vEhN5kNI33i&#10;7ZhqwSEUM6OhSanLpIxVg97EZeiQWPsJvTeJYV9L25uRw72TL0ptpDct8YfGdFg2WF2Pg9fw4XbT&#10;CYeyPE3tofTjWVGzftf6abFSbyAS3tOfGeb6XB0K7nQJA9koHOMtT0nz3YBgfafWTFxm4hVkkcv/&#10;A4pfUEsDBBQAAAAIAIdO4kC8V2734wEAAKMDAAAOAAAAZHJzL2Uyb0RvYy54bWytU0uOEzEQ3SNx&#10;B8t70kkgGWilM4sJwwZBJD77itvutuSfXJ50cgkugMQOVizZcxuGY1B2h/DbIEQvSrbr9XO9V+XV&#10;5cEatpcRtXcNn02mnEknfKtd1/BXL6/vPeQME7gWjHey4UeJ/HJ9985qCLWc+96bVkZGJA7rITS8&#10;TynUVYWilxZw4oN0lFQ+Wki0jV3VRhiI3ZpqPp0uq8HHNkQvJCKdbsYkXxd+paRIz5VCmZhpONWW&#10;Sowl7nKs1iuouwih1+JUBvxDFRa0o0vPVBtIwG6i/oPKahE9epUmwtvKK6WFLBpIzWz6m5oXPQRZ&#10;tJA5GM424f+jFc/228h02/A5Zw4stej27acvb95//fyO4u3HD2yeTRoC1oS9ctt42mHYxqz4oKJl&#10;yujwmvpfPCBV7FAsPp4tlofEBB0ulrNHFwvqhKDc8v4ic1cjSSYLEdMT6S3Li4Yb7bJ+qGH/FNMI&#10;/Q7Jx8axgW69WD7IjEDzowwkWtpAitB15Wf0RrfX2pj8C8Zud2Ui20OeiPKdavgFlm/ZAPYjrqQy&#10;DOpeQvvYtSwdA3nlaKh5rsHKljMj6Q3kVUEm0OZvkCTfOHIhWzyamlc73x6pMzch6q4nK2alypyh&#10;SSienaY2j9rP+8L0422t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qL8d0QAAAAgBAAAPAAAA&#10;AAAAAAEAIAAAACIAAABkcnMvZG93bnJldi54bWxQSwECFAAUAAAACACHTuJAvFdu9+MBAACjAwAA&#10;DgAAAAAAAAABACAAAAAgAQAAZHJzL2Uyb0RvYy54bWxQSwUGAAAAAAYABgBZAQAAdQUAAAAA&#10;">
                <v:fill on="f" focussize="0,0"/>
                <v:stroke weight="1.3889763779527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right="-90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1" w:name="_GoBack"/>
      <w:r>
        <w:rPr>
          <w:rFonts w:hint="eastAsia" w:ascii="仿宋_GB2312" w:eastAsia="仿宋_GB2312"/>
          <w:b/>
          <w:sz w:val="36"/>
          <w:szCs w:val="36"/>
        </w:rPr>
        <w:t>关于对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恒源煤矿深部井</w:t>
      </w:r>
      <w:r>
        <w:rPr>
          <w:rFonts w:hint="eastAsia" w:ascii="仿宋_GB2312" w:eastAsia="仿宋_GB2312"/>
          <w:b/>
          <w:sz w:val="36"/>
          <w:szCs w:val="36"/>
        </w:rPr>
        <w:t>-940东翼回风大巷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等</w:t>
      </w:r>
      <w:r>
        <w:rPr>
          <w:rFonts w:hint="eastAsia" w:ascii="仿宋_GB2312" w:eastAsia="仿宋_GB2312"/>
          <w:b/>
          <w:sz w:val="36"/>
          <w:szCs w:val="36"/>
        </w:rPr>
        <w:t>停止作业的通报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2020年5月26日，集团公司安全监察局对恒源煤矿深部井在全国“两会”期间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安全督导</w:t>
      </w:r>
      <w:r>
        <w:rPr>
          <w:rFonts w:hint="eastAsia" w:ascii="仿宋_GB2312" w:eastAsia="仿宋_GB2312"/>
          <w:sz w:val="32"/>
          <w:szCs w:val="32"/>
        </w:rPr>
        <w:t>时发现：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-940东翼回风大巷N250°皮带机机尾里侧无防护栏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依据《皖北煤电集团公司停止作业规定》第四款第四十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条规定，责令停止作业。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-940东翼回风大巷第一部皮带机张紧装置用1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拉葫代替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，严重威胁安全生产，</w:t>
      </w:r>
      <w:r>
        <w:rPr>
          <w:rFonts w:hint="eastAsia" w:ascii="仿宋_GB2312" w:eastAsia="仿宋_GB2312"/>
          <w:color w:val="auto"/>
          <w:sz w:val="32"/>
          <w:szCs w:val="32"/>
        </w:rPr>
        <w:t>依据《皖北煤电集团公司停止作业规定》第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款第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条规定，责令停止作业。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-950东翼胶带机大巷ZBZ-4照明综保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（编号：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0515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）过流保护不起作用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</w:rPr>
        <w:t>导致电气保护失效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依据《皖北煤电集团公司停止作业规定》第四款第四十条规定，责令停止作业。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按照《皖北煤电集团公司关于加强2020年安全管理工作的决定》（皖北煤电安〔2020〕1号）附件2中《2020年安全经济奖惩办法》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hAnsi="仿宋" w:eastAsia="仿宋_GB2312"/>
          <w:sz w:val="32"/>
          <w:szCs w:val="32"/>
        </w:rPr>
        <w:t>《皖北煤电集团生产安全事故隐患排查治理规定》（皖北煤电安〔2019〕13号）</w:t>
      </w:r>
      <w:r>
        <w:rPr>
          <w:rFonts w:hint="eastAsia" w:ascii="仿宋_GB2312" w:eastAsia="仿宋_GB2312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sz w:val="32"/>
          <w:szCs w:val="32"/>
        </w:rPr>
        <w:t>，对相关人员作出以下处罚决定：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给予</w:t>
      </w:r>
      <w:r>
        <w:rPr>
          <w:rFonts w:hint="eastAsia" w:ascii="仿宋_GB2312" w:eastAsia="仿宋_GB2312"/>
          <w:sz w:val="32"/>
          <w:szCs w:val="32"/>
          <w:lang w:eastAsia="zh-CN"/>
        </w:rPr>
        <w:t>恒源</w:t>
      </w:r>
      <w:r>
        <w:rPr>
          <w:rFonts w:hint="eastAsia" w:ascii="仿宋_GB2312" w:eastAsia="仿宋_GB2312"/>
          <w:sz w:val="32"/>
          <w:szCs w:val="32"/>
        </w:rPr>
        <w:t>煤矿</w:t>
      </w:r>
      <w:r>
        <w:rPr>
          <w:rFonts w:hint="eastAsia" w:ascii="仿宋_GB2312" w:eastAsia="仿宋_GB2312"/>
          <w:sz w:val="32"/>
          <w:szCs w:val="32"/>
          <w:lang w:eastAsia="zh-CN"/>
        </w:rPr>
        <w:t>深部井负责人毛传森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000元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罚款；</w:t>
      </w:r>
      <w:r>
        <w:rPr>
          <w:rFonts w:hint="eastAsia" w:ascii="仿宋_GB2312" w:eastAsia="仿宋_GB2312"/>
          <w:sz w:val="32"/>
          <w:szCs w:val="32"/>
          <w:lang w:eastAsia="zh-CN"/>
        </w:rPr>
        <w:t>机电负责人朱建斌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1500元</w:t>
      </w:r>
      <w:r>
        <w:rPr>
          <w:rFonts w:hint="eastAsia" w:ascii="仿宋_GB2312" w:eastAsia="仿宋_GB2312"/>
          <w:sz w:val="32"/>
          <w:szCs w:val="32"/>
        </w:rPr>
        <w:t>罚款。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按照矿井“一井一制”的要求，给予恒源</w:t>
      </w:r>
      <w:r>
        <w:rPr>
          <w:rFonts w:hint="eastAsia" w:ascii="仿宋_GB2312" w:eastAsia="仿宋_GB2312"/>
          <w:sz w:val="32"/>
          <w:szCs w:val="32"/>
        </w:rPr>
        <w:t>煤矿</w:t>
      </w:r>
      <w:r>
        <w:rPr>
          <w:rFonts w:hint="eastAsia" w:ascii="仿宋_GB2312" w:eastAsia="仿宋_GB2312"/>
          <w:sz w:val="32"/>
          <w:szCs w:val="32"/>
          <w:lang w:eastAsia="zh-CN"/>
        </w:rPr>
        <w:t>安全监管负责人许建华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罚款，专业监管负责人王德岭1500元罚款。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</w:rPr>
        <w:t>扣除</w:t>
      </w:r>
      <w:r>
        <w:rPr>
          <w:rFonts w:hint="eastAsia" w:ascii="仿宋_GB2312" w:eastAsia="仿宋_GB2312"/>
          <w:sz w:val="32"/>
          <w:lang w:eastAsia="zh-CN"/>
        </w:rPr>
        <w:t>恒源</w:t>
      </w:r>
      <w:r>
        <w:rPr>
          <w:rFonts w:hint="eastAsia" w:ascii="仿宋_GB2312" w:eastAsia="仿宋_GB2312"/>
          <w:sz w:val="32"/>
        </w:rPr>
        <w:t>煤矿2020年第二季度安全生产标准化考核</w:t>
      </w:r>
      <w:r>
        <w:rPr>
          <w:rFonts w:hint="eastAsia" w:ascii="仿宋_GB2312" w:eastAsia="仿宋_GB2312"/>
          <w:sz w:val="32"/>
          <w:lang w:val="en-US" w:eastAsia="zh-CN"/>
        </w:rPr>
        <w:t>15000</w:t>
      </w:r>
      <w:r>
        <w:rPr>
          <w:rFonts w:hint="eastAsia" w:ascii="仿宋_GB2312" w:eastAsia="仿宋_GB2312"/>
          <w:sz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lang w:val="en-US" w:eastAsia="zh-CN"/>
        </w:rPr>
        <w:t>4、</w:t>
      </w: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责令</w:t>
      </w:r>
      <w:r>
        <w:rPr>
          <w:rFonts w:hint="eastAsia" w:ascii="仿宋_GB2312" w:eastAsia="仿宋_GB2312"/>
          <w:sz w:val="32"/>
          <w:szCs w:val="32"/>
          <w:lang w:eastAsia="zh-CN"/>
        </w:rPr>
        <w:t>恒源</w:t>
      </w:r>
      <w:r>
        <w:rPr>
          <w:rFonts w:hint="eastAsia" w:ascii="仿宋_GB2312" w:eastAsia="仿宋_GB2312"/>
          <w:sz w:val="32"/>
          <w:szCs w:val="32"/>
        </w:rPr>
        <w:t>煤矿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rtl w:val="0"/>
        </w:rPr>
        <w:t>按人事管理权限对其他人员责任及处罚进行追查处理，并将</w:t>
      </w: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追查处理结果与整改措施</w:t>
      </w:r>
      <w:r>
        <w:rPr>
          <w:rFonts w:hint="eastAsia" w:ascii="仿宋_GB2312" w:eastAsia="仿宋_GB2312"/>
          <w:sz w:val="32"/>
        </w:rPr>
        <w:t>于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29</w:t>
      </w:r>
      <w:r>
        <w:rPr>
          <w:rFonts w:hint="eastAsia" w:ascii="仿宋_GB2312" w:eastAsia="仿宋_GB2312"/>
          <w:sz w:val="32"/>
        </w:rPr>
        <w:t>日前</w:t>
      </w: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报公司安全监察局。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1C4778"/>
    <w:multiLevelType w:val="singleLevel"/>
    <w:tmpl w:val="9B1C47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1C2F"/>
    <w:rsid w:val="004D29C0"/>
    <w:rsid w:val="00840C73"/>
    <w:rsid w:val="044A3D30"/>
    <w:rsid w:val="0C1300A5"/>
    <w:rsid w:val="0D091175"/>
    <w:rsid w:val="3676581A"/>
    <w:rsid w:val="367B49D7"/>
    <w:rsid w:val="3DA676F8"/>
    <w:rsid w:val="515F0576"/>
    <w:rsid w:val="52481C2F"/>
    <w:rsid w:val="52A704F7"/>
    <w:rsid w:val="53050EE0"/>
    <w:rsid w:val="6576437F"/>
    <w:rsid w:val="690C6062"/>
    <w:rsid w:val="6BD60BE2"/>
    <w:rsid w:val="72787353"/>
    <w:rsid w:val="79D5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2020-05-13T01:02:00Z</dcterms:created>
  <dc:creator>陶伟</dc:creator>
  <cp:lastModifiedBy>蓝色冲击波</cp:lastModifiedBy>
  <cp:lastPrinted>2020-05-26T08:55:00Z</cp:lastPrinted>
  <dcterms:modified xsi:type="dcterms:W3CDTF">2020-05-26T12:34:57Z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