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4" w:rsidRPr="007B5392" w:rsidRDefault="000E0C44" w:rsidP="0011529C">
      <w:pPr>
        <w:widowControl/>
        <w:shd w:val="clear" w:color="auto" w:fill="FFFFFF"/>
        <w:spacing w:beforeLines="50" w:afterLines="50" w:line="600" w:lineRule="atLeast"/>
        <w:jc w:val="center"/>
        <w:rPr>
          <w:rFonts w:ascii="Times New Roman" w:hAnsi="Times New Roman"/>
          <w:b/>
          <w:kern w:val="0"/>
          <w:szCs w:val="21"/>
        </w:rPr>
      </w:pPr>
      <w:r w:rsidRPr="007B5392">
        <w:rPr>
          <w:rFonts w:ascii="Times New Roman" w:eastAsia="方正小标宋_GBK" w:hAnsi="Times New Roman" w:hint="eastAsia"/>
          <w:b/>
          <w:bCs/>
          <w:kern w:val="0"/>
          <w:sz w:val="44"/>
          <w:szCs w:val="44"/>
          <w:bdr w:val="none" w:sz="0" w:space="0" w:color="auto" w:frame="1"/>
        </w:rPr>
        <w:t>煤矿井下单班作业人数限员规定</w:t>
      </w:r>
      <w:r w:rsidRPr="00AB50D5">
        <w:rPr>
          <w:rFonts w:ascii="Times New Roman" w:eastAsia="方正小标宋_GBK" w:hAnsi="Times New Roman" w:hint="eastAsia"/>
          <w:b/>
          <w:bCs/>
          <w:kern w:val="0"/>
          <w:sz w:val="44"/>
          <w:szCs w:val="44"/>
          <w:bdr w:val="none" w:sz="0" w:space="0" w:color="auto" w:frame="1"/>
        </w:rPr>
        <w:t>（试行）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仿宋" w:hAnsi="Times New Roman"/>
          <w:kern w:val="0"/>
          <w:szCs w:val="2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第一条</w:t>
      </w:r>
      <w:r w:rsidRPr="007B5392">
        <w:rPr>
          <w:rFonts w:ascii="Times New Roman" w:eastAsia="仿宋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为提高煤矿安全保障能力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和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生产效率，引导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和推动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煤矿企业加强</w:t>
      </w:r>
      <w:r w:rsidRPr="007B5392">
        <w:rPr>
          <w:rFonts w:ascii="Times New Roman" w:eastAsia="方正仿宋_GBK" w:hAnsi="Times New Roman" w:hint="eastAsia"/>
          <w:sz w:val="32"/>
          <w:szCs w:val="32"/>
        </w:rPr>
        <w:t>机械化、自动化、信息化、智能化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建设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，研发应用煤矿机器人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，简化生产系统，优化劳动组织，减少井下作业人数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，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从源头上防控群死群伤事故风险，结合煤矿安全生产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情况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，制定本规定。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kern w:val="0"/>
          <w:szCs w:val="2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第二条</w:t>
      </w:r>
      <w:r w:rsidRPr="007B5392">
        <w:rPr>
          <w:rFonts w:ascii="Times New Roman" w:eastAsia="仿宋" w:hAnsi="Times New Roman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7B5392">
        <w:rPr>
          <w:rFonts w:ascii="Times New Roman" w:eastAsia="仿宋" w:hAnsi="Times New Roman"/>
          <w:kern w:val="0"/>
          <w:sz w:val="32"/>
          <w:szCs w:val="32"/>
          <w:bdr w:val="none" w:sz="0" w:space="0" w:color="auto" w:frame="1"/>
        </w:rPr>
        <w:t xml:space="preserve"> 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本规定适用于全国所有的生产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、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建设煤矿（井工）。</w:t>
      </w:r>
    </w:p>
    <w:p w:rsidR="000E0C44" w:rsidRPr="007B5392" w:rsidRDefault="000E0C44" w:rsidP="00950E03">
      <w:pPr>
        <w:ind w:firstLine="640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第三条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本规定中的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矿井类型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及采掘工作面范围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的界定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如下：</w:t>
      </w:r>
    </w:p>
    <w:p w:rsidR="000E0C44" w:rsidRPr="007B5392" w:rsidRDefault="000E0C44" w:rsidP="00950E03">
      <w:pPr>
        <w:ind w:firstLine="640"/>
        <w:rPr>
          <w:rFonts w:ascii="Times New Roman" w:eastAsia="方正仿宋_GBK" w:hAnsi="Times New Roman"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（一）灾害严重矿井是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指高瓦斯矿井、煤（岩）与瓦斯（二氧化碳）突出矿井、水文地质类型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复杂极复杂矿井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、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冲击地压矿井。</w:t>
      </w:r>
    </w:p>
    <w:p w:rsidR="000E0C44" w:rsidRPr="007B5392" w:rsidRDefault="000E0C44" w:rsidP="00B03DBB">
      <w:pPr>
        <w:ind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（二）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采煤工作面是指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包括工作面及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工作面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进、回风巷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在内的区域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掘进工作面是指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从掘进迎头至工作面回风流与全风压风流汇合处的区域。采掘工作面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限员人数不包括临时性进出的煤矿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领导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及</w:t>
      </w:r>
      <w:r w:rsidRPr="007B5392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职能部门巡检人员。</w:t>
      </w:r>
    </w:p>
    <w:p w:rsidR="000E0C44" w:rsidRPr="007B5392" w:rsidRDefault="000E0C44" w:rsidP="000E23FC">
      <w:pPr>
        <w:widowControl/>
        <w:shd w:val="clear" w:color="auto" w:fill="FFFFFF"/>
        <w:spacing w:line="560" w:lineRule="atLeast"/>
        <w:ind w:firstLineChars="200" w:firstLine="31680"/>
        <w:rPr>
          <w:rFonts w:ascii="Times New Roman" w:eastAsia="仿宋" w:hAnsi="Times New Roman"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第四条</w:t>
      </w:r>
      <w:r w:rsidRPr="007B5392">
        <w:rPr>
          <w:rFonts w:ascii="Times New Roman" w:eastAsia="方正仿宋_GBK" w:hAnsi="Times New Roman"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矿井单班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作业人数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应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符合以下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规定：</w:t>
      </w:r>
    </w:p>
    <w:tbl>
      <w:tblPr>
        <w:tblW w:w="7413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68"/>
        <w:gridCol w:w="2409"/>
        <w:gridCol w:w="2536"/>
      </w:tblGrid>
      <w:tr w:rsidR="000E0C44" w:rsidRPr="007B5392" w:rsidTr="00A558A2">
        <w:trPr>
          <w:trHeight w:val="352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生产能力</w:t>
            </w:r>
            <w:r w:rsidRPr="007B5392"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  <w:t>K</w:t>
            </w:r>
          </w:p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（万</w:t>
            </w:r>
            <w:r w:rsidRPr="007B5392"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  <w:t>t/a</w:t>
            </w: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灾害严重矿井（人）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其他矿井（人）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≤</w:t>
            </w:r>
            <w:r w:rsidRPr="007B5392">
              <w:rPr>
                <w:rFonts w:ascii="宋体" w:hAnsi="宋体"/>
                <w:kern w:val="0"/>
                <w:sz w:val="22"/>
              </w:rPr>
              <w:t>30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80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30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≤</w:t>
            </w:r>
            <w:r w:rsidRPr="007B5392">
              <w:rPr>
                <w:rFonts w:ascii="宋体" w:hAnsi="宋体"/>
                <w:kern w:val="0"/>
                <w:sz w:val="22"/>
              </w:rPr>
              <w:t>60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200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60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120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180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120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≤</w:t>
            </w: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180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200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180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≤</w:t>
            </w: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300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600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280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300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≤</w:t>
            </w: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＜</w:t>
            </w:r>
            <w:r w:rsidRPr="007B5392">
              <w:rPr>
                <w:rFonts w:ascii="宋体" w:hAnsi="宋体"/>
                <w:kern w:val="0"/>
                <w:sz w:val="22"/>
              </w:rPr>
              <w:t>500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400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7B5392">
              <w:rPr>
                <w:rFonts w:ascii="宋体" w:hAnsi="宋体"/>
                <w:kern w:val="0"/>
                <w:sz w:val="22"/>
              </w:rPr>
              <w:t>K</w:t>
            </w:r>
            <w:r w:rsidRPr="007B5392">
              <w:rPr>
                <w:rFonts w:ascii="宋体" w:hAnsi="宋体" w:hint="eastAsia"/>
                <w:kern w:val="0"/>
                <w:sz w:val="22"/>
              </w:rPr>
              <w:t>≥</w:t>
            </w:r>
            <w:r w:rsidRPr="007B5392">
              <w:rPr>
                <w:rFonts w:ascii="宋体" w:hAnsi="宋体"/>
                <w:kern w:val="0"/>
                <w:sz w:val="22"/>
              </w:rPr>
              <w:t>500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850</w:t>
            </w:r>
          </w:p>
        </w:tc>
        <w:tc>
          <w:tcPr>
            <w:tcW w:w="2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</w:tbl>
    <w:p w:rsidR="000E0C44" w:rsidRPr="007B5392" w:rsidRDefault="000E0C44" w:rsidP="000E0C44">
      <w:pPr>
        <w:widowControl/>
        <w:shd w:val="clear" w:color="auto" w:fill="FFFFFF"/>
        <w:spacing w:line="560" w:lineRule="atLeast"/>
        <w:ind w:firstLineChars="200" w:firstLine="31680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第五条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采煤工作面单班作业人数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应</w:t>
      </w:r>
      <w:r w:rsidRPr="007B5392"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符合以下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规定：</w:t>
      </w:r>
    </w:p>
    <w:tbl>
      <w:tblPr>
        <w:tblW w:w="4000" w:type="pct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755"/>
        <w:gridCol w:w="1753"/>
        <w:gridCol w:w="1751"/>
        <w:gridCol w:w="1749"/>
      </w:tblGrid>
      <w:tr w:rsidR="000E0C44" w:rsidRPr="007B5392" w:rsidTr="006E20DF">
        <w:trPr>
          <w:trHeight w:hRule="exact" w:val="541"/>
          <w:jc w:val="center"/>
        </w:trPr>
        <w:tc>
          <w:tcPr>
            <w:tcW w:w="12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矿井类型</w:t>
            </w:r>
          </w:p>
        </w:tc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机械化采煤工作面（人）</w:t>
            </w:r>
          </w:p>
        </w:tc>
        <w:tc>
          <w:tcPr>
            <w:tcW w:w="124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炮采工作面（人）</w:t>
            </w:r>
          </w:p>
        </w:tc>
      </w:tr>
      <w:tr w:rsidR="000E0C44" w:rsidRPr="007B5392" w:rsidTr="006E20DF">
        <w:trPr>
          <w:trHeight w:hRule="exact" w:val="567"/>
          <w:jc w:val="center"/>
        </w:trPr>
        <w:tc>
          <w:tcPr>
            <w:tcW w:w="125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检修班</w:t>
            </w:r>
          </w:p>
        </w:tc>
        <w:tc>
          <w:tcPr>
            <w:tcW w:w="1249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生产班</w:t>
            </w:r>
          </w:p>
        </w:tc>
        <w:tc>
          <w:tcPr>
            <w:tcW w:w="124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0E0C44" w:rsidRPr="007B5392" w:rsidTr="006E20DF">
        <w:trPr>
          <w:trHeight w:hRule="exact" w:val="567"/>
          <w:jc w:val="center"/>
        </w:trPr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灾害严重矿井</w:t>
            </w:r>
          </w:p>
        </w:tc>
        <w:tc>
          <w:tcPr>
            <w:tcW w:w="12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249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</w:tr>
      <w:tr w:rsidR="000E0C44" w:rsidRPr="007B5392" w:rsidTr="006E20DF">
        <w:trPr>
          <w:trHeight w:hRule="exact" w:val="567"/>
          <w:jc w:val="center"/>
        </w:trPr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其他矿井</w:t>
            </w:r>
          </w:p>
        </w:tc>
        <w:tc>
          <w:tcPr>
            <w:tcW w:w="12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249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</w:tr>
    </w:tbl>
    <w:p w:rsidR="000E0C44" w:rsidRPr="007B5392" w:rsidRDefault="000E0C44" w:rsidP="000E0C44">
      <w:pPr>
        <w:widowControl/>
        <w:shd w:val="clear" w:color="auto" w:fill="FFFFFF"/>
        <w:adjustRightInd w:val="0"/>
        <w:snapToGrid w:val="0"/>
        <w:spacing w:line="540" w:lineRule="atLeast"/>
        <w:ind w:firstLineChars="200" w:firstLine="31680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第六条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掘进工作面单班作业人数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应</w:t>
      </w:r>
      <w:r>
        <w:rPr>
          <w:rFonts w:ascii="Times New Roman" w:eastAsia="方正仿宋_GBK" w:hAnsi="Times New Roman" w:hint="eastAsia"/>
          <w:kern w:val="0"/>
          <w:sz w:val="32"/>
          <w:szCs w:val="32"/>
          <w:bdr w:val="none" w:sz="0" w:space="0" w:color="auto" w:frame="1"/>
        </w:rPr>
        <w:t>符合以下规定：</w:t>
      </w:r>
    </w:p>
    <w:tbl>
      <w:tblPr>
        <w:tblW w:w="4177" w:type="pct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748"/>
        <w:gridCol w:w="2431"/>
        <w:gridCol w:w="3127"/>
      </w:tblGrid>
      <w:tr w:rsidR="000E0C44" w:rsidRPr="007B5392" w:rsidTr="00A558A2">
        <w:trPr>
          <w:trHeight w:hRule="exact" w:val="567"/>
          <w:jc w:val="center"/>
        </w:trPr>
        <w:tc>
          <w:tcPr>
            <w:tcW w:w="11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矿井类型</w:t>
            </w:r>
          </w:p>
        </w:tc>
        <w:tc>
          <w:tcPr>
            <w:tcW w:w="16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综掘工作面（人）</w:t>
            </w:r>
          </w:p>
        </w:tc>
        <w:tc>
          <w:tcPr>
            <w:tcW w:w="2140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eastAsia="黑体" w:hAnsi="黑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炮掘工作面（人）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11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灾害严重矿井</w:t>
            </w:r>
          </w:p>
        </w:tc>
        <w:tc>
          <w:tcPr>
            <w:tcW w:w="16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140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</w:tr>
      <w:tr w:rsidR="000E0C44" w:rsidRPr="007B5392" w:rsidTr="00A558A2">
        <w:trPr>
          <w:trHeight w:hRule="exact" w:val="567"/>
          <w:jc w:val="center"/>
        </w:trPr>
        <w:tc>
          <w:tcPr>
            <w:tcW w:w="11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392">
              <w:rPr>
                <w:rFonts w:ascii="Times New Roman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其他矿井</w:t>
            </w:r>
          </w:p>
        </w:tc>
        <w:tc>
          <w:tcPr>
            <w:tcW w:w="16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pct"/>
            <w:vAlign w:val="center"/>
          </w:tcPr>
          <w:p w:rsidR="000E0C44" w:rsidRPr="007B5392" w:rsidRDefault="000E0C44" w:rsidP="00A558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B5392">
              <w:rPr>
                <w:rFonts w:ascii="宋体" w:hint="eastAsia"/>
                <w:kern w:val="0"/>
                <w:sz w:val="24"/>
                <w:szCs w:val="24"/>
                <w:bdr w:val="none" w:sz="0" w:space="0" w:color="auto" w:frame="1"/>
              </w:rPr>
              <w:t>≤</w:t>
            </w:r>
            <w:r w:rsidRPr="007B5392"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</w:tr>
    </w:tbl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第七条</w:t>
      </w:r>
      <w:r w:rsidRPr="007B5392">
        <w:rPr>
          <w:rFonts w:ascii="Times New Roman" w:eastAsia="仿宋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煤矿企业应制定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井下作业限员制度，在采掘作业地点悬挂限员牌板，按照《煤矿安全规程》要求布置人员位置监测系统读卡分站，加强劳动组织管理，严格控制矿井和采掘工作面作业人数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。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灾害严重矿井要制定减人计划，明确减人目标，确保按期达到限员要求。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第八条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地方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煤矿安全监管部门和驻地煤矿安全监察机构要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将煤矿执行限员规定情况作为检查的重点内容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强化监督检查，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督促煤矿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企业认真落实煤矿井下限员要求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第九条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本规定施行之日起，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对未达到本规定要求的煤矿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不予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核增生产能力；对</w:t>
      </w:r>
      <w:r w:rsidRPr="006E20DF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一年内仍未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达</w:t>
      </w:r>
      <w:r w:rsidRPr="006E20DF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到本规定要求的煤矿，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不予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核增生产能力、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不予通过一、二级安全生产标准化考核定级；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对两年</w:t>
      </w:r>
      <w:r w:rsidRPr="006E20DF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内仍未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达</w:t>
      </w:r>
      <w:r w:rsidRPr="006E20DF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到本规定要求的煤矿，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煤矿安全监管监察部门依法依规查处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第十条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高瓦斯、煤与瓦斯突出和冲击地压矿井，采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掘工作面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确需增加灾害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治理人员的，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必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须经省级煤矿安全监管部门同意，并报告驻地煤矿安监局。</w:t>
      </w:r>
    </w:p>
    <w:p w:rsidR="000E0C44" w:rsidRPr="007B5392" w:rsidRDefault="000E0C44" w:rsidP="00950E03">
      <w:pPr>
        <w:widowControl/>
        <w:shd w:val="clear" w:color="auto" w:fill="FFFFFF"/>
        <w:spacing w:line="560" w:lineRule="atLeast"/>
        <w:ind w:firstLine="643"/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第十一条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省级煤矿安全监管部门可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结合本地实际，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制定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实施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细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则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0E0C44" w:rsidRPr="000A3827" w:rsidRDefault="000E0C44" w:rsidP="000E23FC">
      <w:pPr>
        <w:adjustRightInd w:val="0"/>
        <w:snapToGrid w:val="0"/>
        <w:spacing w:line="360" w:lineRule="auto"/>
        <w:ind w:firstLineChars="200" w:firstLine="31680"/>
        <w:jc w:val="left"/>
        <w:rPr>
          <w:rFonts w:ascii="Times New Roman" w:eastAsia="仿宋" w:hAnsi="Times New Roman"/>
          <w:sz w:val="36"/>
          <w:szCs w:val="36"/>
        </w:rPr>
      </w:pPr>
      <w:r w:rsidRPr="007B5392">
        <w:rPr>
          <w:rFonts w:ascii="Times New Roman" w:eastAsia="黑体" w:hAnsi="黑体" w:hint="eastAsia"/>
          <w:bCs/>
          <w:kern w:val="0"/>
          <w:sz w:val="32"/>
          <w:szCs w:val="32"/>
          <w:bdr w:val="none" w:sz="0" w:space="0" w:color="auto" w:frame="1"/>
        </w:rPr>
        <w:t>第十二条</w:t>
      </w:r>
      <w:r w:rsidRPr="007B5392">
        <w:rPr>
          <w:rFonts w:ascii="Times New Roman" w:eastAsia="方正仿宋_GBK" w:hAnsi="Times New Roman"/>
          <w:bCs/>
          <w:kern w:val="0"/>
          <w:sz w:val="32"/>
          <w:szCs w:val="32"/>
          <w:bdr w:val="none" w:sz="0" w:space="0" w:color="auto" w:frame="1"/>
        </w:rPr>
        <w:t xml:space="preserve">  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本规定自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9"/>
        </w:smartTagPr>
        <w:r w:rsidRPr="007B5392">
          <w:rPr>
            <w:rFonts w:ascii="Times New Roman" w:eastAsia="方正仿宋_GBK" w:hAnsi="Times New Roman"/>
            <w:bCs/>
            <w:kern w:val="0"/>
            <w:sz w:val="32"/>
            <w:szCs w:val="32"/>
            <w:bdr w:val="none" w:sz="0" w:space="0" w:color="auto" w:frame="1"/>
          </w:rPr>
          <w:t>2019</w:t>
        </w:r>
        <w:r w:rsidRPr="007B5392">
          <w:rPr>
            <w:rFonts w:ascii="Times New Roman" w:eastAsia="方正仿宋_GBK" w:hAnsi="Times New Roman" w:hint="eastAsia"/>
            <w:bCs/>
            <w:kern w:val="0"/>
            <w:sz w:val="32"/>
            <w:szCs w:val="32"/>
            <w:bdr w:val="none" w:sz="0" w:space="0" w:color="auto" w:frame="1"/>
          </w:rPr>
          <w:t>年</w:t>
        </w:r>
        <w:r w:rsidRPr="007B5392">
          <w:rPr>
            <w:rFonts w:ascii="Times New Roman" w:eastAsia="方正仿宋_GBK" w:hAnsi="Times New Roman"/>
            <w:bCs/>
            <w:kern w:val="0"/>
            <w:sz w:val="32"/>
            <w:szCs w:val="32"/>
            <w:bdr w:val="none" w:sz="0" w:space="0" w:color="auto" w:frame="1"/>
          </w:rPr>
          <w:t>1</w:t>
        </w:r>
        <w:r w:rsidRPr="007B5392">
          <w:rPr>
            <w:rFonts w:ascii="Times New Roman" w:eastAsia="方正仿宋_GBK" w:hAnsi="Times New Roman" w:hint="eastAsia"/>
            <w:bCs/>
            <w:kern w:val="0"/>
            <w:sz w:val="32"/>
            <w:szCs w:val="32"/>
            <w:bdr w:val="none" w:sz="0" w:space="0" w:color="auto" w:frame="1"/>
          </w:rPr>
          <w:t>月</w:t>
        </w:r>
        <w:r w:rsidRPr="007B5392">
          <w:rPr>
            <w:rFonts w:ascii="Times New Roman" w:eastAsia="方正仿宋_GBK" w:hAnsi="Times New Roman"/>
            <w:bCs/>
            <w:kern w:val="0"/>
            <w:sz w:val="32"/>
            <w:szCs w:val="32"/>
            <w:bdr w:val="none" w:sz="0" w:space="0" w:color="auto" w:frame="1"/>
          </w:rPr>
          <w:t>1</w:t>
        </w:r>
        <w:r w:rsidRPr="007B5392">
          <w:rPr>
            <w:rFonts w:ascii="Times New Roman" w:eastAsia="方正仿宋_GBK" w:hAnsi="Times New Roman" w:hint="eastAsia"/>
            <w:bCs/>
            <w:kern w:val="0"/>
            <w:sz w:val="32"/>
            <w:szCs w:val="32"/>
            <w:bdr w:val="none" w:sz="0" w:space="0" w:color="auto" w:frame="1"/>
          </w:rPr>
          <w:t>日起</w:t>
        </w:r>
      </w:smartTag>
      <w:r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施行</w:t>
      </w:r>
      <w:r w:rsidRPr="007B5392">
        <w:rPr>
          <w:rFonts w:ascii="Times New Roman" w:eastAsia="方正仿宋_GBK" w:hAnsi="Times New Roman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0E0C44" w:rsidRPr="000A3827" w:rsidRDefault="000E0C44" w:rsidP="00950E03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</w:p>
    <w:p w:rsidR="000E0C44" w:rsidRPr="000A3827" w:rsidRDefault="000E0C44" w:rsidP="00950E03">
      <w:pPr>
        <w:rPr>
          <w:rFonts w:ascii="Times New Roman" w:hAnsi="Times New Roman"/>
        </w:rPr>
      </w:pPr>
    </w:p>
    <w:p w:rsidR="000E0C44" w:rsidRPr="000A3827" w:rsidRDefault="000E0C44">
      <w:pPr>
        <w:rPr>
          <w:rFonts w:ascii="Times New Roman" w:hAnsi="Times New Roman"/>
        </w:rPr>
      </w:pPr>
    </w:p>
    <w:sectPr w:rsidR="000E0C44" w:rsidRPr="000A3827" w:rsidSect="001C5ABA">
      <w:footerReference w:type="default" r:id="rId6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44" w:rsidRPr="00AB1168" w:rsidRDefault="000E0C44" w:rsidP="00405948">
      <w:pPr>
        <w:ind w:firstLine="482"/>
        <w:rPr>
          <w:sz w:val="24"/>
        </w:rPr>
      </w:pPr>
      <w:r>
        <w:separator/>
      </w:r>
    </w:p>
  </w:endnote>
  <w:endnote w:type="continuationSeparator" w:id="1">
    <w:p w:rsidR="000E0C44" w:rsidRPr="00AB1168" w:rsidRDefault="000E0C44" w:rsidP="00405948">
      <w:pPr>
        <w:ind w:firstLine="482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44" w:rsidRPr="00052416" w:rsidRDefault="000E0C44">
    <w:pPr>
      <w:pStyle w:val="Footer"/>
      <w:jc w:val="center"/>
      <w:rPr>
        <w:sz w:val="24"/>
        <w:szCs w:val="24"/>
      </w:rPr>
    </w:pPr>
    <w:r w:rsidRPr="00052416">
      <w:rPr>
        <w:sz w:val="24"/>
        <w:szCs w:val="24"/>
      </w:rPr>
      <w:fldChar w:fldCharType="begin"/>
    </w:r>
    <w:r w:rsidRPr="00052416">
      <w:rPr>
        <w:sz w:val="24"/>
        <w:szCs w:val="24"/>
      </w:rPr>
      <w:instrText>PAGE   \* MERGEFORMAT</w:instrText>
    </w:r>
    <w:r w:rsidRPr="00052416">
      <w:rPr>
        <w:sz w:val="24"/>
        <w:szCs w:val="24"/>
      </w:rPr>
      <w:fldChar w:fldCharType="separate"/>
    </w:r>
    <w:r w:rsidRPr="000E23FC">
      <w:rPr>
        <w:noProof/>
        <w:sz w:val="24"/>
        <w:szCs w:val="24"/>
        <w:lang w:val="zh-CN"/>
      </w:rPr>
      <w:t>2</w:t>
    </w:r>
    <w:r w:rsidRPr="00052416">
      <w:rPr>
        <w:sz w:val="24"/>
        <w:szCs w:val="24"/>
      </w:rPr>
      <w:fldChar w:fldCharType="end"/>
    </w:r>
  </w:p>
  <w:p w:rsidR="000E0C44" w:rsidRDefault="000E0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44" w:rsidRPr="00AB1168" w:rsidRDefault="000E0C44" w:rsidP="00405948">
      <w:pPr>
        <w:ind w:firstLine="482"/>
        <w:rPr>
          <w:sz w:val="24"/>
        </w:rPr>
      </w:pPr>
      <w:r>
        <w:separator/>
      </w:r>
    </w:p>
  </w:footnote>
  <w:footnote w:type="continuationSeparator" w:id="1">
    <w:p w:rsidR="000E0C44" w:rsidRPr="00AB1168" w:rsidRDefault="000E0C44" w:rsidP="00405948">
      <w:pPr>
        <w:ind w:firstLine="482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E03"/>
    <w:rsid w:val="0001738D"/>
    <w:rsid w:val="00045461"/>
    <w:rsid w:val="00052416"/>
    <w:rsid w:val="000A3827"/>
    <w:rsid w:val="000E0C44"/>
    <w:rsid w:val="000E23FC"/>
    <w:rsid w:val="000F0762"/>
    <w:rsid w:val="00110F41"/>
    <w:rsid w:val="0011529C"/>
    <w:rsid w:val="00180FAB"/>
    <w:rsid w:val="00181D7C"/>
    <w:rsid w:val="001862AA"/>
    <w:rsid w:val="0019640E"/>
    <w:rsid w:val="001B1BD0"/>
    <w:rsid w:val="001C5ABA"/>
    <w:rsid w:val="001F2269"/>
    <w:rsid w:val="002234B0"/>
    <w:rsid w:val="002375FF"/>
    <w:rsid w:val="00241610"/>
    <w:rsid w:val="002958BF"/>
    <w:rsid w:val="002B3E51"/>
    <w:rsid w:val="002F528E"/>
    <w:rsid w:val="00324737"/>
    <w:rsid w:val="0038282E"/>
    <w:rsid w:val="003E2C9E"/>
    <w:rsid w:val="00405948"/>
    <w:rsid w:val="004559A6"/>
    <w:rsid w:val="00483113"/>
    <w:rsid w:val="004A2483"/>
    <w:rsid w:val="004C7C69"/>
    <w:rsid w:val="004F5208"/>
    <w:rsid w:val="004F7CC6"/>
    <w:rsid w:val="00501E9C"/>
    <w:rsid w:val="00504E5F"/>
    <w:rsid w:val="00527620"/>
    <w:rsid w:val="005426D5"/>
    <w:rsid w:val="0057414F"/>
    <w:rsid w:val="005A5226"/>
    <w:rsid w:val="005A64C7"/>
    <w:rsid w:val="005C7C23"/>
    <w:rsid w:val="005F264D"/>
    <w:rsid w:val="005F7566"/>
    <w:rsid w:val="00614BCF"/>
    <w:rsid w:val="006415D3"/>
    <w:rsid w:val="00655F33"/>
    <w:rsid w:val="006716D0"/>
    <w:rsid w:val="006B7925"/>
    <w:rsid w:val="006E1D7F"/>
    <w:rsid w:val="006E20DF"/>
    <w:rsid w:val="006E4053"/>
    <w:rsid w:val="0075168E"/>
    <w:rsid w:val="00790FAC"/>
    <w:rsid w:val="007A04B2"/>
    <w:rsid w:val="007B5392"/>
    <w:rsid w:val="008738CA"/>
    <w:rsid w:val="008C70CC"/>
    <w:rsid w:val="00907B65"/>
    <w:rsid w:val="00910563"/>
    <w:rsid w:val="0095084E"/>
    <w:rsid w:val="00950E03"/>
    <w:rsid w:val="0095170F"/>
    <w:rsid w:val="00973300"/>
    <w:rsid w:val="009924F5"/>
    <w:rsid w:val="00A558A2"/>
    <w:rsid w:val="00AA53E6"/>
    <w:rsid w:val="00AB1168"/>
    <w:rsid w:val="00AB50D5"/>
    <w:rsid w:val="00AF4547"/>
    <w:rsid w:val="00B03DBB"/>
    <w:rsid w:val="00C8618C"/>
    <w:rsid w:val="00CB1583"/>
    <w:rsid w:val="00CD4028"/>
    <w:rsid w:val="00CE0F04"/>
    <w:rsid w:val="00CF76F5"/>
    <w:rsid w:val="00D15991"/>
    <w:rsid w:val="00D32E58"/>
    <w:rsid w:val="00DA3434"/>
    <w:rsid w:val="00E576F2"/>
    <w:rsid w:val="00E85540"/>
    <w:rsid w:val="00E85A4D"/>
    <w:rsid w:val="00E92985"/>
    <w:rsid w:val="00EE5439"/>
    <w:rsid w:val="00EF2E20"/>
    <w:rsid w:val="00F425A3"/>
    <w:rsid w:val="00F61832"/>
    <w:rsid w:val="00F80895"/>
    <w:rsid w:val="00FA0449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E03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C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0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煤矿井下单班作业人数限员规定（试行）</dc:title>
  <dc:subject/>
  <dc:creator>칰র</dc:creator>
  <cp:keywords/>
  <dc:description/>
  <cp:lastModifiedBy>Administrator</cp:lastModifiedBy>
  <cp:revision>2</cp:revision>
  <cp:lastPrinted>2018-12-25T02:42:00Z</cp:lastPrinted>
  <dcterms:created xsi:type="dcterms:W3CDTF">2019-01-09T10:06:00Z</dcterms:created>
  <dcterms:modified xsi:type="dcterms:W3CDTF">2019-01-09T10:06:00Z</dcterms:modified>
</cp:coreProperties>
</file>